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v1 - Statement of Work No. 2 (not signed)</w:t>
      </w:r>
    </w:p>
    <w:p>
      <w:r>
        <w:t>For discussion only. Superseded by the signed Statement of Work effective 1 October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Fee (USD)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Discovery and brand audit</w:t>
            </w:r>
          </w:p>
        </w:tc>
        <w:tc>
          <w:tcPr>
            <w:tcW w:type="dxa" w:w="2880"/>
          </w:tcPr>
          <w:p>
            <w:r>
              <w:t>18,000.00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Brand strategy and naming</w:t>
            </w:r>
          </w:p>
        </w:tc>
        <w:tc>
          <w:tcPr>
            <w:tcW w:type="dxa" w:w="2880"/>
          </w:tcPr>
          <w:p>
            <w:r>
              <w:t>22,500.00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Visual identity system and usage guidelines</w:t>
            </w:r>
          </w:p>
        </w:tc>
        <w:tc>
          <w:tcPr>
            <w:tcW w:type="dxa" w:w="2880"/>
          </w:tcPr>
          <w:p>
            <w:r>
              <w:t>24,000.00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Launch collateral and templates</w:t>
            </w:r>
          </w:p>
        </w:tc>
        <w:tc>
          <w:tcPr>
            <w:tcW w:type="dxa" w:w="2880"/>
          </w:tcPr>
          <w:p>
            <w:r>
              <w:t>28,050.00</w:t>
            </w:r>
          </w:p>
        </w:tc>
      </w:tr>
      <w:tr>
        <w:tc>
          <w:tcPr>
            <w:tcW w:type="dxa" w:w="2880"/>
          </w:tcPr>
          <w:p>
            <w:r>
              <w:t>Total, not to exceed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92,550.00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holdout</dc:creator>
  <cp:keywords/>
  <dc:description>generated by python-docx</dc:description>
  <cp:lastModifiedBy>holdout</cp:lastModifiedBy>
  <cp:revision>1</cp:revision>
  <dcterms:created xsi:type="dcterms:W3CDTF">2026-12-01T08:00:00Z</dcterms:created>
  <dcterms:modified xsi:type="dcterms:W3CDTF">2026-12-01T08:00:00Z</dcterms:modified>
  <cp:category/>
</cp:coreProperties>
</file>