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Capitalization Policy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Finance and Procurement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Maya Chen, Controller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January 15,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Fixed asset capitalization policy</w:t>
            </w:r>
          </w:p>
        </w:tc>
      </w:tr>
    </w:tbl>
    <w:p>
      <w:r>
        <w:t>Equipment purchases are capitalized when a single order of like items costs $5,000 or more and the items have a useful life beyond one year.</w:t>
      </w:r>
    </w:p>
    <w:p>
      <w:r>
        <w:t>Capitalized equipment is depreciated straight-line over 36 months, starting when the asset is placed in service. Only units actually received are recorded as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Capitalization Policy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