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Close Memo</w:t>
      </w:r>
    </w:p>
    <w:p>
      <w:r>
        <w:t>Memo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</w:t>
            </w:r>
          </w:p>
        </w:tc>
        <w:tc>
          <w:tcPr>
            <w:tcW w:type="dxa" w:w="4320"/>
          </w:tcPr>
          <w:p>
            <w:r>
              <w:t>Maya Chen, Controller</w:t>
            </w:r>
          </w:p>
        </w:tc>
      </w:tr>
      <w:tr>
        <w:tc>
          <w:tcPr>
            <w:tcW w:type="dxa" w:w="4320"/>
          </w:tcPr>
          <w:p>
            <w:r>
              <w:t>From</w:t>
            </w:r>
          </w:p>
        </w:tc>
        <w:tc>
          <w:tcPr>
            <w:tcW w:type="dxa" w:w="4320"/>
          </w:tcPr>
          <w:p>
            <w:r>
              <w:t>Finance Operations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December 3, 2026</w:t>
            </w:r>
          </w:p>
        </w:tc>
      </w:tr>
      <w:tr>
        <w:tc>
          <w:tcPr>
            <w:tcW w:type="dxa" w:w="4320"/>
          </w:tcPr>
          <w:p>
            <w:r>
              <w:t>Subject</w:t>
            </w:r>
          </w:p>
        </w:tc>
        <w:tc>
          <w:tcPr>
            <w:tcW w:type="dxa" w:w="4320"/>
          </w:tcPr>
          <w:p>
            <w:r>
              <w:t>November close: Mintlify subscription accrual</w:t>
            </w:r>
          </w:p>
        </w:tc>
      </w:tr>
    </w:tbl>
    <w:p>
      <w:r>
        <w:t>November was accrued and invoiced at $1,200, the rate in force through November 30, 2026.</w:t>
      </w:r>
    </w:p>
    <w:p>
      <w:r>
        <w:t>The amended agreement signed on November 18, 2026 raises the monthly fee to $1,400 effective December 1, 2026.</w:t>
      </w:r>
    </w:p>
    <w:p>
      <w:r>
        <w:t>Action for the December close: accrue at the amended agreement rate, not the rate on the purchase order.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Close Memo</dc:title>
  <dc:subject>Memo</dc:subject>
  <dc:creator>TrueUp synthetic data</dc:creator>
  <cp:keywords/>
  <dc:description>generated by python-docx</dc:description>
  <cp:lastModifiedBy>TrueUp synthetic data</cp:lastModifiedBy>
  <cp:revision>1</cp:revision>
  <dcterms:created xsi:type="dcterms:W3CDTF">2026-12-01T08:00:00Z</dcterms:created>
  <dcterms:modified xsi:type="dcterms:W3CDTF">2026-12-01T08:00:00Z</dcterms:modified>
  <cp:category/>
</cp:coreProperties>
</file>