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3AA1" w14:textId="77777777" w:rsidR="007F311B" w:rsidRPr="007F311B" w:rsidRDefault="007F311B" w:rsidP="007F311B">
      <w:pPr>
        <w:pStyle w:val="1"/>
      </w:pPr>
      <w:r w:rsidRPr="007F311B">
        <w:t>交易真實性的舉證責任與方法</w:t>
      </w:r>
    </w:p>
    <w:p w14:paraId="75C8F240" w14:textId="77777777" w:rsidR="007F311B" w:rsidRPr="007F311B" w:rsidRDefault="007F311B" w:rsidP="007F311B">
      <w:r w:rsidRPr="007F311B">
        <w:t>在稅務爭議中，交易真實性的舉證常是決定案件勝敗的關鍵。本文將分析舉證責任的分配原則，並提供實用的舉證方法，幫助企業在稅務稽查時有效證明交易的真實性。</w:t>
      </w:r>
    </w:p>
    <w:p w14:paraId="39027132" w14:textId="77777777" w:rsidR="007F311B" w:rsidRPr="007F311B" w:rsidRDefault="007F311B" w:rsidP="007F311B">
      <w:pPr>
        <w:pStyle w:val="2"/>
      </w:pPr>
      <w:r w:rsidRPr="007F311B">
        <w:t>舉證責任分配原則</w:t>
      </w:r>
    </w:p>
    <w:p w14:paraId="2DBD4D07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誰應負擔舉證責任？</w:t>
      </w:r>
    </w:p>
    <w:p w14:paraId="5240D26B" w14:textId="77777777" w:rsidR="007F311B" w:rsidRPr="007F311B" w:rsidRDefault="007F311B" w:rsidP="007F311B">
      <w:r w:rsidRPr="007F311B">
        <w:t>依據司法院釋字第</w:t>
      </w:r>
      <w:r w:rsidRPr="007F311B">
        <w:t>537</w:t>
      </w:r>
      <w:r w:rsidRPr="007F311B">
        <w:t>號解釋，稅務案件因課稅資料多掌握在納稅義務人手中，且具有大量性行政事物的特質，</w:t>
      </w:r>
      <w:proofErr w:type="gramStart"/>
      <w:r w:rsidRPr="007F311B">
        <w:t>稽</w:t>
      </w:r>
      <w:proofErr w:type="gramEnd"/>
      <w:r w:rsidRPr="007F311B">
        <w:t>徵機關難以完全調查及取得相關資料。因此，屬納稅義務人所得支配或掌握的課稅要件事實，納稅義務人應負有提供資料的協力義務。</w:t>
      </w:r>
    </w:p>
    <w:p w14:paraId="1BD53AA6" w14:textId="77777777" w:rsidR="007F311B" w:rsidRPr="007F311B" w:rsidRDefault="007F311B" w:rsidP="007F311B">
      <w:r w:rsidRPr="007F311B">
        <w:t>具體而言，在營業稅案件中：</w:t>
      </w:r>
    </w:p>
    <w:p w14:paraId="5E37BBBC" w14:textId="77777777" w:rsidR="007F311B" w:rsidRPr="007F311B" w:rsidRDefault="007F311B" w:rsidP="007F311B">
      <w:pPr>
        <w:numPr>
          <w:ilvl w:val="0"/>
          <w:numId w:val="1"/>
        </w:numPr>
      </w:pPr>
      <w:r w:rsidRPr="007F311B">
        <w:t>銷項稅額（銷售額）的舉證責任原則上由</w:t>
      </w:r>
      <w:proofErr w:type="gramStart"/>
      <w:r w:rsidRPr="007F311B">
        <w:t>稽</w:t>
      </w:r>
      <w:proofErr w:type="gramEnd"/>
      <w:r w:rsidRPr="007F311B">
        <w:t>徵機關負擔</w:t>
      </w:r>
    </w:p>
    <w:p w14:paraId="1B29F570" w14:textId="77777777" w:rsidR="007F311B" w:rsidRPr="007F311B" w:rsidRDefault="007F311B" w:rsidP="007F311B">
      <w:pPr>
        <w:numPr>
          <w:ilvl w:val="0"/>
          <w:numId w:val="1"/>
        </w:numPr>
      </w:pPr>
      <w:r w:rsidRPr="007F311B">
        <w:t>進項稅額的舉證責任則由主張扣抵的納稅義務人負擔</w:t>
      </w:r>
    </w:p>
    <w:p w14:paraId="33B990DF" w14:textId="77777777" w:rsidR="007F311B" w:rsidRPr="007F311B" w:rsidRDefault="007F311B" w:rsidP="007F311B">
      <w:r w:rsidRPr="007F311B">
        <w:t>這是因為進項稅額在計算應納稅額時屬於減項，相當於權利發生後的消滅事由，應由主張者負擔證明責任。</w:t>
      </w:r>
    </w:p>
    <w:p w14:paraId="70F783EA" w14:textId="77777777" w:rsidR="007F311B" w:rsidRPr="007F311B" w:rsidRDefault="007F311B" w:rsidP="007F311B">
      <w:pPr>
        <w:pStyle w:val="2"/>
      </w:pPr>
      <w:r w:rsidRPr="007F311B">
        <w:t>實務判決見解</w:t>
      </w:r>
    </w:p>
    <w:p w14:paraId="628C9E18" w14:textId="77777777" w:rsidR="007F311B" w:rsidRPr="007F311B" w:rsidRDefault="007F311B" w:rsidP="007F311B">
      <w:proofErr w:type="gramStart"/>
      <w:r w:rsidRPr="007F311B">
        <w:t>臺</w:t>
      </w:r>
      <w:proofErr w:type="gramEnd"/>
      <w:r w:rsidRPr="007F311B">
        <w:t>北高等行政法院</w:t>
      </w:r>
      <w:proofErr w:type="gramStart"/>
      <w:r w:rsidRPr="007F311B">
        <w:t>100</w:t>
      </w:r>
      <w:r w:rsidRPr="007F311B">
        <w:t>年度訴字第</w:t>
      </w:r>
      <w:r w:rsidRPr="007F311B">
        <w:t>1387</w:t>
      </w:r>
      <w:r w:rsidRPr="007F311B">
        <w:t>號</w:t>
      </w:r>
      <w:proofErr w:type="gramEnd"/>
      <w:r w:rsidRPr="007F311B">
        <w:t>判決指出，營業人所須證明</w:t>
      </w:r>
      <w:proofErr w:type="gramStart"/>
      <w:r w:rsidRPr="007F311B">
        <w:t>的待證事實</w:t>
      </w:r>
      <w:proofErr w:type="gramEnd"/>
      <w:r w:rsidRPr="007F311B">
        <w:t>內容應包含三項要素，缺一不可：</w:t>
      </w:r>
    </w:p>
    <w:p w14:paraId="4799E2BF" w14:textId="77777777" w:rsidR="007F311B" w:rsidRPr="007F311B" w:rsidRDefault="007F311B" w:rsidP="007F311B">
      <w:pPr>
        <w:numPr>
          <w:ilvl w:val="0"/>
          <w:numId w:val="2"/>
        </w:numPr>
      </w:pPr>
      <w:r w:rsidRPr="007F311B">
        <w:t>確有進貨事實</w:t>
      </w:r>
    </w:p>
    <w:p w14:paraId="759CA608" w14:textId="77777777" w:rsidR="007F311B" w:rsidRPr="007F311B" w:rsidRDefault="007F311B" w:rsidP="007F311B">
      <w:pPr>
        <w:numPr>
          <w:ilvl w:val="0"/>
          <w:numId w:val="2"/>
        </w:numPr>
      </w:pPr>
      <w:r w:rsidRPr="007F311B">
        <w:t>進貨事實的交易對象確為特定公司</w:t>
      </w:r>
    </w:p>
    <w:p w14:paraId="159A6949" w14:textId="77777777" w:rsidR="007F311B" w:rsidRPr="007F311B" w:rsidRDefault="007F311B" w:rsidP="007F311B">
      <w:pPr>
        <w:numPr>
          <w:ilvl w:val="0"/>
          <w:numId w:val="2"/>
        </w:numPr>
      </w:pPr>
      <w:r w:rsidRPr="007F311B">
        <w:t>且營業人確實已交付營業稅款及貨款予該特定公司</w:t>
      </w:r>
    </w:p>
    <w:p w14:paraId="5FC5CA0B" w14:textId="77777777" w:rsidR="007F311B" w:rsidRPr="007F311B" w:rsidRDefault="007F311B" w:rsidP="007F311B">
      <w:r w:rsidRPr="007F311B">
        <w:t>此外，</w:t>
      </w:r>
      <w:proofErr w:type="gramStart"/>
      <w:r w:rsidRPr="007F311B">
        <w:t>臺</w:t>
      </w:r>
      <w:proofErr w:type="gramEnd"/>
      <w:r w:rsidRPr="007F311B">
        <w:t>北高等行政法院</w:t>
      </w:r>
      <w:proofErr w:type="gramStart"/>
      <w:r w:rsidRPr="007F311B">
        <w:t>100</w:t>
      </w:r>
      <w:proofErr w:type="gramEnd"/>
      <w:r w:rsidRPr="007F311B">
        <w:t>年度簡字第</w:t>
      </w:r>
      <w:r w:rsidRPr="007F311B">
        <w:t>519</w:t>
      </w:r>
      <w:r w:rsidRPr="007F311B">
        <w:t>號判決也強調，營業人不僅需證明交易存在，還需就證據資料的蒐集及詮釋負擔部分協力義務。若無法對</w:t>
      </w:r>
      <w:proofErr w:type="gramStart"/>
      <w:r w:rsidRPr="007F311B">
        <w:t>稽</w:t>
      </w:r>
      <w:proofErr w:type="gramEnd"/>
      <w:r w:rsidRPr="007F311B">
        <w:t>徵機關所蒐集證據資料呈現的外觀證明提出具體合理解釋，</w:t>
      </w:r>
      <w:proofErr w:type="gramStart"/>
      <w:r w:rsidRPr="007F311B">
        <w:t>稽</w:t>
      </w:r>
      <w:proofErr w:type="gramEnd"/>
      <w:r w:rsidRPr="007F311B">
        <w:t>徵機關得依據經驗法則，認定無進貨事實。</w:t>
      </w:r>
    </w:p>
    <w:p w14:paraId="41E4EE80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舉證方法</w:t>
      </w:r>
    </w:p>
    <w:p w14:paraId="069E6A90" w14:textId="77777777" w:rsidR="007F311B" w:rsidRPr="007F311B" w:rsidRDefault="007F311B" w:rsidP="007F311B">
      <w:r w:rsidRPr="007F311B">
        <w:t>有效的舉證應從「人證」與「物證」兩方面著手，全面證明交易的真實性。</w:t>
      </w:r>
    </w:p>
    <w:p w14:paraId="066AC36C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人證方面</w:t>
      </w:r>
    </w:p>
    <w:p w14:paraId="48D7C70C" w14:textId="77777777" w:rsidR="007F311B" w:rsidRPr="007F311B" w:rsidRDefault="007F311B" w:rsidP="007F311B">
      <w:pPr>
        <w:numPr>
          <w:ilvl w:val="0"/>
          <w:numId w:val="3"/>
        </w:numPr>
      </w:pPr>
      <w:r w:rsidRPr="007F311B">
        <w:lastRenderedPageBreak/>
        <w:t>交易過程買方參與人員證詞</w:t>
      </w:r>
      <w:r w:rsidRPr="007F311B">
        <w:t xml:space="preserve"> </w:t>
      </w:r>
    </w:p>
    <w:p w14:paraId="18FBF5C6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採購人員對交易過程的陳述</w:t>
      </w:r>
    </w:p>
    <w:p w14:paraId="15105B50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驗收人員對貨物接收的確認</w:t>
      </w:r>
    </w:p>
    <w:p w14:paraId="2F8BD040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入庫人員對入庫記錄的說明</w:t>
      </w:r>
    </w:p>
    <w:p w14:paraId="21C0E5F8" w14:textId="77777777" w:rsidR="007F311B" w:rsidRPr="007F311B" w:rsidRDefault="007F311B" w:rsidP="007F311B">
      <w:pPr>
        <w:numPr>
          <w:ilvl w:val="0"/>
          <w:numId w:val="3"/>
        </w:numPr>
      </w:pPr>
      <w:r w:rsidRPr="007F311B">
        <w:t>交易過程賣方參與人員證詞</w:t>
      </w:r>
      <w:r w:rsidRPr="007F311B">
        <w:t xml:space="preserve"> </w:t>
      </w:r>
    </w:p>
    <w:p w14:paraId="00430FD9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銷售人員對交易洽談過程的證實</w:t>
      </w:r>
    </w:p>
    <w:p w14:paraId="27C3A684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出庫人員對出貨紀錄的確認</w:t>
      </w:r>
    </w:p>
    <w:p w14:paraId="17D7CFA7" w14:textId="77777777" w:rsidR="007F311B" w:rsidRPr="007F311B" w:rsidRDefault="007F311B" w:rsidP="007F311B">
      <w:pPr>
        <w:numPr>
          <w:ilvl w:val="1"/>
          <w:numId w:val="3"/>
        </w:numPr>
      </w:pPr>
      <w:r w:rsidRPr="007F311B">
        <w:t>送貨人員對運送過程的描述</w:t>
      </w:r>
    </w:p>
    <w:p w14:paraId="4D45F649" w14:textId="77777777" w:rsidR="007F311B" w:rsidRPr="007F311B" w:rsidRDefault="007F311B" w:rsidP="007F311B">
      <w:r w:rsidRPr="007F311B">
        <w:t>人證在稅務爭議中具有相當的證明力，特別是當物證不夠充分時，可以補強交易真實性的證明。</w:t>
      </w:r>
    </w:p>
    <w:p w14:paraId="10062657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物證方面</w:t>
      </w:r>
    </w:p>
    <w:p w14:paraId="56F98696" w14:textId="77777777" w:rsidR="007F311B" w:rsidRPr="007F311B" w:rsidRDefault="007F311B" w:rsidP="007F311B">
      <w:pPr>
        <w:numPr>
          <w:ilvl w:val="0"/>
          <w:numId w:val="4"/>
        </w:numPr>
      </w:pPr>
      <w:r w:rsidRPr="007F311B">
        <w:t>文件流程證明</w:t>
      </w:r>
      <w:r w:rsidRPr="007F311B">
        <w:t xml:space="preserve"> </w:t>
      </w:r>
    </w:p>
    <w:p w14:paraId="3DACFE10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對外或外來文件：合約、訂單、送貨單、公證文件等</w:t>
      </w:r>
    </w:p>
    <w:p w14:paraId="309B6FEC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對內文件：入庫單、驗收紀錄、品質檢驗報告、</w:t>
      </w:r>
      <w:proofErr w:type="gramStart"/>
      <w:r w:rsidRPr="007F311B">
        <w:t>入倉單</w:t>
      </w:r>
      <w:proofErr w:type="gramEnd"/>
      <w:r w:rsidRPr="007F311B">
        <w:t>等</w:t>
      </w:r>
    </w:p>
    <w:p w14:paraId="56218ED8" w14:textId="77777777" w:rsidR="007F311B" w:rsidRPr="007F311B" w:rsidRDefault="007F311B" w:rsidP="007F311B">
      <w:pPr>
        <w:numPr>
          <w:ilvl w:val="0"/>
          <w:numId w:val="4"/>
        </w:numPr>
      </w:pPr>
      <w:r w:rsidRPr="007F311B">
        <w:t>資金流程證明（付款方式）</w:t>
      </w:r>
      <w:r w:rsidRPr="007F311B">
        <w:t xml:space="preserve"> </w:t>
      </w:r>
    </w:p>
    <w:p w14:paraId="6071D3B3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支票或匯款紀錄（支票抬頭與發票開立者相符）</w:t>
      </w:r>
    </w:p>
    <w:p w14:paraId="09D37510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銀行對</w:t>
      </w:r>
      <w:proofErr w:type="gramStart"/>
      <w:r w:rsidRPr="007F311B">
        <w:t>帳單</w:t>
      </w:r>
      <w:proofErr w:type="gramEnd"/>
      <w:r w:rsidRPr="007F311B">
        <w:t>顯示的資金流向</w:t>
      </w:r>
    </w:p>
    <w:p w14:paraId="103EA408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付款簽收紀錄（簽收人身分的證明）</w:t>
      </w:r>
    </w:p>
    <w:p w14:paraId="4E2789BE" w14:textId="77777777" w:rsidR="007F311B" w:rsidRPr="007F311B" w:rsidRDefault="007F311B" w:rsidP="007F311B">
      <w:pPr>
        <w:numPr>
          <w:ilvl w:val="0"/>
          <w:numId w:val="4"/>
        </w:numPr>
      </w:pPr>
      <w:r w:rsidRPr="007F311B">
        <w:t>貨物流程證明</w:t>
      </w:r>
      <w:r w:rsidRPr="007F311B">
        <w:t xml:space="preserve"> </w:t>
      </w:r>
    </w:p>
    <w:p w14:paraId="5DDC18C3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以銷項去路證明進貨真實存在</w:t>
      </w:r>
    </w:p>
    <w:p w14:paraId="5FAEC967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進銷存相關資料顯示的物流軌跡</w:t>
      </w:r>
    </w:p>
    <w:p w14:paraId="4F716915" w14:textId="77777777" w:rsidR="007F311B" w:rsidRPr="007F311B" w:rsidRDefault="007F311B" w:rsidP="007F311B">
      <w:pPr>
        <w:numPr>
          <w:ilvl w:val="1"/>
          <w:numId w:val="4"/>
        </w:numPr>
      </w:pPr>
      <w:r w:rsidRPr="007F311B">
        <w:t>成本表與行業標準的比對分析</w:t>
      </w:r>
    </w:p>
    <w:p w14:paraId="4CD91D59" w14:textId="77777777" w:rsidR="007F311B" w:rsidRPr="007F311B" w:rsidRDefault="007F311B" w:rsidP="007F311B">
      <w:r w:rsidRPr="007F311B">
        <w:t>在實務中，資金流程的證明特別重要，因為經由金融機構的付款憑證證明力較高，不易造假，能有效證明實際交易對象。</w:t>
      </w:r>
    </w:p>
    <w:p w14:paraId="4047CD8D" w14:textId="77777777" w:rsidR="007F311B" w:rsidRPr="007F311B" w:rsidRDefault="007F311B" w:rsidP="007F311B">
      <w:pPr>
        <w:pStyle w:val="2"/>
      </w:pPr>
      <w:r w:rsidRPr="007F311B">
        <w:t>成功舉證案例分析</w:t>
      </w:r>
    </w:p>
    <w:p w14:paraId="1DA57B7B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</w:t>
      </w:r>
      <w:proofErr w:type="gramStart"/>
      <w:r w:rsidRPr="007F311B">
        <w:rPr>
          <w:b/>
          <w:bCs/>
        </w:rPr>
        <w:t>一</w:t>
      </w:r>
      <w:proofErr w:type="gramEnd"/>
      <w:r w:rsidRPr="007F311B">
        <w:rPr>
          <w:b/>
          <w:bCs/>
        </w:rPr>
        <w:t>：完整交易文件與資金流向證明勝訴</w:t>
      </w:r>
    </w:p>
    <w:p w14:paraId="707EEEAE" w14:textId="77777777" w:rsidR="007F311B" w:rsidRPr="007F311B" w:rsidRDefault="007F311B" w:rsidP="007F311B">
      <w:proofErr w:type="gramStart"/>
      <w:r w:rsidRPr="007F311B">
        <w:lastRenderedPageBreak/>
        <w:t>臺</w:t>
      </w:r>
      <w:proofErr w:type="gramEnd"/>
      <w:r w:rsidRPr="007F311B">
        <w:t>北高等行政法院</w:t>
      </w:r>
      <w:proofErr w:type="gramStart"/>
      <w:r w:rsidRPr="007F311B">
        <w:t>97</w:t>
      </w:r>
      <w:r w:rsidRPr="007F311B">
        <w:t>年訴字第</w:t>
      </w:r>
      <w:r w:rsidRPr="007F311B">
        <w:t>520</w:t>
      </w:r>
      <w:r w:rsidRPr="007F311B">
        <w:t>號</w:t>
      </w:r>
      <w:proofErr w:type="gramEnd"/>
      <w:r w:rsidRPr="007F311B">
        <w:t>判決中，原告就其與</w:t>
      </w:r>
      <w:proofErr w:type="gramStart"/>
      <w:r w:rsidRPr="007F311B">
        <w:t>晨喜公司間的</w:t>
      </w:r>
      <w:proofErr w:type="gramEnd"/>
      <w:r w:rsidRPr="007F311B">
        <w:t>交易事實，提出訂購單、銷貨單、商品進</w:t>
      </w:r>
      <w:proofErr w:type="gramStart"/>
      <w:r w:rsidRPr="007F311B">
        <w:t>銷存明細</w:t>
      </w:r>
      <w:proofErr w:type="gramEnd"/>
      <w:r w:rsidRPr="007F311B">
        <w:t>表、公司銀行存摺、匯款單及簽收單等資料供核。法院認為原告已提供充分證據證明交易事實，而</w:t>
      </w:r>
      <w:proofErr w:type="gramStart"/>
      <w:r w:rsidRPr="007F311B">
        <w:t>稽</w:t>
      </w:r>
      <w:proofErr w:type="gramEnd"/>
      <w:r w:rsidRPr="007F311B">
        <w:t>徵機關僅憑刑事移送書及起訴書等資料，</w:t>
      </w:r>
      <w:proofErr w:type="gramStart"/>
      <w:r w:rsidRPr="007F311B">
        <w:t>認定晨喜公司</w:t>
      </w:r>
      <w:proofErr w:type="gramEnd"/>
      <w:r w:rsidRPr="007F311B">
        <w:t>為虛設行號，卻未能舉證推翻原告提供的證據，因此判決原告勝訴。</w:t>
      </w:r>
    </w:p>
    <w:p w14:paraId="5097709C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案例二：交易流程與付款證明取得勝訴</w:t>
      </w:r>
    </w:p>
    <w:p w14:paraId="5CC803FC" w14:textId="77777777" w:rsidR="007F311B" w:rsidRPr="007F311B" w:rsidRDefault="007F311B" w:rsidP="007F311B">
      <w:proofErr w:type="gramStart"/>
      <w:r w:rsidRPr="007F311B">
        <w:t>臺</w:t>
      </w:r>
      <w:proofErr w:type="gramEnd"/>
      <w:r w:rsidRPr="007F311B">
        <w:t>北高等行政法院</w:t>
      </w:r>
      <w:proofErr w:type="gramStart"/>
      <w:r w:rsidRPr="007F311B">
        <w:t>97</w:t>
      </w:r>
      <w:r w:rsidRPr="007F311B">
        <w:t>年訴字第</w:t>
      </w:r>
      <w:r w:rsidRPr="007F311B">
        <w:t>1453</w:t>
      </w:r>
      <w:r w:rsidRPr="007F311B">
        <w:t>號</w:t>
      </w:r>
      <w:proofErr w:type="gramEnd"/>
      <w:r w:rsidRPr="007F311B">
        <w:t>判決中，原告提出完整的交易過程證明，從訂購、收料、收受發票至辦理</w:t>
      </w:r>
      <w:proofErr w:type="gramStart"/>
      <w:r w:rsidRPr="007F311B">
        <w:t>付款均向特定</w:t>
      </w:r>
      <w:proofErr w:type="gramEnd"/>
      <w:r w:rsidRPr="007F311B">
        <w:t>公司為之，並無資金回流情形。法院認為原告已提出相當證據證明其確有交易事實，而</w:t>
      </w:r>
      <w:proofErr w:type="gramStart"/>
      <w:r w:rsidRPr="007F311B">
        <w:t>稽</w:t>
      </w:r>
      <w:proofErr w:type="gramEnd"/>
      <w:r w:rsidRPr="007F311B">
        <w:t>徵機關無法提出確切反證加以推翻，應認定其有進貨事實，免予補稅處罰。</w:t>
      </w:r>
    </w:p>
    <w:p w14:paraId="004DC94C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</w:t>
      </w:r>
      <w:proofErr w:type="gramStart"/>
      <w:r w:rsidRPr="007F311B">
        <w:rPr>
          <w:b/>
          <w:bCs/>
        </w:rPr>
        <w:t>三</w:t>
      </w:r>
      <w:proofErr w:type="gramEnd"/>
      <w:r w:rsidRPr="007F311B">
        <w:rPr>
          <w:b/>
          <w:bCs/>
        </w:rPr>
        <w:t>：員工身分證明勝訴</w:t>
      </w:r>
    </w:p>
    <w:p w14:paraId="4330078E" w14:textId="77777777" w:rsidR="007F311B" w:rsidRPr="007F311B" w:rsidRDefault="007F311B" w:rsidP="007F311B">
      <w:proofErr w:type="gramStart"/>
      <w:r w:rsidRPr="007F311B">
        <w:t>臺</w:t>
      </w:r>
      <w:proofErr w:type="gramEnd"/>
      <w:r w:rsidRPr="007F311B">
        <w:t>北高等行政法院</w:t>
      </w:r>
      <w:proofErr w:type="gramStart"/>
      <w:r w:rsidRPr="007F311B">
        <w:t>98</w:t>
      </w:r>
      <w:r w:rsidRPr="007F311B">
        <w:t>年訴字第</w:t>
      </w:r>
      <w:r w:rsidRPr="007F311B">
        <w:t>2078</w:t>
      </w:r>
      <w:r w:rsidRPr="007F311B">
        <w:t>號</w:t>
      </w:r>
      <w:proofErr w:type="gramEnd"/>
      <w:r w:rsidRPr="007F311B">
        <w:t>判決中，原告通過證人（交易對象公司的總經理）證詞，證明該公司確實承攬了原告的工程，並完成了工作。該證人還提供了承攬工程時的「團體意外傷害保險」保單，證明其當時確為該公司總經理。這些人證與物證的結合，成功證明了交易的真實性。</w:t>
      </w:r>
    </w:p>
    <w:p w14:paraId="249EAD1A" w14:textId="77777777" w:rsidR="007F311B" w:rsidRPr="007F311B" w:rsidRDefault="007F311B" w:rsidP="007F311B">
      <w:pPr>
        <w:pStyle w:val="2"/>
      </w:pPr>
      <w:r w:rsidRPr="007F311B">
        <w:t>敗訴案例警示</w:t>
      </w:r>
    </w:p>
    <w:p w14:paraId="7663907D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</w:t>
      </w:r>
      <w:proofErr w:type="gramStart"/>
      <w:r w:rsidRPr="007F311B">
        <w:rPr>
          <w:b/>
          <w:bCs/>
        </w:rPr>
        <w:t>一</w:t>
      </w:r>
      <w:proofErr w:type="gramEnd"/>
      <w:r w:rsidRPr="007F311B">
        <w:rPr>
          <w:b/>
          <w:bCs/>
        </w:rPr>
        <w:t>：員工不存在</w:t>
      </w:r>
    </w:p>
    <w:p w14:paraId="64AB07A4" w14:textId="77777777" w:rsidR="007F311B" w:rsidRPr="007F311B" w:rsidRDefault="007F311B" w:rsidP="007F311B">
      <w:proofErr w:type="gramStart"/>
      <w:r w:rsidRPr="007F311B">
        <w:t>臺</w:t>
      </w:r>
      <w:proofErr w:type="gramEnd"/>
      <w:r w:rsidRPr="007F311B">
        <w:t>北高等行政法院</w:t>
      </w:r>
      <w:proofErr w:type="gramStart"/>
      <w:r w:rsidRPr="007F311B">
        <w:t>95</w:t>
      </w:r>
      <w:r w:rsidRPr="007F311B">
        <w:t>年訴字第</w:t>
      </w:r>
      <w:r w:rsidRPr="007F311B">
        <w:t>724</w:t>
      </w:r>
      <w:r w:rsidRPr="007F311B">
        <w:t>號</w:t>
      </w:r>
      <w:proofErr w:type="gramEnd"/>
      <w:r w:rsidRPr="007F311B">
        <w:t>判決中，法院查明涉案公司當年度無任何員工薪資申報紀錄，認定該公司不可能與他人從事交易。</w:t>
      </w:r>
      <w:proofErr w:type="gramStart"/>
      <w:r w:rsidRPr="007F311B">
        <w:t>此外，</w:t>
      </w:r>
      <w:proofErr w:type="gramEnd"/>
      <w:r w:rsidRPr="007F311B">
        <w:t>原告主張以現金支付巨額貨款並提出收據為證，但收據上的簽名人非該公司員工，法院因此認定原告並無支付貨款予該公司的事實。</w:t>
      </w:r>
    </w:p>
    <w:p w14:paraId="1050FEB7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案例二：資金回流</w:t>
      </w:r>
    </w:p>
    <w:p w14:paraId="0E4867AF" w14:textId="77777777" w:rsidR="007F311B" w:rsidRPr="007F311B" w:rsidRDefault="007F311B" w:rsidP="007F311B">
      <w:r w:rsidRPr="007F311B">
        <w:t>在財政部訴願決定書</w:t>
      </w:r>
      <w:proofErr w:type="gramStart"/>
      <w:r w:rsidRPr="007F311B">
        <w:t>（</w:t>
      </w:r>
      <w:proofErr w:type="gramEnd"/>
      <w:r w:rsidRPr="007F311B">
        <w:t>案號：第</w:t>
      </w:r>
      <w:r w:rsidRPr="007F311B">
        <w:t>09505190</w:t>
      </w:r>
      <w:r w:rsidRPr="007F311B">
        <w:t>號</w:t>
      </w:r>
      <w:proofErr w:type="gramStart"/>
      <w:r w:rsidRPr="007F311B">
        <w:t>）</w:t>
      </w:r>
      <w:proofErr w:type="gramEnd"/>
      <w:r w:rsidRPr="007F311B">
        <w:t>中，訴願人雖以支票及匯款方式給付貨款，但經查核資金流程發現，款項隨即匯入特定人士及其親屬帳戶，顯示訴願人並無支付實際交易對象貨款的事實。</w:t>
      </w:r>
    </w:p>
    <w:p w14:paraId="0ABE56B4" w14:textId="77777777" w:rsidR="007F311B" w:rsidRPr="007F311B" w:rsidRDefault="007F311B" w:rsidP="007F311B">
      <w:pPr>
        <w:rPr>
          <w:b/>
          <w:bCs/>
        </w:rPr>
      </w:pPr>
      <w:r w:rsidRPr="007F311B">
        <w:rPr>
          <w:b/>
          <w:bCs/>
        </w:rPr>
        <w:t>案例</w:t>
      </w:r>
      <w:proofErr w:type="gramStart"/>
      <w:r w:rsidRPr="007F311B">
        <w:rPr>
          <w:b/>
          <w:bCs/>
        </w:rPr>
        <w:t>三</w:t>
      </w:r>
      <w:proofErr w:type="gramEnd"/>
      <w:r w:rsidRPr="007F311B">
        <w:rPr>
          <w:b/>
          <w:bCs/>
        </w:rPr>
        <w:t>：憑證不完整或不一致</w:t>
      </w:r>
    </w:p>
    <w:p w14:paraId="4310FEB9" w14:textId="77777777" w:rsidR="007F311B" w:rsidRPr="007F311B" w:rsidRDefault="007F311B" w:rsidP="007F311B">
      <w:proofErr w:type="gramStart"/>
      <w:r w:rsidRPr="007F311B">
        <w:t>臺</w:t>
      </w:r>
      <w:proofErr w:type="gramEnd"/>
      <w:r w:rsidRPr="007F311B">
        <w:t>北高等行政法院</w:t>
      </w:r>
      <w:r w:rsidRPr="007F311B">
        <w:t>93</w:t>
      </w:r>
      <w:r w:rsidRPr="007F311B">
        <w:t>年簡字第</w:t>
      </w:r>
      <w:r w:rsidRPr="007F311B">
        <w:t>01463</w:t>
      </w:r>
      <w:r w:rsidRPr="007F311B">
        <w:t>號判決中，原告所提發票上的品名、數量記載過於簡略，無法判別商品為何；付款簽收簿的日期與發票日期相差甚遠；簽收人非交易對象公司的員工。這些不一致之處都導致法院認定原告未能證明交易的真實性。</w:t>
      </w:r>
    </w:p>
    <w:p w14:paraId="7E08D60C" w14:textId="77777777" w:rsidR="007F311B" w:rsidRPr="007F311B" w:rsidRDefault="007F311B" w:rsidP="007F311B">
      <w:pPr>
        <w:pStyle w:val="2"/>
      </w:pPr>
      <w:r w:rsidRPr="007F311B">
        <w:lastRenderedPageBreak/>
        <w:t>實務建議</w:t>
      </w:r>
    </w:p>
    <w:p w14:paraId="34087835" w14:textId="77777777" w:rsidR="007F311B" w:rsidRPr="007F311B" w:rsidRDefault="007F311B" w:rsidP="007F311B">
      <w:r w:rsidRPr="007F311B">
        <w:t>為提高舉證成功率，企業應注意以下幾點：</w:t>
      </w:r>
    </w:p>
    <w:p w14:paraId="43F847D2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建立完整的交易文件管理系統，妥善保存訂單、合約、驗收單等關鍵文件</w:t>
      </w:r>
    </w:p>
    <w:p w14:paraId="26E81078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採用可追蹤的付款方式，避免大額現金交易</w:t>
      </w:r>
    </w:p>
    <w:p w14:paraId="2FCC8284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確保交易對象的員工身分可查證，保存業務往來人員的基本資料</w:t>
      </w:r>
    </w:p>
    <w:p w14:paraId="53B7E143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定期整理進銷存紀錄，確保數據一致性</w:t>
      </w:r>
    </w:p>
    <w:p w14:paraId="5049A2FA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交易流程中各環節的時間點應合理一致，避免時間差異過大</w:t>
      </w:r>
    </w:p>
    <w:p w14:paraId="33FE3048" w14:textId="77777777" w:rsidR="007F311B" w:rsidRPr="007F311B" w:rsidRDefault="007F311B" w:rsidP="007F311B">
      <w:pPr>
        <w:numPr>
          <w:ilvl w:val="0"/>
          <w:numId w:val="5"/>
        </w:numPr>
      </w:pPr>
      <w:r w:rsidRPr="007F311B">
        <w:t>交易金額應與市場行情相符，避免明顯不合理的交易條件</w:t>
      </w:r>
    </w:p>
    <w:p w14:paraId="398EFD5E" w14:textId="77777777" w:rsidR="007F311B" w:rsidRPr="007F311B" w:rsidRDefault="007F311B" w:rsidP="007F311B">
      <w:pPr>
        <w:pStyle w:val="2"/>
      </w:pPr>
      <w:r w:rsidRPr="007F311B">
        <w:t>結語</w:t>
      </w:r>
    </w:p>
    <w:p w14:paraId="3D9AD65E" w14:textId="77777777" w:rsidR="007F311B" w:rsidRPr="007F311B" w:rsidRDefault="007F311B" w:rsidP="007F311B">
      <w:r w:rsidRPr="007F311B">
        <w:t>在稅務爭議中，交易真實性的舉證責任主要由納稅義務人承擔，特別是在主張進項稅額扣抵或費用認列時。有效的舉證應結合人證與物證，重點證明交易確實存在、交易對象確為發票</w:t>
      </w:r>
      <w:proofErr w:type="gramStart"/>
      <w:r w:rsidRPr="007F311B">
        <w:t>開立者</w:t>
      </w:r>
      <w:proofErr w:type="gramEnd"/>
      <w:r w:rsidRPr="007F311B">
        <w:t>，並已實際支付相關款項。</w:t>
      </w:r>
    </w:p>
    <w:p w14:paraId="781E981B" w14:textId="77777777" w:rsidR="007F311B" w:rsidRPr="007F311B" w:rsidRDefault="007F311B" w:rsidP="007F311B">
      <w:r w:rsidRPr="007F311B">
        <w:t>企業平時應建立良好的交易文件管理習慣，確保每一筆交易都有完整的證據鏈，包括訂單、驗收、付款等各環節的文件證明。這不僅有助於證明交易的真實性，也是企業財務健全管理的基礎。</w:t>
      </w:r>
    </w:p>
    <w:p w14:paraId="48BE3A58" w14:textId="77777777" w:rsidR="007F311B" w:rsidRPr="007F311B" w:rsidRDefault="007F311B" w:rsidP="007F311B">
      <w:r w:rsidRPr="007F311B">
        <w:t>在下一篇文章中，我們將探討「降低取得不實發票傷害的因應之道」，提供實用的補救措施與風險管理策略，協助企業在發現可能取得不實發票時，及時採取適當行動，降低潛在損失，敬請期待！</w:t>
      </w:r>
    </w:p>
    <w:p w14:paraId="189350A3" w14:textId="77777777" w:rsidR="00D9281F" w:rsidRPr="007F311B" w:rsidRDefault="00D9281F"/>
    <w:sectPr w:rsidR="00D9281F" w:rsidRPr="007F3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F87"/>
    <w:multiLevelType w:val="multilevel"/>
    <w:tmpl w:val="C170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40343"/>
    <w:multiLevelType w:val="multilevel"/>
    <w:tmpl w:val="834A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D2B30"/>
    <w:multiLevelType w:val="multilevel"/>
    <w:tmpl w:val="F16E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7324"/>
    <w:multiLevelType w:val="multilevel"/>
    <w:tmpl w:val="D73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C7F6A"/>
    <w:multiLevelType w:val="multilevel"/>
    <w:tmpl w:val="9BA0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78262">
    <w:abstractNumId w:val="4"/>
  </w:num>
  <w:num w:numId="2" w16cid:durableId="1930194446">
    <w:abstractNumId w:val="0"/>
  </w:num>
  <w:num w:numId="3" w16cid:durableId="1979914854">
    <w:abstractNumId w:val="2"/>
  </w:num>
  <w:num w:numId="4" w16cid:durableId="1756778542">
    <w:abstractNumId w:val="3"/>
  </w:num>
  <w:num w:numId="5" w16cid:durableId="79606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F"/>
    <w:rsid w:val="005774E2"/>
    <w:rsid w:val="007F311B"/>
    <w:rsid w:val="00883CAF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FC594-B8B6-44CB-8334-EBFB71B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2025-05-06T05:27:00Z</dcterms:created>
  <dcterms:modified xsi:type="dcterms:W3CDTF">2025-05-06T05:28:00Z</dcterms:modified>
</cp:coreProperties>
</file>