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5CBDD" w14:textId="09D4ECFD" w:rsidR="00394492" w:rsidRPr="00394492" w:rsidRDefault="00394492" w:rsidP="00394492">
      <w:pPr>
        <w:pStyle w:val="1"/>
      </w:pPr>
      <w:r w:rsidRPr="00394492">
        <w:t>制度概要與適用條件</w:t>
      </w:r>
    </w:p>
    <w:p w14:paraId="71EAAD61" w14:textId="77777777" w:rsidR="00394492" w:rsidRPr="00394492" w:rsidRDefault="00394492" w:rsidP="00394492">
      <w:pPr>
        <w:pStyle w:val="2"/>
      </w:pPr>
      <w:r w:rsidRPr="00394492">
        <w:t>前言</w:t>
      </w:r>
    </w:p>
    <w:p w14:paraId="530A691C" w14:textId="77777777" w:rsidR="00394492" w:rsidRPr="00394492" w:rsidRDefault="00394492" w:rsidP="00394492">
      <w:r w:rsidRPr="00394492">
        <w:t>營利事業所得稅結算申報是企業每年必須面對的稅務作業，為了簡化稅務機關的</w:t>
      </w:r>
      <w:proofErr w:type="gramStart"/>
      <w:r w:rsidRPr="00394492">
        <w:t>稽</w:t>
      </w:r>
      <w:proofErr w:type="gramEnd"/>
      <w:r w:rsidRPr="00394492">
        <w:t>徵作業並提供納稅義務人更便捷的申報方式，財政部訂定了「營利事業所得稅結算申報案件擴大書面審核實施要點」。本文將介紹</w:t>
      </w:r>
      <w:proofErr w:type="gramStart"/>
      <w:r w:rsidRPr="00394492">
        <w:t>113</w:t>
      </w:r>
      <w:proofErr w:type="gramEnd"/>
      <w:r w:rsidRPr="00394492">
        <w:t>年度營利事業所得稅結算申報的擴大書面審核制度，包括其立法目的、適用條件及相關規定，幫助營利事業了解如何符合擴大書面審核的標準，以簡化申報程序。</w:t>
      </w:r>
    </w:p>
    <w:p w14:paraId="516F2F36" w14:textId="77777777" w:rsidR="00394492" w:rsidRPr="00394492" w:rsidRDefault="00394492" w:rsidP="00394492">
      <w:pPr>
        <w:pStyle w:val="2"/>
      </w:pPr>
      <w:r w:rsidRPr="00394492">
        <w:t>一、擴大書面審核制度的立法目的</w:t>
      </w:r>
    </w:p>
    <w:p w14:paraId="317314DE" w14:textId="77777777" w:rsidR="00394492" w:rsidRPr="00394492" w:rsidRDefault="00394492" w:rsidP="00394492">
      <w:r w:rsidRPr="00394492">
        <w:t>擴大書面審核制度的設立目的在於簡化稅務機關的</w:t>
      </w:r>
      <w:proofErr w:type="gramStart"/>
      <w:r w:rsidRPr="00394492">
        <w:t>稽</w:t>
      </w:r>
      <w:proofErr w:type="gramEnd"/>
      <w:r w:rsidRPr="00394492">
        <w:t>徵作業，同時推行便民服務。依據一百十三年度營利事業所得稅結算申報案件擴大書面審核實施要點第一點，此制度的核心目標是減輕稅務機關的行政負擔，並為納稅義務人提供更為便利的申報環境。</w:t>
      </w:r>
    </w:p>
    <w:p w14:paraId="26F451DB" w14:textId="77777777" w:rsidR="00394492" w:rsidRPr="00394492" w:rsidRDefault="00394492" w:rsidP="00394492">
      <w:r w:rsidRPr="00394492">
        <w:t>透過擴大書面審核制度，符合特定條件的營利事業可以享受較為簡化的審核程序，稅務機關僅就其申報資料進行書面審核，而不需要進行實質查核，這不僅能提高稅務行政效率，也能減少納稅義務人的負擔。</w:t>
      </w:r>
    </w:p>
    <w:p w14:paraId="05F503CC" w14:textId="77777777" w:rsidR="00394492" w:rsidRPr="00394492" w:rsidRDefault="00394492" w:rsidP="00394492">
      <w:pPr>
        <w:pStyle w:val="2"/>
      </w:pPr>
      <w:r w:rsidRPr="00394492">
        <w:t>二、擴大書面審核的適用條件</w:t>
      </w:r>
    </w:p>
    <w:p w14:paraId="239F564B" w14:textId="77777777" w:rsidR="00394492" w:rsidRPr="00394492" w:rsidRDefault="00394492" w:rsidP="00394492">
      <w:r w:rsidRPr="00394492">
        <w:t>根據實施要點第二點規定，營利事業符合以下條件者，可適用擴大書面審核：</w:t>
      </w:r>
    </w:p>
    <w:p w14:paraId="32BE4307" w14:textId="77777777" w:rsidR="00394492" w:rsidRPr="00394492" w:rsidRDefault="00394492" w:rsidP="00394492">
      <w:pPr>
        <w:numPr>
          <w:ilvl w:val="0"/>
          <w:numId w:val="1"/>
        </w:numPr>
      </w:pPr>
      <w:r w:rsidRPr="00394492">
        <w:rPr>
          <w:b/>
          <w:bCs/>
        </w:rPr>
        <w:t>營收規模限制</w:t>
      </w:r>
      <w:r w:rsidRPr="00394492">
        <w:t>：全年營業收入淨額及非營業收入合計在新臺幣三千萬元以下。需注意的是，計算時不包括：</w:t>
      </w:r>
    </w:p>
    <w:p w14:paraId="481E3DD5" w14:textId="77777777" w:rsidR="00394492" w:rsidRPr="00394492" w:rsidRDefault="00394492" w:rsidP="00394492">
      <w:pPr>
        <w:numPr>
          <w:ilvl w:val="1"/>
          <w:numId w:val="1"/>
        </w:numPr>
      </w:pPr>
      <w:r w:rsidRPr="00394492">
        <w:t>土地及其</w:t>
      </w:r>
      <w:proofErr w:type="gramStart"/>
      <w:r w:rsidRPr="00394492">
        <w:t>定著</w:t>
      </w:r>
      <w:proofErr w:type="gramEnd"/>
      <w:r w:rsidRPr="00394492">
        <w:t>物（如房屋等）的交易增益</w:t>
      </w:r>
    </w:p>
    <w:p w14:paraId="4B36E97F" w14:textId="77777777" w:rsidR="00394492" w:rsidRPr="00394492" w:rsidRDefault="00394492" w:rsidP="00394492">
      <w:pPr>
        <w:numPr>
          <w:ilvl w:val="1"/>
          <w:numId w:val="1"/>
        </w:numPr>
      </w:pPr>
      <w:r w:rsidRPr="00394492">
        <w:t>所得稅法第四條之四規定的房屋使用權、預售屋及其坐落基地的交易增益</w:t>
      </w:r>
    </w:p>
    <w:p w14:paraId="14A8942B" w14:textId="77777777" w:rsidR="00394492" w:rsidRPr="00394492" w:rsidRDefault="00394492" w:rsidP="00394492">
      <w:pPr>
        <w:numPr>
          <w:ilvl w:val="1"/>
          <w:numId w:val="1"/>
        </w:numPr>
      </w:pPr>
      <w:r w:rsidRPr="00394492">
        <w:t>股份或出資額的交易增益</w:t>
      </w:r>
    </w:p>
    <w:p w14:paraId="2248DFBC" w14:textId="77777777" w:rsidR="00394492" w:rsidRPr="00394492" w:rsidRDefault="00394492" w:rsidP="00394492">
      <w:pPr>
        <w:numPr>
          <w:ilvl w:val="1"/>
          <w:numId w:val="1"/>
        </w:numPr>
      </w:pPr>
      <w:r w:rsidRPr="00394492">
        <w:t>依法不計入所得課稅的所得額</w:t>
      </w:r>
    </w:p>
    <w:p w14:paraId="60BBE5EB" w14:textId="77777777" w:rsidR="00394492" w:rsidRPr="00394492" w:rsidRDefault="00394492" w:rsidP="00394492">
      <w:pPr>
        <w:numPr>
          <w:ilvl w:val="0"/>
          <w:numId w:val="1"/>
        </w:numPr>
      </w:pPr>
      <w:r w:rsidRPr="00394492">
        <w:rPr>
          <w:b/>
          <w:bCs/>
        </w:rPr>
        <w:t>申報資料完整性</w:t>
      </w:r>
      <w:r w:rsidRPr="00394492">
        <w:t>：申報時書表必須齊全，確保稅務機關能夠進行有效的書面審核。</w:t>
      </w:r>
    </w:p>
    <w:p w14:paraId="2370522C" w14:textId="77777777" w:rsidR="00394492" w:rsidRPr="00394492" w:rsidRDefault="00394492" w:rsidP="00394492">
      <w:pPr>
        <w:numPr>
          <w:ilvl w:val="0"/>
          <w:numId w:val="1"/>
        </w:numPr>
      </w:pPr>
      <w:r w:rsidRPr="00394492">
        <w:rPr>
          <w:b/>
          <w:bCs/>
        </w:rPr>
        <w:t>符合純益率標準</w:t>
      </w:r>
      <w:r w:rsidRPr="00394492">
        <w:t>：自行依法調整的純益率必須達到或超過實施要點所規定的各行業標準。</w:t>
      </w:r>
    </w:p>
    <w:p w14:paraId="270D27BF" w14:textId="77777777" w:rsidR="00394492" w:rsidRPr="00394492" w:rsidRDefault="00394492" w:rsidP="00394492">
      <w:pPr>
        <w:numPr>
          <w:ilvl w:val="0"/>
          <w:numId w:val="1"/>
        </w:numPr>
      </w:pPr>
      <w:r w:rsidRPr="00394492">
        <w:rPr>
          <w:b/>
          <w:bCs/>
        </w:rPr>
        <w:lastRenderedPageBreak/>
        <w:t>按時繳納稅款</w:t>
      </w:r>
      <w:r w:rsidRPr="00394492">
        <w:t>：須於申報期限截止前繳清應納稅款（包含所得稅法第四條之四規定的相關稅額）。值得注意的是，獨資、合夥組織雖應辦理結算申報，但無須計算及繳納應納稅額。</w:t>
      </w:r>
    </w:p>
    <w:p w14:paraId="3EBA81FC" w14:textId="77777777" w:rsidR="00394492" w:rsidRPr="00394492" w:rsidRDefault="00394492" w:rsidP="00394492">
      <w:pPr>
        <w:pStyle w:val="2"/>
      </w:pPr>
      <w:r w:rsidRPr="00394492">
        <w:t>三、純益率標準的基本架構</w:t>
      </w:r>
    </w:p>
    <w:p w14:paraId="141971D9" w14:textId="77777777" w:rsidR="00394492" w:rsidRPr="00394492" w:rsidRDefault="00394492" w:rsidP="00394492">
      <w:r w:rsidRPr="00394492">
        <w:t>純益率標準是擴大書面審核的核心指標，實施要點針對不同行業訂定了不同的純益率標準，主要分為以下幾個級距：</w:t>
      </w:r>
    </w:p>
    <w:p w14:paraId="2F314862" w14:textId="77777777" w:rsidR="00394492" w:rsidRPr="00394492" w:rsidRDefault="00394492" w:rsidP="00394492">
      <w:pPr>
        <w:numPr>
          <w:ilvl w:val="0"/>
          <w:numId w:val="2"/>
        </w:numPr>
      </w:pPr>
      <w:r w:rsidRPr="00394492">
        <w:t>1%</w:t>
      </w:r>
      <w:r w:rsidRPr="00394492">
        <w:t>：如稻米批發、農產品批發市場承銷等</w:t>
      </w:r>
    </w:p>
    <w:p w14:paraId="10B29412" w14:textId="77777777" w:rsidR="00394492" w:rsidRPr="00394492" w:rsidRDefault="00394492" w:rsidP="00394492">
      <w:pPr>
        <w:numPr>
          <w:ilvl w:val="0"/>
          <w:numId w:val="2"/>
        </w:numPr>
      </w:pPr>
      <w:r w:rsidRPr="00394492">
        <w:t>2%</w:t>
      </w:r>
      <w:r w:rsidRPr="00394492">
        <w:t>：如豆類、</w:t>
      </w:r>
      <w:proofErr w:type="gramStart"/>
      <w:r w:rsidRPr="00394492">
        <w:t>麥類及</w:t>
      </w:r>
      <w:proofErr w:type="gramEnd"/>
      <w:r w:rsidRPr="00394492">
        <w:t>其他雜糧買賣、國產菸酒批發、計程車客運等</w:t>
      </w:r>
    </w:p>
    <w:p w14:paraId="2DE7406B" w14:textId="77777777" w:rsidR="00394492" w:rsidRPr="00394492" w:rsidRDefault="00394492" w:rsidP="00394492">
      <w:pPr>
        <w:numPr>
          <w:ilvl w:val="0"/>
          <w:numId w:val="2"/>
        </w:numPr>
      </w:pPr>
      <w:r w:rsidRPr="00394492">
        <w:t>3%</w:t>
      </w:r>
      <w:r w:rsidRPr="00394492">
        <w:t>：如未分類砂、石採取及其他礦業、</w:t>
      </w:r>
      <w:proofErr w:type="gramStart"/>
      <w:r w:rsidRPr="00394492">
        <w:t>動物飼品製造</w:t>
      </w:r>
      <w:proofErr w:type="gramEnd"/>
      <w:r w:rsidRPr="00394492">
        <w:t>、水產品零售等</w:t>
      </w:r>
    </w:p>
    <w:p w14:paraId="1B9F2676" w14:textId="77777777" w:rsidR="00394492" w:rsidRPr="00394492" w:rsidRDefault="00394492" w:rsidP="00394492">
      <w:pPr>
        <w:numPr>
          <w:ilvl w:val="0"/>
          <w:numId w:val="2"/>
        </w:numPr>
      </w:pPr>
      <w:r w:rsidRPr="00394492">
        <w:t>4%</w:t>
      </w:r>
      <w:r w:rsidRPr="00394492">
        <w:t>：如農、林、漁、牧業、織布業、蔬菜批發等</w:t>
      </w:r>
    </w:p>
    <w:p w14:paraId="43932B53" w14:textId="77777777" w:rsidR="00394492" w:rsidRPr="00394492" w:rsidRDefault="00394492" w:rsidP="00394492">
      <w:pPr>
        <w:numPr>
          <w:ilvl w:val="0"/>
          <w:numId w:val="2"/>
        </w:numPr>
      </w:pPr>
      <w:r w:rsidRPr="00394492">
        <w:t>5%</w:t>
      </w:r>
      <w:r w:rsidRPr="00394492">
        <w:t>：如砂石採取、豆腐製造、書籍出版業等</w:t>
      </w:r>
    </w:p>
    <w:p w14:paraId="7FF1DA4D" w14:textId="77777777" w:rsidR="00394492" w:rsidRPr="00394492" w:rsidRDefault="00394492" w:rsidP="00394492">
      <w:pPr>
        <w:numPr>
          <w:ilvl w:val="0"/>
          <w:numId w:val="2"/>
        </w:numPr>
      </w:pPr>
      <w:r w:rsidRPr="00394492">
        <w:t>6%</w:t>
      </w:r>
      <w:r w:rsidRPr="00394492">
        <w:t>：不屬於實施要點中列舉的其他業別</w:t>
      </w:r>
    </w:p>
    <w:p w14:paraId="7C50C34A" w14:textId="77777777" w:rsidR="00394492" w:rsidRPr="00394492" w:rsidRDefault="00394492" w:rsidP="00394492">
      <w:pPr>
        <w:numPr>
          <w:ilvl w:val="0"/>
          <w:numId w:val="2"/>
        </w:numPr>
      </w:pPr>
      <w:r w:rsidRPr="00394492">
        <w:t>7%</w:t>
      </w:r>
      <w:r w:rsidRPr="00394492">
        <w:t>：如產業用機械設備維修及安裝業、餐盒零售、廣告業等</w:t>
      </w:r>
    </w:p>
    <w:p w14:paraId="4160EFE2" w14:textId="77777777" w:rsidR="00394492" w:rsidRPr="00394492" w:rsidRDefault="00394492" w:rsidP="00394492">
      <w:pPr>
        <w:numPr>
          <w:ilvl w:val="0"/>
          <w:numId w:val="2"/>
        </w:numPr>
      </w:pPr>
      <w:r w:rsidRPr="00394492">
        <w:t>8%</w:t>
      </w:r>
      <w:r w:rsidRPr="00394492">
        <w:t>：如保健營養食品買賣、電信業、保險輔助業等</w:t>
      </w:r>
    </w:p>
    <w:p w14:paraId="3EDF90A3" w14:textId="77777777" w:rsidR="00394492" w:rsidRPr="00394492" w:rsidRDefault="00394492" w:rsidP="00394492">
      <w:pPr>
        <w:numPr>
          <w:ilvl w:val="0"/>
          <w:numId w:val="2"/>
        </w:numPr>
      </w:pPr>
      <w:r w:rsidRPr="00394492">
        <w:t>9%</w:t>
      </w:r>
      <w:r w:rsidRPr="00394492">
        <w:t>：如連鎖速食店、餐廳、咖啡館等</w:t>
      </w:r>
    </w:p>
    <w:p w14:paraId="21BC8765" w14:textId="77777777" w:rsidR="00394492" w:rsidRPr="00394492" w:rsidRDefault="00394492" w:rsidP="00394492">
      <w:pPr>
        <w:numPr>
          <w:ilvl w:val="0"/>
          <w:numId w:val="2"/>
        </w:numPr>
      </w:pPr>
      <w:r w:rsidRPr="00394492">
        <w:t>10%</w:t>
      </w:r>
      <w:r w:rsidRPr="00394492">
        <w:t>：如電力供應業、財產保險經紀、法律服務業等</w:t>
      </w:r>
    </w:p>
    <w:p w14:paraId="58A300C9" w14:textId="77777777" w:rsidR="00394492" w:rsidRPr="00394492" w:rsidRDefault="00394492" w:rsidP="00394492">
      <w:r w:rsidRPr="00394492">
        <w:t>若營利事業經營兩種以上行業，則以主要業別（即收入較高者）的純益率標準計算。</w:t>
      </w:r>
    </w:p>
    <w:p w14:paraId="006209B9" w14:textId="77777777" w:rsidR="00394492" w:rsidRPr="00394492" w:rsidRDefault="00394492" w:rsidP="00394492">
      <w:pPr>
        <w:pStyle w:val="2"/>
      </w:pPr>
      <w:r w:rsidRPr="00394492">
        <w:t>四、純益率未達標準的處理方式</w:t>
      </w:r>
    </w:p>
    <w:p w14:paraId="4C1BA47F" w14:textId="77777777" w:rsidR="00394492" w:rsidRPr="00394492" w:rsidRDefault="00394492" w:rsidP="00394492">
      <w:r w:rsidRPr="00394492">
        <w:t>根據實施要點第三點，若營利事業自行依法調整的純益率未達規定標準，稅捐</w:t>
      </w:r>
      <w:proofErr w:type="gramStart"/>
      <w:r w:rsidRPr="00394492">
        <w:t>稽</w:t>
      </w:r>
      <w:proofErr w:type="gramEnd"/>
      <w:r w:rsidRPr="00394492">
        <w:t>徵機關可於結算申報期限截止前，輔導營利事業自行調整至規定的純益率標準並繳清應納稅款，以符合擴大書面審核的條件。</w:t>
      </w:r>
    </w:p>
    <w:p w14:paraId="5B826F02" w14:textId="77777777" w:rsidR="00394492" w:rsidRPr="00394492" w:rsidRDefault="00394492" w:rsidP="00394492">
      <w:r w:rsidRPr="00394492">
        <w:t>需要注意的是，獨資、合夥組織雖無須計算及繳納應納稅額，但仍需達到相應的純益率標準才能適用擴大書面審核。</w:t>
      </w:r>
    </w:p>
    <w:p w14:paraId="35E983E8" w14:textId="77777777" w:rsidR="00394492" w:rsidRPr="00394492" w:rsidRDefault="00394492" w:rsidP="00394492">
      <w:pPr>
        <w:pStyle w:val="2"/>
      </w:pPr>
      <w:r w:rsidRPr="00394492">
        <w:t>五、帳簿設置與純益率調整的規定</w:t>
      </w:r>
    </w:p>
    <w:p w14:paraId="5A762F80" w14:textId="77777777" w:rsidR="00394492" w:rsidRPr="00394492" w:rsidRDefault="00394492" w:rsidP="00394492">
      <w:r w:rsidRPr="00394492">
        <w:t>實施要點第四點規定，申報適用擴大書面審核的營利事業，必須：</w:t>
      </w:r>
    </w:p>
    <w:p w14:paraId="030921A3" w14:textId="77777777" w:rsidR="00394492" w:rsidRPr="00394492" w:rsidRDefault="00394492" w:rsidP="00394492">
      <w:pPr>
        <w:numPr>
          <w:ilvl w:val="0"/>
          <w:numId w:val="3"/>
        </w:numPr>
      </w:pPr>
      <w:r w:rsidRPr="00394492">
        <w:t>依規定設置帳簿記載</w:t>
      </w:r>
    </w:p>
    <w:p w14:paraId="105C1F6B" w14:textId="77777777" w:rsidR="00394492" w:rsidRPr="00394492" w:rsidRDefault="00394492" w:rsidP="00394492">
      <w:pPr>
        <w:numPr>
          <w:ilvl w:val="0"/>
          <w:numId w:val="3"/>
        </w:numPr>
      </w:pPr>
      <w:r w:rsidRPr="00394492">
        <w:lastRenderedPageBreak/>
        <w:t>取得、給與及保存憑證</w:t>
      </w:r>
    </w:p>
    <w:p w14:paraId="392DFE00" w14:textId="77777777" w:rsidR="00394492" w:rsidRPr="00394492" w:rsidRDefault="00394492" w:rsidP="00394492">
      <w:pPr>
        <w:numPr>
          <w:ilvl w:val="0"/>
          <w:numId w:val="3"/>
        </w:numPr>
      </w:pPr>
      <w:r w:rsidRPr="00394492">
        <w:t>帳載結算事項須依營利事業所得稅查核準則第二條第一項規定自行依法調整</w:t>
      </w:r>
    </w:p>
    <w:p w14:paraId="34762456" w14:textId="77777777" w:rsidR="00394492" w:rsidRPr="00394492" w:rsidRDefault="00394492" w:rsidP="00394492">
      <w:r w:rsidRPr="00394492">
        <w:t>特別需要注意的是，如果營利事業調整後的純益率高於實施要點的純益率標準，應依較高的純益率申報繳納稅款。若不符合規定，稅捐</w:t>
      </w:r>
      <w:proofErr w:type="gramStart"/>
      <w:r w:rsidRPr="00394492">
        <w:t>稽</w:t>
      </w:r>
      <w:proofErr w:type="gramEnd"/>
      <w:r w:rsidRPr="00394492">
        <w:t>徵機關於書面審核時，對不合規定部分仍不予認列。</w:t>
      </w:r>
    </w:p>
    <w:p w14:paraId="335CC505" w14:textId="77777777" w:rsidR="00394492" w:rsidRPr="00394492" w:rsidRDefault="00394492" w:rsidP="00394492">
      <w:pPr>
        <w:pStyle w:val="2"/>
      </w:pPr>
      <w:r w:rsidRPr="00394492">
        <w:t>六、特殊情況的延期繳納處理</w:t>
      </w:r>
    </w:p>
    <w:p w14:paraId="08FF1920" w14:textId="77777777" w:rsidR="00394492" w:rsidRPr="00394492" w:rsidRDefault="00394492" w:rsidP="00394492">
      <w:r w:rsidRPr="00394492">
        <w:t>根據實施要點第八點，營利事業如因天災、事變、不可抗力事由或客觀財務困難，不能於法定期限內一次繳清應納結算稅額，可依稅捐</w:t>
      </w:r>
      <w:proofErr w:type="gramStart"/>
      <w:r w:rsidRPr="00394492">
        <w:t>稽</w:t>
      </w:r>
      <w:proofErr w:type="gramEnd"/>
      <w:r w:rsidRPr="00394492">
        <w:t>徵法第二十六條、第二十六條之</w:t>
      </w:r>
      <w:proofErr w:type="gramStart"/>
      <w:r w:rsidRPr="00394492">
        <w:t>一</w:t>
      </w:r>
      <w:proofErr w:type="gramEnd"/>
      <w:r w:rsidRPr="00394492">
        <w:t>及相關辦法規定申請延期或分期繳納。</w:t>
      </w:r>
    </w:p>
    <w:p w14:paraId="3D739EF7" w14:textId="77777777" w:rsidR="00394492" w:rsidRPr="00394492" w:rsidRDefault="00394492" w:rsidP="00394492">
      <w:r w:rsidRPr="00394492">
        <w:t>若申請獲得核准，則視為符合於申報期限截止前繳清應納稅款的條件，可適用擴大書面審核規定辦理。但需注意，如營利事業未按期繳納任何一期應納稅款，則改按一般申報案件辦理。</w:t>
      </w:r>
    </w:p>
    <w:p w14:paraId="17A6485E" w14:textId="77777777" w:rsidR="00394492" w:rsidRPr="00394492" w:rsidRDefault="00394492" w:rsidP="00394492">
      <w:pPr>
        <w:pStyle w:val="2"/>
      </w:pPr>
      <w:r w:rsidRPr="00394492">
        <w:t>結語</w:t>
      </w:r>
    </w:p>
    <w:p w14:paraId="6133016F" w14:textId="77777777" w:rsidR="00394492" w:rsidRPr="00394492" w:rsidRDefault="00394492" w:rsidP="00394492">
      <w:r w:rsidRPr="00394492">
        <w:t>擴大書面審核制度為符合條件的營利事業提供了較為簡化的稅務申報流程，營利事業可透過了解各項適用條件和純益率標準，評估自身是否符合擴大書面審核的條件。若符合條件，不僅可以簡化申報程序，也能降低稅務查核的壓力。然而，營利事業仍需謹慎核算純益率，確保其符合或超過要點規定的標準，以避免後續的稅務爭議。</w:t>
      </w:r>
    </w:p>
    <w:p w14:paraId="7CCADD81" w14:textId="77777777" w:rsidR="00394492" w:rsidRPr="00394492" w:rsidRDefault="00394492" w:rsidP="00394492">
      <w:r w:rsidRPr="00394492">
        <w:t>下一篇文章將詳細解析各行業的純益率標準，幫助讀者更深入了解不同行業的稅務處理特點，敬請期待。</w:t>
      </w:r>
    </w:p>
    <w:p w14:paraId="0DA0AA6F" w14:textId="77777777" w:rsidR="00394492" w:rsidRPr="00394492" w:rsidRDefault="00394492" w:rsidP="00394492">
      <w:r w:rsidRPr="00394492">
        <w:t>標籤：營利事業所得稅、擴大書面審核、純益率、稅務申報</w:t>
      </w:r>
    </w:p>
    <w:p w14:paraId="67B70E82" w14:textId="77777777" w:rsidR="00394492" w:rsidRPr="00394492" w:rsidRDefault="00394492" w:rsidP="00394492">
      <w:r w:rsidRPr="00394492">
        <w:t>發布日期：</w:t>
      </w:r>
      <w:r w:rsidRPr="00394492">
        <w:t>2025-04-30</w:t>
      </w:r>
    </w:p>
    <w:p w14:paraId="24D64597" w14:textId="77777777" w:rsidR="00D9281F" w:rsidRDefault="00D9281F"/>
    <w:sectPr w:rsidR="00D928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73BE3"/>
    <w:multiLevelType w:val="multilevel"/>
    <w:tmpl w:val="448E4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F4366F"/>
    <w:multiLevelType w:val="multilevel"/>
    <w:tmpl w:val="23E6A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E263C6"/>
    <w:multiLevelType w:val="multilevel"/>
    <w:tmpl w:val="FDFE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213676">
    <w:abstractNumId w:val="0"/>
  </w:num>
  <w:num w:numId="2" w16cid:durableId="1841651490">
    <w:abstractNumId w:val="2"/>
  </w:num>
  <w:num w:numId="3" w16cid:durableId="900990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1A"/>
    <w:rsid w:val="0037501A"/>
    <w:rsid w:val="00394492"/>
    <w:rsid w:val="003A568C"/>
    <w:rsid w:val="009777E2"/>
    <w:rsid w:val="00B30DCA"/>
    <w:rsid w:val="00B64427"/>
    <w:rsid w:val="00D928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2F7B0"/>
  <w15:chartTrackingRefBased/>
  <w15:docId w15:val="{A0481CD0-0B43-47E4-BB5E-6BBC3B1E1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2</cp:revision>
  <dcterms:created xsi:type="dcterms:W3CDTF">2025-05-06T06:22:00Z</dcterms:created>
  <dcterms:modified xsi:type="dcterms:W3CDTF">2025-05-06T06:24:00Z</dcterms:modified>
</cp:coreProperties>
</file>