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763D" w14:textId="73FBE726" w:rsidR="006B07C0" w:rsidRPr="006B07C0" w:rsidRDefault="006B07C0" w:rsidP="006B07C0">
      <w:pPr>
        <w:spacing w:before="100" w:beforeAutospacing="1" w:after="100" w:afterAutospacing="1" w:line="240" w:lineRule="auto"/>
        <w:outlineLvl w:val="0"/>
        <w:rPr>
          <w:rFonts w:ascii="PMingLiU" w:eastAsia="PMingLiU" w:hAnsi="PMingLiU" w:cs="PMingLiU"/>
          <w:b/>
          <w:bCs/>
          <w:kern w:val="36"/>
          <w:sz w:val="48"/>
          <w:szCs w:val="48"/>
        </w:rPr>
      </w:pPr>
      <w:r w:rsidRPr="006B07C0">
        <w:rPr>
          <w:rFonts w:ascii="PMingLiU" w:eastAsia="PMingLiU" w:hAnsi="PMingLiU" w:cs="PMingLiU"/>
          <w:b/>
          <w:bCs/>
          <w:kern w:val="36"/>
          <w:sz w:val="48"/>
          <w:szCs w:val="48"/>
        </w:rPr>
        <w:t>財務報表簽證實務與重點</w:t>
      </w:r>
    </w:p>
    <w:p w14:paraId="35E1D21C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前言</w:t>
      </w:r>
    </w:p>
    <w:p w14:paraId="33464EB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隨著台灣經濟發展及法規要求日趨嚴謹，財務報表簽證已成為許多企業必要的財務程序。對於台中及中部地區的中小企業而言，了解財務報表簽證的重要性、流程及實務重點，不僅是法規遵循的需要，更是提升企業財務透明度和獲取外部資源的關鍵。許多企業主對於何時需要財務簽證、如何準備相關資料，以及會計師執行查核的重點缺乏全面了解，導致簽證過程耗時費力甚至衍生不必要的問題。本文將從專業會計角度，詳細解析財務報表簽證的實務流程、準備工作及常見問題，協助中部地區企業主理解並有效配合財務簽證工作，提升財務管理品質。</w:t>
      </w:r>
    </w:p>
    <w:p w14:paraId="2B47AF4F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一、財務報表簽證的意義與重要性</w:t>
      </w:r>
    </w:p>
    <w:p w14:paraId="781D2CD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財務報表簽證的專業定義</w:t>
      </w:r>
    </w:p>
    <w:p w14:paraId="124DDDF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財務報表簽證是指由具有執業資格的會計師，依據審計準則對企業財務報表執行查核程序，並針對財務報表是否允當表達發表專業意見的過程。在台灣，這項制度具有深遠的意義：</w:t>
      </w:r>
    </w:p>
    <w:p w14:paraId="504A216E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提供財務報表可信度的獨立專業保證</w:t>
      </w:r>
    </w:p>
    <w:p w14:paraId="46F14FBA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確保企業會計處理符合一般公認會計原則</w:t>
      </w:r>
    </w:p>
    <w:p w14:paraId="328C7973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增加財務資訊的透明度與可靠性</w:t>
      </w:r>
    </w:p>
    <w:p w14:paraId="521BF350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協助辨識潛在的財務風險與管理問題</w:t>
      </w:r>
    </w:p>
    <w:p w14:paraId="1552294B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提升企業整體財務紀律與治理水平</w:t>
      </w:r>
    </w:p>
    <w:p w14:paraId="0C06E4F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法規要求與適用對象</w:t>
      </w:r>
    </w:p>
    <w:p w14:paraId="7F89719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在台灣，以下企業依法需要進行財務報表簽證：</w:t>
      </w:r>
    </w:p>
    <w:p w14:paraId="56D8E7EE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公開發行及上市櫃公司(依證券交易法規定)</w:t>
      </w:r>
    </w:p>
    <w:p w14:paraId="5A468960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資本額達3,000萬元以上的營利事業(依所得稅法規定)</w:t>
      </w:r>
    </w:p>
    <w:p w14:paraId="5F1101A3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銀行、保險、證券等金融業者(依各業管理法規)</w:t>
      </w:r>
    </w:p>
    <w:p w14:paraId="2A78BB49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特定行業如建設公司、醫療機構等(依相關行業法規)</w:t>
      </w:r>
    </w:p>
    <w:p w14:paraId="74B596AA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接受政府補助或參與政府採購的廠商(依合約要求)</w:t>
      </w:r>
    </w:p>
    <w:p w14:paraId="7561EBF8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對於台中地區中小企業，即使未達法定標準，主動進行財務簽證也能獲得諸多實質效益。</w:t>
      </w:r>
    </w:p>
    <w:p w14:paraId="48A67EC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財務簽證對企業的多重價值</w:t>
      </w:r>
    </w:p>
    <w:p w14:paraId="365B8C76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會計師提供的財務簽證服務為企業創造的價值包括：</w:t>
      </w:r>
    </w:p>
    <w:p w14:paraId="71286CB9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融資便利性提升</w:t>
      </w:r>
      <w:r w:rsidRPr="006B07C0">
        <w:rPr>
          <w:rFonts w:ascii="PMingLiU" w:eastAsia="PMingLiU" w:hAnsi="PMingLiU" w:cs="PMingLiU"/>
          <w:sz w:val="24"/>
          <w:szCs w:val="24"/>
        </w:rPr>
        <w:t>：銀行及金融機構普遍更信任經過簽證的財務報表，有助於企業獲得更有利的貸款條件</w:t>
      </w:r>
    </w:p>
    <w:p w14:paraId="36DFD797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投資吸引力增強</w:t>
      </w:r>
      <w:r w:rsidRPr="006B07C0">
        <w:rPr>
          <w:rFonts w:ascii="PMingLiU" w:eastAsia="PMingLiU" w:hAnsi="PMingLiU" w:cs="PMingLiU"/>
          <w:sz w:val="24"/>
          <w:szCs w:val="24"/>
        </w:rPr>
        <w:t>：對潛在投資者而言，經過簽證的財務報表代表更高的信賴度</w:t>
      </w:r>
    </w:p>
    <w:p w14:paraId="445E825D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稅務風險降低</w:t>
      </w:r>
      <w:r w:rsidRPr="006B07C0">
        <w:rPr>
          <w:rFonts w:ascii="PMingLiU" w:eastAsia="PMingLiU" w:hAnsi="PMingLiU" w:cs="PMingLiU"/>
          <w:sz w:val="24"/>
          <w:szCs w:val="24"/>
        </w:rPr>
        <w:t>：透過專業查核可及早發現並改正稅務問題，降低補稅及罰鍰風險</w:t>
      </w:r>
    </w:p>
    <w:p w14:paraId="78BC00B3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管理決策支持</w:t>
      </w:r>
      <w:r w:rsidRPr="006B07C0">
        <w:rPr>
          <w:rFonts w:ascii="PMingLiU" w:eastAsia="PMingLiU" w:hAnsi="PMingLiU" w:cs="PMingLiU"/>
          <w:sz w:val="24"/>
          <w:szCs w:val="24"/>
        </w:rPr>
        <w:t>：簽證過程中的專業發現與建議，能協助優化企業管理</w:t>
      </w:r>
    </w:p>
    <w:p w14:paraId="5F73C7D7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企業價值提升</w:t>
      </w:r>
      <w:r w:rsidRPr="006B07C0">
        <w:rPr>
          <w:rFonts w:ascii="PMingLiU" w:eastAsia="PMingLiU" w:hAnsi="PMingLiU" w:cs="PMingLiU"/>
          <w:sz w:val="24"/>
          <w:szCs w:val="24"/>
        </w:rPr>
        <w:t>：具備完整簽證紀錄的企業通常在評估企業價值時更具優勢</w:t>
      </w:r>
    </w:p>
    <w:p w14:paraId="77C663D6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這對台中地區正努力發展的中小企業而言，具有尤其重要的戰略價值。</w:t>
      </w:r>
    </w:p>
    <w:p w14:paraId="10F0F5B1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二、財務報表簽證的流程與準備工作</w:t>
      </w:r>
    </w:p>
    <w:p w14:paraId="070E3EF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簽證準備階段</w:t>
      </w:r>
    </w:p>
    <w:p w14:paraId="4892AEB9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有效率的簽證流程需要妥善的前期準備：</w:t>
      </w:r>
    </w:p>
    <w:p w14:paraId="3E45C7F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簽證前的溝通與評估</w:t>
      </w:r>
    </w:p>
    <w:p w14:paraId="161664D8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與會計師事務所商討簽證範圍、時程與費用</w:t>
      </w:r>
    </w:p>
    <w:p w14:paraId="742778D3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了解簽證所需的各類財務資料與證明文件</w:t>
      </w:r>
    </w:p>
    <w:p w14:paraId="295325FF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評估企業內部會計程序是否符合要求</w:t>
      </w:r>
    </w:p>
    <w:p w14:paraId="75E57E7A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溝通企業特殊交易或會計處理方式</w:t>
      </w:r>
    </w:p>
    <w:p w14:paraId="0031FC2B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確認財務報表簽證的時間規劃</w:t>
      </w:r>
    </w:p>
    <w:p w14:paraId="18A3BC3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簽證前的內部準備</w:t>
      </w:r>
    </w:p>
    <w:p w14:paraId="5C774A9D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確保會計制度及內部控制的健全性</w:t>
      </w:r>
    </w:p>
    <w:p w14:paraId="677654B0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檢視會計政策是否一致且符合規範</w:t>
      </w:r>
    </w:p>
    <w:p w14:paraId="419BC652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確認各類交易文件及憑證是否齊全</w:t>
      </w:r>
    </w:p>
    <w:p w14:paraId="1013FE3A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進行內部試算平衡及報表編製</w:t>
      </w:r>
    </w:p>
    <w:p w14:paraId="6A0CA0A7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準備相關輔助分析表或附註說明</w:t>
      </w:r>
    </w:p>
    <w:p w14:paraId="017C1F9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lastRenderedPageBreak/>
        <w:t>2. 簽證執行階段</w:t>
      </w:r>
    </w:p>
    <w:p w14:paraId="11D5373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專業會計師執行財務報表簽證的標準流程：</w:t>
      </w:r>
    </w:p>
    <w:p w14:paraId="3BB49592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查核規劃</w:t>
      </w:r>
    </w:p>
    <w:p w14:paraId="19DADDCB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了解企業營運特性及產業環境</w:t>
      </w:r>
    </w:p>
    <w:p w14:paraId="7C7B6525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評估重大性標準及關鍵審計領域</w:t>
      </w:r>
    </w:p>
    <w:p w14:paraId="24E449AF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設計適當的審計程序與抽樣方法</w:t>
      </w:r>
    </w:p>
    <w:p w14:paraId="64EB812F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規劃查核團隊分工及時間安排</w:t>
      </w:r>
    </w:p>
    <w:p w14:paraId="39C7D445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評估舞弊風險及重大錯誤可能性</w:t>
      </w:r>
    </w:p>
    <w:p w14:paraId="42273FF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內部控制測試</w:t>
      </w:r>
    </w:p>
    <w:p w14:paraId="76CEE6CF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了解企業會計流程及內部控制系統</w:t>
      </w:r>
    </w:p>
    <w:p w14:paraId="7A7996D8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執行控制測試評估其有效性</w:t>
      </w:r>
    </w:p>
    <w:p w14:paraId="259CE238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確認關鍵資訊系統的可靠性</w:t>
      </w:r>
    </w:p>
    <w:p w14:paraId="0E9F3AAA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評估交易授權與審核機制</w:t>
      </w:r>
    </w:p>
    <w:p w14:paraId="0D9A47B4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檢視職責分離及監督制衡情形</w:t>
      </w:r>
    </w:p>
    <w:p w14:paraId="72BD83D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(3) 實質性查核程序</w:t>
      </w:r>
    </w:p>
    <w:p w14:paraId="6B783CA0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針對資產、負債、收入及費用執行細項測試</w:t>
      </w:r>
    </w:p>
    <w:p w14:paraId="7EBABED5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執行分析性複核評估財務趨勢合理性</w:t>
      </w:r>
    </w:p>
    <w:p w14:paraId="5D37E332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確認交易及餘額的真實性與完整性</w:t>
      </w:r>
    </w:p>
    <w:p w14:paraId="4413CBB5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評估重大會計估計的合理性</w:t>
      </w:r>
    </w:p>
    <w:p w14:paraId="467AB0BA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確認關係人交易的適當揭露</w:t>
      </w:r>
    </w:p>
    <w:p w14:paraId="6BDA9E78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(4) 意見形成與溝通</w:t>
      </w:r>
    </w:p>
    <w:p w14:paraId="3CFE45B3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彙整查核發現並與管理階層溝通</w:t>
      </w:r>
    </w:p>
    <w:p w14:paraId="01C4B148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評估未調整不實表達的影響程度</w:t>
      </w:r>
    </w:p>
    <w:p w14:paraId="71D1D50B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確認財務報表附註揭露的適切性</w:t>
      </w:r>
    </w:p>
    <w:p w14:paraId="19E7088D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形成適當查核意見</w:t>
      </w:r>
    </w:p>
    <w:p w14:paraId="4F3FD5E0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出具查核報告及管理建議函</w:t>
      </w:r>
    </w:p>
    <w:p w14:paraId="5EFCC53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簽證後的跟進工作</w:t>
      </w:r>
    </w:p>
    <w:p w14:paraId="2227D7A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完成簽證後的重要工作：</w:t>
      </w:r>
    </w:p>
    <w:p w14:paraId="6D8A0739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檢討會計師提出的改善建議</w:t>
      </w:r>
    </w:p>
    <w:p w14:paraId="63440DD1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針對查核發現的問題制定改善計畫</w:t>
      </w:r>
    </w:p>
    <w:p w14:paraId="44D2EB5C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修正會計制度或內部控制的缺失</w:t>
      </w:r>
    </w:p>
    <w:p w14:paraId="6A9BF97E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建立持續改善的監控機制</w:t>
      </w:r>
    </w:p>
    <w:p w14:paraId="7CBF4524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將經驗回饋到下一年度的簽證準備</w:t>
      </w:r>
    </w:p>
    <w:p w14:paraId="50CC6545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三、會計師查核的重點領域</w:t>
      </w:r>
    </w:p>
    <w:p w14:paraId="4C55F72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專業會計師在財務報表簽證過程中特別關注的查核重點：</w:t>
      </w:r>
    </w:p>
    <w:p w14:paraId="18F8AE3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資產查核重點</w:t>
      </w:r>
    </w:p>
    <w:p w14:paraId="1740ACF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現金及約當現金</w:t>
      </w:r>
    </w:p>
    <w:p w14:paraId="2738DEB8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銀行存款調節表的編製與覆核</w:t>
      </w:r>
    </w:p>
    <w:p w14:paraId="4BC501E6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現金及支票存量的實地盤點</w:t>
      </w:r>
    </w:p>
    <w:p w14:paraId="5FE6B237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銀行函證程序的執行與追蹤</w:t>
      </w:r>
    </w:p>
    <w:p w14:paraId="304FC3C5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短期投資的評價與分類適當性</w:t>
      </w:r>
    </w:p>
    <w:p w14:paraId="7F162398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資金流動限制的揭露完整性</w:t>
      </w:r>
    </w:p>
    <w:p w14:paraId="0F6085E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應收款項</w:t>
      </w:r>
    </w:p>
    <w:p w14:paraId="04FE3A0D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應收帳款函證及替代測試</w:t>
      </w:r>
    </w:p>
    <w:p w14:paraId="2805C89C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應收款項帳齡分析及催收情形</w:t>
      </w:r>
    </w:p>
    <w:p w14:paraId="00EDD1E2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呆帳提列政策及估計的合理性</w:t>
      </w:r>
    </w:p>
    <w:p w14:paraId="3E9969F9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關係人應收款的識別與揭露</w:t>
      </w:r>
    </w:p>
    <w:p w14:paraId="1E834901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買方信用風險評估及管理</w:t>
      </w:r>
    </w:p>
    <w:p w14:paraId="2D947E9C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(3) 存貨與成本</w:t>
      </w:r>
    </w:p>
    <w:p w14:paraId="34C9F8F2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存貨盤點程序的查核與參與</w:t>
      </w:r>
    </w:p>
    <w:p w14:paraId="43602053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存貨評價及淨變現價值測試</w:t>
      </w:r>
    </w:p>
    <w:p w14:paraId="59C4E3C5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成本計算方法的一致性檢查</w:t>
      </w:r>
    </w:p>
    <w:p w14:paraId="7162F1AD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存貨呆滯及過時問題評估</w:t>
      </w:r>
    </w:p>
    <w:p w14:paraId="7BDE7660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毛利率異常波動原因分析</w:t>
      </w:r>
    </w:p>
    <w:p w14:paraId="20703CE2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(4) 固定資產</w:t>
      </w:r>
    </w:p>
    <w:p w14:paraId="0CDC7542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重大資本支出的授權與核准</w:t>
      </w:r>
    </w:p>
    <w:p w14:paraId="008B1F93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折舊方法及耐用年限的合理性</w:t>
      </w:r>
    </w:p>
    <w:p w14:paraId="7446FF86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資產減損跡象評估及測試</w:t>
      </w:r>
    </w:p>
    <w:p w14:paraId="62C5AF90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閒置或準備處分資產的揭露</w:t>
      </w:r>
    </w:p>
    <w:p w14:paraId="54ED24AB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租賃資產分類及處理適當性</w:t>
      </w:r>
    </w:p>
    <w:p w14:paraId="28A4898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負債查核重點</w:t>
      </w:r>
    </w:p>
    <w:p w14:paraId="4B3D4FA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短期及長期借款</w:t>
      </w:r>
    </w:p>
    <w:p w14:paraId="0A26397A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銀行借款函證及合約檢視</w:t>
      </w:r>
    </w:p>
    <w:p w14:paraId="7777B570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貸款合約限制條款的遵循情形</w:t>
      </w:r>
    </w:p>
    <w:p w14:paraId="46788BC3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利息費用計提的正確性</w:t>
      </w:r>
    </w:p>
    <w:p w14:paraId="19969E45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關係人借款的揭露與條件</w:t>
      </w:r>
    </w:p>
    <w:p w14:paraId="42427C28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借款擔保品及或有負債揭露</w:t>
      </w:r>
    </w:p>
    <w:p w14:paraId="0BA1E22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應付款項</w:t>
      </w:r>
    </w:p>
    <w:p w14:paraId="5C6CA610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應付帳款函證及替代程序</w:t>
      </w:r>
    </w:p>
    <w:p w14:paraId="4F2B95BE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截止測試確認期末完整性</w:t>
      </w:r>
    </w:p>
    <w:p w14:paraId="561C835F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未入帳負債的搜尋與評估</w:t>
      </w:r>
    </w:p>
    <w:p w14:paraId="1EE8BC30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關係人交易的評估與揭露</w:t>
      </w:r>
    </w:p>
    <w:p w14:paraId="61884DC2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非營業應付款項的識別與分類</w:t>
      </w:r>
    </w:p>
    <w:p w14:paraId="451C00E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(3) 負債準備及或有事項</w:t>
      </w:r>
    </w:p>
    <w:p w14:paraId="5E5AF681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員工福利負債的估計合理性</w:t>
      </w:r>
    </w:p>
    <w:p w14:paraId="62AF9E3C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產品保固準備提列的適當性</w:t>
      </w:r>
    </w:p>
    <w:p w14:paraId="065648CE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訴訟及或有事項的評估與揭露</w:t>
      </w:r>
    </w:p>
    <w:p w14:paraId="3733B49E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環境復原義務的識別與評估</w:t>
      </w:r>
    </w:p>
    <w:p w14:paraId="55A4EA90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重組或停業計劃相關負債確認</w:t>
      </w:r>
    </w:p>
    <w:p w14:paraId="32C775F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損益查核重點</w:t>
      </w:r>
    </w:p>
    <w:p w14:paraId="29068FC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收入認列</w:t>
      </w:r>
    </w:p>
    <w:p w14:paraId="7BC5A9F7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收入認列時點及方法的適當性</w:t>
      </w:r>
    </w:p>
    <w:p w14:paraId="6916542D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銷貨退回及折讓的完整性</w:t>
      </w:r>
    </w:p>
    <w:p w14:paraId="18A82E79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客戶合約條款及履約義務評估</w:t>
      </w:r>
    </w:p>
    <w:p w14:paraId="070B8F8F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特殊或異常交易模式的調查</w:t>
      </w:r>
    </w:p>
    <w:p w14:paraId="618F0BE2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收入與應收款項的關聯分析</w:t>
      </w:r>
    </w:p>
    <w:p w14:paraId="47C7BA03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成本費用</w:t>
      </w:r>
    </w:p>
    <w:p w14:paraId="5437E7EB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成本與收入配比原則的遵循</w:t>
      </w:r>
    </w:p>
    <w:p w14:paraId="7FC9129C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重大費用波動分析及合理性</w:t>
      </w:r>
    </w:p>
    <w:p w14:paraId="5FDBEE9E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關係人交易價格的公允性</w:t>
      </w:r>
    </w:p>
    <w:p w14:paraId="135E1EA9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非經常性或異常費用的識別</w:t>
      </w:r>
    </w:p>
    <w:p w14:paraId="1CCAE528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跨期費用的截止測試</w:t>
      </w:r>
    </w:p>
    <w:p w14:paraId="2EC5E60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4. 權益與現金流量查核</w:t>
      </w:r>
    </w:p>
    <w:p w14:paraId="79159039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股本變動的合法性及完整性</w:t>
      </w:r>
    </w:p>
    <w:p w14:paraId="4B4ACF12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盈餘分配及股利發放的合規性</w:t>
      </w:r>
    </w:p>
    <w:p w14:paraId="0FF6C2D4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其他綜合損益項目的評估</w:t>
      </w:r>
    </w:p>
    <w:p w14:paraId="089CF7F7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現金流量表編製的正確性</w:t>
      </w:r>
    </w:p>
    <w:p w14:paraId="08E17402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非現金交易的適當揭露</w:t>
      </w:r>
    </w:p>
    <w:p w14:paraId="4C2C29D2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四、台中地區企業常見的簽證問題與解決方案</w:t>
      </w:r>
    </w:p>
    <w:p w14:paraId="554D46DD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在台中及中部地區企業中，會計師事務所經常遇到的財務簽證問題及其解決建議：</w:t>
      </w:r>
    </w:p>
    <w:p w14:paraId="10A4638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會計資料不完整或支持性文件不足</w:t>
      </w:r>
    </w:p>
    <w:p w14:paraId="0D8A0FD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許多台中中小企業在財務簽證過程中常面臨原始憑證保存不完整、交易紀錄不足或缺乏必要的法律文件等問題，導致會計師無法完成查核程序。</w:t>
      </w:r>
    </w:p>
    <w:p w14:paraId="048DE1D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521D4321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建立嚴謹的文件管理系統，確保重要交易文件妥善保存</w:t>
      </w:r>
    </w:p>
    <w:p w14:paraId="47A51CE8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重大交易應保留完整的決策過程紀錄與合約文件</w:t>
      </w:r>
    </w:p>
    <w:p w14:paraId="2452DAE8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定期檢視憑證完整性，及時補足缺漏文件</w:t>
      </w:r>
    </w:p>
    <w:p w14:paraId="19A4BBF8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針對特殊或複雜交易，事先諮詢會計師意見</w:t>
      </w:r>
    </w:p>
    <w:p w14:paraId="5FCBC9B8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導入適合企業規模的文件電子化管理方案</w:t>
      </w:r>
    </w:p>
    <w:p w14:paraId="280693A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內部控制制度薄弱</w:t>
      </w:r>
    </w:p>
    <w:p w14:paraId="1F5A3DA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台中地區許多成長中的企業通常專注業務拓展而忽略內部控制建立，導致簽證過程中發現職責未適當分離、授權核准流程不明確、缺乏監督機制等問題。</w:t>
      </w:r>
    </w:p>
    <w:p w14:paraId="63FC62B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646517DF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依企業規模建立適當的內部控制程序</w:t>
      </w:r>
    </w:p>
    <w:p w14:paraId="1551A1BA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明確權責分工，避免同一人負責交易全流程</w:t>
      </w:r>
    </w:p>
    <w:p w14:paraId="77B61CA2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建立重要交易的多層級審核機制</w:t>
      </w:r>
    </w:p>
    <w:p w14:paraId="2075584F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定期執行內部自我檢查程序</w:t>
      </w:r>
    </w:p>
    <w:p w14:paraId="50C98014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考慮聘請專業顧問協助優化內部控制</w:t>
      </w:r>
    </w:p>
    <w:p w14:paraId="5D434DA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關係人交易揭露不完整</w:t>
      </w:r>
    </w:p>
    <w:p w14:paraId="7A06664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台中地區許多家族企業或集團企業常有複雜的關係人網絡，在財務簽證時常未能完整揭露關係人交易細節，造成財務報表使用者誤判。</w:t>
      </w:r>
    </w:p>
    <w:p w14:paraId="628E28CD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02C0221C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建立關係人清冊並定期更新</w:t>
      </w:r>
    </w:p>
    <w:p w14:paraId="1FE93349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明確記錄所有關係人交易的條件與金額</w:t>
      </w:r>
    </w:p>
    <w:p w14:paraId="50614A51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確保關係人交易經過適當授權及核准</w:t>
      </w:r>
    </w:p>
    <w:p w14:paraId="3F6CEB41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保存關係人交易定價依據的支持性文件</w:t>
      </w:r>
    </w:p>
    <w:p w14:paraId="5089F0AF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在財務報表附註中充分揭露關係人交易資訊</w:t>
      </w:r>
    </w:p>
    <w:p w14:paraId="56E33BC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4. 會計估計缺乏合理依據</w:t>
      </w:r>
    </w:p>
    <w:p w14:paraId="6678D85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在財務報表中涉及的各種估計(如呆帳提列、存貨跌價損失、固定資產耐用年限等)常缺乏系統性評估程序與合理依據，造成簽證障礙。</w:t>
      </w:r>
    </w:p>
    <w:p w14:paraId="45118C4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4D3E67FD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建立系統化的會計估計程序與方法</w:t>
      </w:r>
    </w:p>
    <w:p w14:paraId="6E282E99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保存估計假設及參數的支持性證據</w:t>
      </w:r>
    </w:p>
    <w:p w14:paraId="16908DAF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定期檢視估計結果與實際情況的差異</w:t>
      </w:r>
    </w:p>
    <w:p w14:paraId="42982DD8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參考產業標準或聘請專家協助評估</w:t>
      </w:r>
    </w:p>
    <w:p w14:paraId="632384F1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針對重大估計項目，事先與會計師討論方法適當性</w:t>
      </w:r>
    </w:p>
    <w:p w14:paraId="64B00AB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5. 稅務與財務報表處理不一致</w:t>
      </w:r>
    </w:p>
    <w:p w14:paraId="5097B6F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台中地區中小企業常見稅務申報與財務報表處理不一致，未能妥善辨認與調節差異，導致財務簽證複雜化。</w:t>
      </w:r>
    </w:p>
    <w:p w14:paraId="675218A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5389E94F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建立稅務與財務差異調節表</w:t>
      </w:r>
    </w:p>
    <w:p w14:paraId="6CC85F94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清楚記錄暫時性與永久性差異項目</w:t>
      </w:r>
    </w:p>
    <w:p w14:paraId="5E078F79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正確計算並記錄遞延所得稅影響</w:t>
      </w:r>
    </w:p>
    <w:p w14:paraId="63180593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尋求專業會計師協助處理複雜稅務議題</w:t>
      </w:r>
    </w:p>
    <w:p w14:paraId="2B9AB278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在財務報表附註中適當揭露稅務相關資訊</w:t>
      </w:r>
    </w:p>
    <w:p w14:paraId="68BD65CE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五、如何與會計師有效溝通，提高簽證效率</w:t>
      </w:r>
    </w:p>
    <w:p w14:paraId="44F7833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簽證前的準備溝通</w:t>
      </w:r>
    </w:p>
    <w:p w14:paraId="6672176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有效的前期溝通能顯著提升簽證效率：</w:t>
      </w:r>
    </w:p>
    <w:p w14:paraId="41F94B6C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提前與會計師討論查核範圍與時程安排</w:t>
      </w:r>
    </w:p>
    <w:p w14:paraId="13CF4920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主動提供行業特性及經營重點資訊</w:t>
      </w:r>
    </w:p>
    <w:p w14:paraId="123510C4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說明當年度特殊交易或重大事件</w:t>
      </w:r>
    </w:p>
    <w:p w14:paraId="18D0F544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討論可能的會計處理爭議點</w:t>
      </w:r>
    </w:p>
    <w:p w14:paraId="235DDED0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了解會計師所需的特定資料清單</w:t>
      </w:r>
    </w:p>
    <w:p w14:paraId="6339926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簽證過程中的配合要點</w:t>
      </w:r>
    </w:p>
    <w:p w14:paraId="32B14B49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在查核執行過程中的有效配合：</w:t>
      </w:r>
    </w:p>
    <w:p w14:paraId="56A20443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指派專人負責與會計師團隊溝通</w:t>
      </w:r>
    </w:p>
    <w:p w14:paraId="208A68E4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及時提供查核所需的資料與說明</w:t>
      </w:r>
    </w:p>
    <w:p w14:paraId="78E6B18A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坦誠回應會計師提出的問題與疑慮</w:t>
      </w:r>
    </w:p>
    <w:p w14:paraId="4535FC9C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妥善安排相關人員接受會計師訪談</w:t>
      </w:r>
    </w:p>
    <w:p w14:paraId="4328C1B7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提供適當的工作環境與設備支援</w:t>
      </w:r>
    </w:p>
    <w:p w14:paraId="0D9C698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查核發現的建設性回應</w:t>
      </w:r>
    </w:p>
    <w:p w14:paraId="4489A7B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面對會計師的查核發現：</w:t>
      </w:r>
    </w:p>
    <w:p w14:paraId="6FF4672E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以開放心態接受專業建議</w:t>
      </w:r>
    </w:p>
    <w:p w14:paraId="0E273D09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針對發現問題提供必要的補充說明</w:t>
      </w:r>
    </w:p>
    <w:p w14:paraId="125D3659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積極規劃並執行改善措施</w:t>
      </w:r>
    </w:p>
    <w:p w14:paraId="1CFAB107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視問題性質決定適當的調整方式</w:t>
      </w:r>
    </w:p>
    <w:p w14:paraId="586611F6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將查核經驗視為提升財務管理的機會</w:t>
      </w:r>
    </w:p>
    <w:p w14:paraId="5ECC01F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4. 建立長期合作關係</w:t>
      </w:r>
    </w:p>
    <w:p w14:paraId="5373C39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與會計師建立穩定的合作關係：</w:t>
      </w:r>
    </w:p>
    <w:p w14:paraId="1B231215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保持年度間的持續溝通</w:t>
      </w:r>
    </w:p>
    <w:p w14:paraId="2B797923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重大財務決策前諮詢會計師意見</w:t>
      </w:r>
    </w:p>
    <w:p w14:paraId="6E28EE75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定期更新企業營運與財務狀況</w:t>
      </w:r>
    </w:p>
    <w:p w14:paraId="3350E7EE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參與會計師舉辦的財務與稅務講座</w:t>
      </w:r>
    </w:p>
    <w:p w14:paraId="41DE5ED1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將會計師視為企業的財務顧問夥伴</w:t>
      </w:r>
    </w:p>
    <w:p w14:paraId="0AE84B1A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六、財務報表簽證的常見問題解答</w:t>
      </w:r>
    </w:p>
    <w:p w14:paraId="0C95C963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問題1：中小企業是否一定需要財務報表簽證？</w:t>
      </w:r>
    </w:p>
    <w:p w14:paraId="695BA37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在台灣，資本額達3,000萬元以上的營利事業依法需進行財務報表簽證。即使未達此標準，台中地區中小企業仍可考慮自願進行簽證，特別是在以下情況：計劃申請銀行融資、尋求外部投資、準備企業轉讓或上市、需要提高財務透明度及公信力。專業會計師可針對企業具體情況提供客製化建議，評估簽證的成本效益。</w:t>
      </w:r>
    </w:p>
    <w:p w14:paraId="7B9C126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問題2：首次進行財務簽證需要特別準備什麼？</w:t>
      </w:r>
    </w:p>
    <w:p w14:paraId="2D7A0BE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首次進行財務簽證的台中企業應特別注意：1)提前至少3-6個月開始準備；2)完整收集並整理過去數年的財務資料；3)檢視並調整不符合一般公認會計原則的會計處理；4)建立或健全基本內部控制制度；5)準備公司重要合約、董事會紀錄及重大交易文件；6)與會計師充分溝通企業特性及經營模式。首次簽證通常較為耗時，建議預留足夠時間緩衝。</w:t>
      </w:r>
    </w:p>
    <w:p w14:paraId="3E2654E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問題3：會計師簽證不同意見類型代表什麼？</w:t>
      </w:r>
    </w:p>
    <w:p w14:paraId="5F95366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會計師出具的查核意見主要有四種類型：1)無保留意見：表示財務報表在所有重大方面符合會計準則；2)保留意見：表示除特定事項外，財務報表大致符合會計準則；3)否定意見：表示財務報表存在重大不實表達；4)無法表示意見：表示會計師無法獲取足夠適當的查核證據。台中地區企業應理解不同意見的嚴重程度，保留意見以下的查核報告可能影響企業融資及商業信譽。</w:t>
      </w:r>
    </w:p>
    <w:p w14:paraId="7A54141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問題4：簽證費用的決定因素有哪些？</w:t>
      </w:r>
    </w:p>
    <w:p w14:paraId="06944D18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財務報表簽證費用受多種因素影響：1)企業規模及交易複雜度；2)內部控制健全程度；3)特殊行業規範要求；4)簽證範圍及深度；5)財務紀錄品質；6)會計師事務所的品牌及規模。台中地區中小企業可向多家會計師事務所詢價比較，但不應單純以價格作為選擇標準，應綜合考量專業能力、產業經驗及服務品質。</w:t>
      </w:r>
    </w:p>
    <w:p w14:paraId="025E39C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lastRenderedPageBreak/>
        <w:t>問題5：如何選擇適合的會計師事務所進行財務簽證？</w:t>
      </w:r>
    </w:p>
    <w:p w14:paraId="73DC747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台中地區企業選擇會計師事務所應考慮：1)事務所的專業資質及聲譽；2)對企業所屬產業的了解程度；3)簽證團隊的經驗與專業能力；4)服務的全面性與深度；5)溝通方式及回應速度；6)地理位置便利性；7)收費結構合理性。理想的會計師不僅能提供合規簽證服務，更能針對企業財務管理提供有價值的專業建議，協助企業持續成長發展。</w:t>
      </w:r>
    </w:p>
    <w:p w14:paraId="6B6DEBC0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結語</w:t>
      </w:r>
    </w:p>
    <w:p w14:paraId="72FA1DC2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財務報表簽證不僅是法規遵循的要求，更是提升企業財務管理水平、增強市場信譽的重要途徑。對於台中及中部地區的中小企業而言，了解並妥善準備財務簽證流程，選擇合適的專業會計團隊，不僅能確保簽證順利完成，更能從中獲取寶貴的財務管理改善建議。在日益競爭的商業環境中，具備透明且可靠的財務報表，將成為企業融資、合作及發展的關鍵優勢。企業主應將財務報表簽證視為一項戰略投資，而非單純的法規負擔，透過專業會計師的協助，打造健全的財務基礎，支持企業的永續經營與長遠發展。</w:t>
      </w:r>
    </w:p>
    <w:p w14:paraId="005482CF" w14:textId="51B62115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本基礎會計服務系列至此告一段落。</w:t>
      </w:r>
    </w:p>
    <w:p w14:paraId="452ADEE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標籤：財務報表簽證、會計師查核、台中會計師、中小企業財務、審計服務、內部控制、財務透明度、查核意見、財務顧問、專業會計</w:t>
      </w:r>
    </w:p>
    <w:p w14:paraId="18B5CAA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發布日期：2025-05-26</w:t>
      </w:r>
    </w:p>
    <w:p w14:paraId="39E80C1F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7CF"/>
    <w:multiLevelType w:val="multilevel"/>
    <w:tmpl w:val="B15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4D31"/>
    <w:multiLevelType w:val="multilevel"/>
    <w:tmpl w:val="132C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09A6"/>
    <w:multiLevelType w:val="multilevel"/>
    <w:tmpl w:val="8782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43BFC"/>
    <w:multiLevelType w:val="multilevel"/>
    <w:tmpl w:val="C4CE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1A7"/>
    <w:multiLevelType w:val="multilevel"/>
    <w:tmpl w:val="2F5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51175"/>
    <w:multiLevelType w:val="multilevel"/>
    <w:tmpl w:val="BB2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617EF"/>
    <w:multiLevelType w:val="multilevel"/>
    <w:tmpl w:val="DA2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43014"/>
    <w:multiLevelType w:val="multilevel"/>
    <w:tmpl w:val="49F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4391B"/>
    <w:multiLevelType w:val="multilevel"/>
    <w:tmpl w:val="DCD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B3E5E"/>
    <w:multiLevelType w:val="multilevel"/>
    <w:tmpl w:val="D58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162CB"/>
    <w:multiLevelType w:val="multilevel"/>
    <w:tmpl w:val="9FE2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53782"/>
    <w:multiLevelType w:val="multilevel"/>
    <w:tmpl w:val="4EF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5698C"/>
    <w:multiLevelType w:val="multilevel"/>
    <w:tmpl w:val="E2A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C7FFA"/>
    <w:multiLevelType w:val="multilevel"/>
    <w:tmpl w:val="EE6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80CEE"/>
    <w:multiLevelType w:val="multilevel"/>
    <w:tmpl w:val="54F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87A9C"/>
    <w:multiLevelType w:val="multilevel"/>
    <w:tmpl w:val="0CF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A1537"/>
    <w:multiLevelType w:val="multilevel"/>
    <w:tmpl w:val="19E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F263C"/>
    <w:multiLevelType w:val="multilevel"/>
    <w:tmpl w:val="0A30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B3AD6"/>
    <w:multiLevelType w:val="multilevel"/>
    <w:tmpl w:val="D98E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3E5005"/>
    <w:multiLevelType w:val="multilevel"/>
    <w:tmpl w:val="1758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F1D03"/>
    <w:multiLevelType w:val="multilevel"/>
    <w:tmpl w:val="79D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62CB5"/>
    <w:multiLevelType w:val="multilevel"/>
    <w:tmpl w:val="954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0316"/>
    <w:multiLevelType w:val="multilevel"/>
    <w:tmpl w:val="424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B653F3"/>
    <w:multiLevelType w:val="multilevel"/>
    <w:tmpl w:val="9BEA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F0C28"/>
    <w:multiLevelType w:val="multilevel"/>
    <w:tmpl w:val="03B6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B51CAD"/>
    <w:multiLevelType w:val="multilevel"/>
    <w:tmpl w:val="C3A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5088E"/>
    <w:multiLevelType w:val="multilevel"/>
    <w:tmpl w:val="B81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46363"/>
    <w:multiLevelType w:val="multilevel"/>
    <w:tmpl w:val="4F9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F154AC"/>
    <w:multiLevelType w:val="multilevel"/>
    <w:tmpl w:val="36D0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B46C58"/>
    <w:multiLevelType w:val="multilevel"/>
    <w:tmpl w:val="7CE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2146E3"/>
    <w:multiLevelType w:val="multilevel"/>
    <w:tmpl w:val="8D1E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6C607D"/>
    <w:multiLevelType w:val="multilevel"/>
    <w:tmpl w:val="ACE0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204067"/>
    <w:multiLevelType w:val="multilevel"/>
    <w:tmpl w:val="051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25673"/>
    <w:multiLevelType w:val="multilevel"/>
    <w:tmpl w:val="872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2C0CF4"/>
    <w:multiLevelType w:val="multilevel"/>
    <w:tmpl w:val="2A7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D13D49"/>
    <w:multiLevelType w:val="multilevel"/>
    <w:tmpl w:val="D2E6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685DD7"/>
    <w:multiLevelType w:val="multilevel"/>
    <w:tmpl w:val="A1C8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031012"/>
    <w:multiLevelType w:val="multilevel"/>
    <w:tmpl w:val="504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5C62D6"/>
    <w:multiLevelType w:val="multilevel"/>
    <w:tmpl w:val="078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D31CF7"/>
    <w:multiLevelType w:val="multilevel"/>
    <w:tmpl w:val="E354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700F73"/>
    <w:multiLevelType w:val="multilevel"/>
    <w:tmpl w:val="BE7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AC6EC2"/>
    <w:multiLevelType w:val="multilevel"/>
    <w:tmpl w:val="CD7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B07AFF"/>
    <w:multiLevelType w:val="multilevel"/>
    <w:tmpl w:val="B3F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4D5214"/>
    <w:multiLevelType w:val="multilevel"/>
    <w:tmpl w:val="4600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F74F9B"/>
    <w:multiLevelType w:val="multilevel"/>
    <w:tmpl w:val="557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99513A"/>
    <w:multiLevelType w:val="multilevel"/>
    <w:tmpl w:val="CADA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C1538B"/>
    <w:multiLevelType w:val="multilevel"/>
    <w:tmpl w:val="772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7577ED"/>
    <w:multiLevelType w:val="multilevel"/>
    <w:tmpl w:val="0168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6E551D"/>
    <w:multiLevelType w:val="multilevel"/>
    <w:tmpl w:val="EAE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C3108D"/>
    <w:multiLevelType w:val="multilevel"/>
    <w:tmpl w:val="250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026C19"/>
    <w:multiLevelType w:val="multilevel"/>
    <w:tmpl w:val="921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0B28FE"/>
    <w:multiLevelType w:val="multilevel"/>
    <w:tmpl w:val="C94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4947B4"/>
    <w:multiLevelType w:val="multilevel"/>
    <w:tmpl w:val="234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535ABB"/>
    <w:multiLevelType w:val="multilevel"/>
    <w:tmpl w:val="110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37163A"/>
    <w:multiLevelType w:val="multilevel"/>
    <w:tmpl w:val="ABC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DC3276"/>
    <w:multiLevelType w:val="multilevel"/>
    <w:tmpl w:val="1DCA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691B99"/>
    <w:multiLevelType w:val="multilevel"/>
    <w:tmpl w:val="EA0E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4C6565"/>
    <w:multiLevelType w:val="multilevel"/>
    <w:tmpl w:val="1CB0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019832">
    <w:abstractNumId w:val="12"/>
  </w:num>
  <w:num w:numId="2" w16cid:durableId="79110246">
    <w:abstractNumId w:val="27"/>
  </w:num>
  <w:num w:numId="3" w16cid:durableId="915169709">
    <w:abstractNumId w:val="23"/>
  </w:num>
  <w:num w:numId="4" w16cid:durableId="1861164403">
    <w:abstractNumId w:val="47"/>
  </w:num>
  <w:num w:numId="5" w16cid:durableId="1135951984">
    <w:abstractNumId w:val="49"/>
  </w:num>
  <w:num w:numId="6" w16cid:durableId="211116502">
    <w:abstractNumId w:val="42"/>
  </w:num>
  <w:num w:numId="7" w16cid:durableId="1274997">
    <w:abstractNumId w:val="7"/>
  </w:num>
  <w:num w:numId="8" w16cid:durableId="44720541">
    <w:abstractNumId w:val="2"/>
  </w:num>
  <w:num w:numId="9" w16cid:durableId="1050764226">
    <w:abstractNumId w:val="10"/>
  </w:num>
  <w:num w:numId="10" w16cid:durableId="744305441">
    <w:abstractNumId w:val="37"/>
  </w:num>
  <w:num w:numId="11" w16cid:durableId="211309156">
    <w:abstractNumId w:val="16"/>
  </w:num>
  <w:num w:numId="12" w16cid:durableId="1195997801">
    <w:abstractNumId w:val="4"/>
  </w:num>
  <w:num w:numId="13" w16cid:durableId="1487747331">
    <w:abstractNumId w:val="40"/>
  </w:num>
  <w:num w:numId="14" w16cid:durableId="1939017177">
    <w:abstractNumId w:val="43"/>
  </w:num>
  <w:num w:numId="15" w16cid:durableId="232933756">
    <w:abstractNumId w:val="46"/>
  </w:num>
  <w:num w:numId="16" w16cid:durableId="2121680551">
    <w:abstractNumId w:val="51"/>
  </w:num>
  <w:num w:numId="17" w16cid:durableId="516506294">
    <w:abstractNumId w:val="32"/>
  </w:num>
  <w:num w:numId="18" w16cid:durableId="178978996">
    <w:abstractNumId w:val="3"/>
  </w:num>
  <w:num w:numId="19" w16cid:durableId="741371625">
    <w:abstractNumId w:val="28"/>
  </w:num>
  <w:num w:numId="20" w16cid:durableId="201403015">
    <w:abstractNumId w:val="30"/>
  </w:num>
  <w:num w:numId="21" w16cid:durableId="627199754">
    <w:abstractNumId w:val="25"/>
  </w:num>
  <w:num w:numId="22" w16cid:durableId="275872374">
    <w:abstractNumId w:val="57"/>
  </w:num>
  <w:num w:numId="23" w16cid:durableId="1419521431">
    <w:abstractNumId w:val="31"/>
  </w:num>
  <w:num w:numId="24" w16cid:durableId="29457555">
    <w:abstractNumId w:val="24"/>
  </w:num>
  <w:num w:numId="25" w16cid:durableId="2009863667">
    <w:abstractNumId w:val="53"/>
  </w:num>
  <w:num w:numId="26" w16cid:durableId="1417245430">
    <w:abstractNumId w:val="36"/>
  </w:num>
  <w:num w:numId="27" w16cid:durableId="185944811">
    <w:abstractNumId w:val="14"/>
  </w:num>
  <w:num w:numId="28" w16cid:durableId="380638653">
    <w:abstractNumId w:val="45"/>
  </w:num>
  <w:num w:numId="29" w16cid:durableId="431435264">
    <w:abstractNumId w:val="18"/>
  </w:num>
  <w:num w:numId="30" w16cid:durableId="792943782">
    <w:abstractNumId w:val="9"/>
  </w:num>
  <w:num w:numId="31" w16cid:durableId="1286930889">
    <w:abstractNumId w:val="0"/>
  </w:num>
  <w:num w:numId="32" w16cid:durableId="1363939541">
    <w:abstractNumId w:val="13"/>
  </w:num>
  <w:num w:numId="33" w16cid:durableId="1080638969">
    <w:abstractNumId w:val="55"/>
  </w:num>
  <w:num w:numId="34" w16cid:durableId="2118058309">
    <w:abstractNumId w:val="19"/>
  </w:num>
  <w:num w:numId="35" w16cid:durableId="1907370856">
    <w:abstractNumId w:val="50"/>
  </w:num>
  <w:num w:numId="36" w16cid:durableId="45565861">
    <w:abstractNumId w:val="48"/>
  </w:num>
  <w:num w:numId="37" w16cid:durableId="1299602722">
    <w:abstractNumId w:val="33"/>
  </w:num>
  <w:num w:numId="38" w16cid:durableId="1436632061">
    <w:abstractNumId w:val="11"/>
  </w:num>
  <w:num w:numId="39" w16cid:durableId="271910716">
    <w:abstractNumId w:val="1"/>
  </w:num>
  <w:num w:numId="40" w16cid:durableId="471218773">
    <w:abstractNumId w:val="21"/>
  </w:num>
  <w:num w:numId="41" w16cid:durableId="1210844002">
    <w:abstractNumId w:val="56"/>
  </w:num>
  <w:num w:numId="42" w16cid:durableId="213548265">
    <w:abstractNumId w:val="52"/>
  </w:num>
  <w:num w:numId="43" w16cid:durableId="128860449">
    <w:abstractNumId w:val="38"/>
  </w:num>
  <w:num w:numId="44" w16cid:durableId="432287577">
    <w:abstractNumId w:val="39"/>
  </w:num>
  <w:num w:numId="45" w16cid:durableId="1503352661">
    <w:abstractNumId w:val="17"/>
  </w:num>
  <w:num w:numId="46" w16cid:durableId="164521664">
    <w:abstractNumId w:val="5"/>
  </w:num>
  <w:num w:numId="47" w16cid:durableId="1088422482">
    <w:abstractNumId w:val="20"/>
  </w:num>
  <w:num w:numId="48" w16cid:durableId="452016746">
    <w:abstractNumId w:val="22"/>
  </w:num>
  <w:num w:numId="49" w16cid:durableId="819855955">
    <w:abstractNumId w:val="15"/>
  </w:num>
  <w:num w:numId="50" w16cid:durableId="1254119974">
    <w:abstractNumId w:val="35"/>
  </w:num>
  <w:num w:numId="51" w16cid:durableId="71127302">
    <w:abstractNumId w:val="26"/>
  </w:num>
  <w:num w:numId="52" w16cid:durableId="25569520">
    <w:abstractNumId w:val="6"/>
  </w:num>
  <w:num w:numId="53" w16cid:durableId="1448087008">
    <w:abstractNumId w:val="29"/>
  </w:num>
  <w:num w:numId="54" w16cid:durableId="1316376235">
    <w:abstractNumId w:val="54"/>
  </w:num>
  <w:num w:numId="55" w16cid:durableId="752699662">
    <w:abstractNumId w:val="34"/>
  </w:num>
  <w:num w:numId="56" w16cid:durableId="328095159">
    <w:abstractNumId w:val="44"/>
  </w:num>
  <w:num w:numId="57" w16cid:durableId="139470865">
    <w:abstractNumId w:val="8"/>
  </w:num>
  <w:num w:numId="58" w16cid:durableId="16115433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2B"/>
    <w:rsid w:val="0025422B"/>
    <w:rsid w:val="006B07C0"/>
    <w:rsid w:val="007332E4"/>
    <w:rsid w:val="00882725"/>
    <w:rsid w:val="009777E2"/>
    <w:rsid w:val="00B30DCA"/>
    <w:rsid w:val="00B64427"/>
    <w:rsid w:val="00D9281F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CE59"/>
  <w15:chartTrackingRefBased/>
  <w15:docId w15:val="{C7A7B033-92BF-4819-ADF7-5BAD7257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2025-05-21T18:30:00Z</dcterms:created>
  <dcterms:modified xsi:type="dcterms:W3CDTF">2025-05-21T19:05:00Z</dcterms:modified>
</cp:coreProperties>
</file>