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D4A9" w14:textId="77777777" w:rsidR="00E16CF1" w:rsidRPr="00E16CF1" w:rsidRDefault="00E16CF1" w:rsidP="00E16CF1">
      <w:pPr>
        <w:pStyle w:val="1"/>
      </w:pPr>
      <w:r w:rsidRPr="00E16CF1">
        <w:t>贈與稅基本概念與申報流程</w:t>
      </w:r>
    </w:p>
    <w:p w14:paraId="0A9E2E64" w14:textId="77777777" w:rsidR="00E16CF1" w:rsidRPr="00E16CF1" w:rsidRDefault="00E16CF1" w:rsidP="00E16CF1">
      <w:pPr>
        <w:pStyle w:val="2"/>
      </w:pPr>
      <w:r w:rsidRPr="00E16CF1">
        <w:t>前言</w:t>
      </w:r>
    </w:p>
    <w:p w14:paraId="71666161" w14:textId="77777777" w:rsidR="00E16CF1" w:rsidRPr="00E16CF1" w:rsidRDefault="00E16CF1" w:rsidP="00E16CF1">
      <w:r w:rsidRPr="00E16CF1">
        <w:t>贈與稅是財富移轉過程中不可或缺的一環，尤其對於進行財富傳承規劃的家庭而言，了解贈與稅制度具有重要意義。本文將介紹贈與稅的基本概念及申報流程，協助讀者掌握相關法令規定，並合理安排贈與行為，以降低稅務負擔。</w:t>
      </w:r>
    </w:p>
    <w:p w14:paraId="7FB2C922" w14:textId="77777777" w:rsidR="00E16CF1" w:rsidRPr="00E16CF1" w:rsidRDefault="00E16CF1" w:rsidP="00E16CF1">
      <w:pPr>
        <w:pStyle w:val="2"/>
      </w:pPr>
      <w:r w:rsidRPr="00E16CF1">
        <w:t>一、贈與稅課稅依據</w:t>
      </w:r>
    </w:p>
    <w:p w14:paraId="08DB2A25" w14:textId="77777777" w:rsidR="00E16CF1" w:rsidRPr="00E16CF1" w:rsidRDefault="00E16CF1" w:rsidP="00E16CF1">
      <w:r w:rsidRPr="00E16CF1">
        <w:t>贈與稅的徵收主要依據「遺產及贈與稅法」。當贈與人在同一年度內贈與他人的財產總值超過法定免稅額時，納稅義務人應依法辦理申報並繳納稅款。贈與稅的課徵範圍與贈與人的身分有關：</w:t>
      </w:r>
    </w:p>
    <w:p w14:paraId="5AEC8C9B" w14:textId="77777777" w:rsidR="00E16CF1" w:rsidRPr="00E16CF1" w:rsidRDefault="00E16CF1" w:rsidP="00E16CF1">
      <w:pPr>
        <w:numPr>
          <w:ilvl w:val="0"/>
          <w:numId w:val="1"/>
        </w:numPr>
      </w:pPr>
      <w:r w:rsidRPr="00E16CF1">
        <w:t>經常居住中華民國境內之中華民國國民：就其在中華民國境內或境外之財產為贈與者。</w:t>
      </w:r>
    </w:p>
    <w:p w14:paraId="3FDAF4DE" w14:textId="77777777" w:rsidR="00E16CF1" w:rsidRPr="00E16CF1" w:rsidRDefault="00E16CF1" w:rsidP="00E16CF1">
      <w:pPr>
        <w:numPr>
          <w:ilvl w:val="0"/>
          <w:numId w:val="1"/>
        </w:numPr>
      </w:pPr>
      <w:r w:rsidRPr="00E16CF1">
        <w:t>經常居住中華民國境外之中華民國國民：就其在中華民國境內之財產為贈與者。</w:t>
      </w:r>
    </w:p>
    <w:p w14:paraId="4DF0CB54" w14:textId="77777777" w:rsidR="00E16CF1" w:rsidRPr="00E16CF1" w:rsidRDefault="00E16CF1" w:rsidP="00E16CF1">
      <w:pPr>
        <w:numPr>
          <w:ilvl w:val="0"/>
          <w:numId w:val="1"/>
        </w:numPr>
      </w:pPr>
      <w:r w:rsidRPr="00E16CF1">
        <w:t>非中華民國國民：就其在中華民國境內之財產為贈與者。</w:t>
      </w:r>
    </w:p>
    <w:p w14:paraId="29B537D3" w14:textId="77777777" w:rsidR="00E16CF1" w:rsidRPr="00E16CF1" w:rsidRDefault="00E16CF1" w:rsidP="00E16CF1">
      <w:r w:rsidRPr="00E16CF1">
        <w:t>需要注意的是，法人（如營利事業、社團、財團法人等）的贈與行為不屬於贈與稅課稅範圍。</w:t>
      </w:r>
    </w:p>
    <w:p w14:paraId="282B591E" w14:textId="77777777" w:rsidR="00E16CF1" w:rsidRPr="00E16CF1" w:rsidRDefault="00E16CF1" w:rsidP="00E16CF1">
      <w:pPr>
        <w:pStyle w:val="2"/>
      </w:pPr>
      <w:r w:rsidRPr="00E16CF1">
        <w:t>二、贈與稅納稅義務人</w:t>
      </w:r>
    </w:p>
    <w:p w14:paraId="2206A7F8" w14:textId="77777777" w:rsidR="00E16CF1" w:rsidRPr="00E16CF1" w:rsidRDefault="00E16CF1" w:rsidP="00E16CF1">
      <w:r w:rsidRPr="00E16CF1">
        <w:t>贈與稅的納稅義務人原則上為贈與人，但在特定情況下，受贈人可能成為納稅義務人。根據遺產及贈與稅法規定，以下三種情形將以受贈人為納稅義務人：</w:t>
      </w:r>
    </w:p>
    <w:p w14:paraId="7466A74A" w14:textId="77777777" w:rsidR="00E16CF1" w:rsidRPr="00E16CF1" w:rsidRDefault="00E16CF1" w:rsidP="00E16CF1">
      <w:pPr>
        <w:numPr>
          <w:ilvl w:val="0"/>
          <w:numId w:val="2"/>
        </w:numPr>
      </w:pPr>
      <w:r w:rsidRPr="00E16CF1">
        <w:t>贈與人行蹤不明者。</w:t>
      </w:r>
    </w:p>
    <w:p w14:paraId="212CA5B1" w14:textId="77777777" w:rsidR="00E16CF1" w:rsidRPr="00E16CF1" w:rsidRDefault="00E16CF1" w:rsidP="00E16CF1">
      <w:pPr>
        <w:numPr>
          <w:ilvl w:val="0"/>
          <w:numId w:val="2"/>
        </w:numPr>
      </w:pPr>
      <w:r w:rsidRPr="00E16CF1">
        <w:t>贈與人逾期未繳且境內無財產可供執行者。</w:t>
      </w:r>
    </w:p>
    <w:p w14:paraId="48DD28AE" w14:textId="77777777" w:rsidR="00E16CF1" w:rsidRPr="00E16CF1" w:rsidRDefault="00E16CF1" w:rsidP="00E16CF1">
      <w:pPr>
        <w:numPr>
          <w:ilvl w:val="0"/>
          <w:numId w:val="2"/>
        </w:numPr>
      </w:pPr>
      <w:r w:rsidRPr="00E16CF1">
        <w:t>贈與人死亡時贈與稅尚未</w:t>
      </w:r>
      <w:proofErr w:type="gramStart"/>
      <w:r w:rsidRPr="00E16CF1">
        <w:t>核課者</w:t>
      </w:r>
      <w:proofErr w:type="gramEnd"/>
      <w:r w:rsidRPr="00E16CF1">
        <w:t>。</w:t>
      </w:r>
    </w:p>
    <w:p w14:paraId="676E6995" w14:textId="77777777" w:rsidR="00E16CF1" w:rsidRPr="00E16CF1" w:rsidRDefault="00E16CF1" w:rsidP="00E16CF1">
      <w:pPr>
        <w:pStyle w:val="2"/>
      </w:pPr>
      <w:r w:rsidRPr="00E16CF1">
        <w:t>三、視同贈與情形</w:t>
      </w:r>
    </w:p>
    <w:p w14:paraId="11D5792F" w14:textId="77777777" w:rsidR="00E16CF1" w:rsidRPr="00E16CF1" w:rsidRDefault="00E16CF1" w:rsidP="00E16CF1">
      <w:r w:rsidRPr="00E16CF1">
        <w:t>遺產及贈與稅法對特定的財產移轉行為視為贈與，以防止規避贈與稅。常見的視同贈與情形包括：</w:t>
      </w:r>
    </w:p>
    <w:p w14:paraId="4596C3CF" w14:textId="77777777" w:rsidR="00E16CF1" w:rsidRPr="00E16CF1" w:rsidRDefault="00E16CF1" w:rsidP="00E16CF1">
      <w:pPr>
        <w:numPr>
          <w:ilvl w:val="0"/>
          <w:numId w:val="3"/>
        </w:numPr>
      </w:pPr>
      <w:r w:rsidRPr="00E16CF1">
        <w:t>在請求權時效內無償免除或承擔債務。</w:t>
      </w:r>
    </w:p>
    <w:p w14:paraId="43E2BDD5" w14:textId="77777777" w:rsidR="00E16CF1" w:rsidRPr="00E16CF1" w:rsidRDefault="00E16CF1" w:rsidP="00E16CF1">
      <w:pPr>
        <w:numPr>
          <w:ilvl w:val="0"/>
          <w:numId w:val="3"/>
        </w:numPr>
      </w:pPr>
      <w:r w:rsidRPr="00E16CF1">
        <w:lastRenderedPageBreak/>
        <w:t>以顯著不相當之代價，讓與財產、免除或承擔債務。</w:t>
      </w:r>
    </w:p>
    <w:p w14:paraId="6C9961DA" w14:textId="77777777" w:rsidR="00E16CF1" w:rsidRPr="00E16CF1" w:rsidRDefault="00E16CF1" w:rsidP="00E16CF1">
      <w:pPr>
        <w:numPr>
          <w:ilvl w:val="0"/>
          <w:numId w:val="3"/>
        </w:numPr>
      </w:pPr>
      <w:r w:rsidRPr="00E16CF1">
        <w:t>以自己之資金，無償為他人購置財產。</w:t>
      </w:r>
    </w:p>
    <w:p w14:paraId="534BE15A" w14:textId="77777777" w:rsidR="00E16CF1" w:rsidRPr="00E16CF1" w:rsidRDefault="00E16CF1" w:rsidP="00E16CF1">
      <w:pPr>
        <w:numPr>
          <w:ilvl w:val="0"/>
          <w:numId w:val="3"/>
        </w:numPr>
      </w:pPr>
      <w:r w:rsidRPr="00E16CF1">
        <w:t>因顯著不相當之代價，出資為他人購置財產。</w:t>
      </w:r>
    </w:p>
    <w:p w14:paraId="21112EF6" w14:textId="77777777" w:rsidR="00E16CF1" w:rsidRPr="00E16CF1" w:rsidRDefault="00E16CF1" w:rsidP="00E16CF1">
      <w:pPr>
        <w:numPr>
          <w:ilvl w:val="0"/>
          <w:numId w:val="3"/>
        </w:numPr>
      </w:pPr>
      <w:r w:rsidRPr="00E16CF1">
        <w:t>限制行為能力人或無行為能力人所購置之財產，視為法定代理人或監護人之贈與。</w:t>
      </w:r>
    </w:p>
    <w:p w14:paraId="2B43511C" w14:textId="77777777" w:rsidR="00E16CF1" w:rsidRPr="00E16CF1" w:rsidRDefault="00E16CF1" w:rsidP="00E16CF1">
      <w:pPr>
        <w:numPr>
          <w:ilvl w:val="0"/>
          <w:numId w:val="3"/>
        </w:numPr>
      </w:pPr>
      <w:r w:rsidRPr="00E16CF1">
        <w:t>二親等以內親屬間財產之買賣，除非能提出已支付價款之確實證明。</w:t>
      </w:r>
    </w:p>
    <w:p w14:paraId="508B6C6C" w14:textId="77777777" w:rsidR="00E16CF1" w:rsidRPr="00E16CF1" w:rsidRDefault="00E16CF1" w:rsidP="00E16CF1">
      <w:r w:rsidRPr="00E16CF1">
        <w:t>例如，父親以自己的資金為兒子購買房產，即使名義上為買賣行為，仍視為父親對兒子的贈與。</w:t>
      </w:r>
    </w:p>
    <w:p w14:paraId="0FCB4F7E" w14:textId="77777777" w:rsidR="00E16CF1" w:rsidRPr="00E16CF1" w:rsidRDefault="00E16CF1" w:rsidP="00E16CF1">
      <w:pPr>
        <w:pStyle w:val="2"/>
      </w:pPr>
      <w:r w:rsidRPr="00E16CF1">
        <w:t>四、申報期限與申報地點</w:t>
      </w:r>
    </w:p>
    <w:p w14:paraId="05B5499A" w14:textId="77777777" w:rsidR="00E16CF1" w:rsidRPr="00E16CF1" w:rsidRDefault="00E16CF1" w:rsidP="00E16CF1">
      <w:r w:rsidRPr="00E16CF1">
        <w:t>贈與人在同一年度內贈與他人的財產總值超過免稅額時，應於贈與行為發生後</w:t>
      </w:r>
      <w:r w:rsidRPr="00E16CF1">
        <w:t>30</w:t>
      </w:r>
      <w:r w:rsidRPr="00E16CF1">
        <w:t>日內辦理贈與稅申報。所稱「</w:t>
      </w:r>
      <w:proofErr w:type="gramStart"/>
      <w:r w:rsidRPr="00E16CF1">
        <w:t>一</w:t>
      </w:r>
      <w:proofErr w:type="gramEnd"/>
      <w:r w:rsidRPr="00E16CF1">
        <w:t>年內」及「同一年內」，</w:t>
      </w:r>
      <w:proofErr w:type="gramStart"/>
      <w:r w:rsidRPr="00E16CF1">
        <w:t>均按歷年</w:t>
      </w:r>
      <w:proofErr w:type="gramEnd"/>
      <w:r w:rsidRPr="00E16CF1">
        <w:t>制計算，以</w:t>
      </w:r>
      <w:r w:rsidRPr="00E16CF1">
        <w:t>1</w:t>
      </w:r>
      <w:r w:rsidRPr="00E16CF1">
        <w:t>月</w:t>
      </w:r>
      <w:r w:rsidRPr="00E16CF1">
        <w:t>1</w:t>
      </w:r>
      <w:r w:rsidRPr="00E16CF1">
        <w:t>日至</w:t>
      </w:r>
      <w:r w:rsidRPr="00E16CF1">
        <w:t>12</w:t>
      </w:r>
      <w:r w:rsidRPr="00E16CF1">
        <w:t>月</w:t>
      </w:r>
      <w:r w:rsidRPr="00E16CF1">
        <w:t>31</w:t>
      </w:r>
      <w:r w:rsidRPr="00E16CF1">
        <w:t>日為一年。</w:t>
      </w:r>
    </w:p>
    <w:p w14:paraId="16D54E99" w14:textId="77777777" w:rsidR="00E16CF1" w:rsidRPr="00E16CF1" w:rsidRDefault="00E16CF1" w:rsidP="00E16CF1">
      <w:r w:rsidRPr="00E16CF1">
        <w:t>申報地點依贈與人身分而定：</w:t>
      </w:r>
    </w:p>
    <w:p w14:paraId="1034F929" w14:textId="77777777" w:rsidR="00E16CF1" w:rsidRPr="00E16CF1" w:rsidRDefault="00E16CF1" w:rsidP="00E16CF1">
      <w:pPr>
        <w:numPr>
          <w:ilvl w:val="0"/>
          <w:numId w:val="4"/>
        </w:numPr>
      </w:pPr>
      <w:r w:rsidRPr="00E16CF1">
        <w:t>經常居住中華民國境內之中華民國國民：向戶籍所在地國稅局申報。</w:t>
      </w:r>
    </w:p>
    <w:p w14:paraId="5B474880" w14:textId="77777777" w:rsidR="00E16CF1" w:rsidRPr="00E16CF1" w:rsidRDefault="00E16CF1" w:rsidP="00E16CF1">
      <w:pPr>
        <w:numPr>
          <w:ilvl w:val="0"/>
          <w:numId w:val="4"/>
        </w:numPr>
      </w:pPr>
      <w:r w:rsidRPr="00E16CF1">
        <w:t>經常居住中華民國境外之中華民國國民或非中華民國國民：向</w:t>
      </w:r>
      <w:proofErr w:type="gramStart"/>
      <w:r w:rsidRPr="00E16CF1">
        <w:t>臺</w:t>
      </w:r>
      <w:proofErr w:type="gramEnd"/>
      <w:r w:rsidRPr="00E16CF1">
        <w:t>北國稅局申報。</w:t>
      </w:r>
    </w:p>
    <w:p w14:paraId="58B52F97" w14:textId="77777777" w:rsidR="00E16CF1" w:rsidRPr="00E16CF1" w:rsidRDefault="00E16CF1" w:rsidP="00E16CF1">
      <w:pPr>
        <w:numPr>
          <w:ilvl w:val="0"/>
          <w:numId w:val="4"/>
        </w:numPr>
      </w:pPr>
      <w:r w:rsidRPr="00E16CF1">
        <w:t>符合「贈與稅</w:t>
      </w:r>
      <w:proofErr w:type="gramStart"/>
      <w:r w:rsidRPr="00E16CF1">
        <w:t>跨局臨櫃</w:t>
      </w:r>
      <w:proofErr w:type="gramEnd"/>
      <w:r w:rsidRPr="00E16CF1">
        <w:t>申辦作業要點」條件者，可就近至任</w:t>
      </w:r>
      <w:proofErr w:type="gramStart"/>
      <w:r w:rsidRPr="00E16CF1">
        <w:t>一</w:t>
      </w:r>
      <w:proofErr w:type="gramEnd"/>
      <w:r w:rsidRPr="00E16CF1">
        <w:t>國稅局申報。</w:t>
      </w:r>
    </w:p>
    <w:p w14:paraId="39EF8C92" w14:textId="77777777" w:rsidR="00E16CF1" w:rsidRPr="00E16CF1" w:rsidRDefault="00E16CF1" w:rsidP="00E16CF1">
      <w:pPr>
        <w:pStyle w:val="2"/>
      </w:pPr>
      <w:r w:rsidRPr="00E16CF1">
        <w:t>五、贈與日之認定</w:t>
      </w:r>
    </w:p>
    <w:p w14:paraId="35F09947" w14:textId="77777777" w:rsidR="00E16CF1" w:rsidRPr="00E16CF1" w:rsidRDefault="00E16CF1" w:rsidP="00E16CF1">
      <w:r w:rsidRPr="00E16CF1">
        <w:t>不同類型財產的贈與日認定標準如下：</w:t>
      </w:r>
    </w:p>
    <w:p w14:paraId="6A350345" w14:textId="77777777" w:rsidR="00E16CF1" w:rsidRPr="00E16CF1" w:rsidRDefault="00E16CF1" w:rsidP="00E16CF1">
      <w:pPr>
        <w:numPr>
          <w:ilvl w:val="0"/>
          <w:numId w:val="5"/>
        </w:numPr>
      </w:pPr>
      <w:r w:rsidRPr="00E16CF1">
        <w:t>不動產：立</w:t>
      </w:r>
      <w:proofErr w:type="gramStart"/>
      <w:r w:rsidRPr="00E16CF1">
        <w:t>契</w:t>
      </w:r>
      <w:proofErr w:type="gramEnd"/>
      <w:r w:rsidRPr="00E16CF1">
        <w:t>日</w:t>
      </w:r>
    </w:p>
    <w:p w14:paraId="0ECB5D0A" w14:textId="77777777" w:rsidR="00E16CF1" w:rsidRPr="00E16CF1" w:rsidRDefault="00E16CF1" w:rsidP="00E16CF1">
      <w:pPr>
        <w:numPr>
          <w:ilvl w:val="0"/>
          <w:numId w:val="5"/>
        </w:numPr>
      </w:pPr>
      <w:r w:rsidRPr="00E16CF1">
        <w:t>股票：贈與契約立</w:t>
      </w:r>
      <w:proofErr w:type="gramStart"/>
      <w:r w:rsidRPr="00E16CF1">
        <w:t>契</w:t>
      </w:r>
      <w:proofErr w:type="gramEnd"/>
      <w:r w:rsidRPr="00E16CF1">
        <w:t>日</w:t>
      </w:r>
    </w:p>
    <w:p w14:paraId="2ABCFC7C" w14:textId="77777777" w:rsidR="00E16CF1" w:rsidRPr="00E16CF1" w:rsidRDefault="00E16CF1" w:rsidP="00E16CF1">
      <w:pPr>
        <w:numPr>
          <w:ilvl w:val="0"/>
          <w:numId w:val="5"/>
        </w:numPr>
      </w:pPr>
      <w:r w:rsidRPr="00E16CF1">
        <w:t>現金：轉帳、匯款或交付移轉日</w:t>
      </w:r>
    </w:p>
    <w:p w14:paraId="2F2EEF33" w14:textId="77777777" w:rsidR="00E16CF1" w:rsidRPr="00E16CF1" w:rsidRDefault="00E16CF1" w:rsidP="00E16CF1">
      <w:pPr>
        <w:numPr>
          <w:ilvl w:val="0"/>
          <w:numId w:val="5"/>
        </w:numPr>
      </w:pPr>
      <w:r w:rsidRPr="00E16CF1">
        <w:t>他益信託：訂定契約日</w:t>
      </w:r>
    </w:p>
    <w:p w14:paraId="369B3C50" w14:textId="77777777" w:rsidR="00E16CF1" w:rsidRPr="00E16CF1" w:rsidRDefault="00E16CF1" w:rsidP="00E16CF1">
      <w:pPr>
        <w:numPr>
          <w:ilvl w:val="0"/>
          <w:numId w:val="5"/>
        </w:numPr>
      </w:pPr>
      <w:r w:rsidRPr="00E16CF1">
        <w:t>以未成年人名義興建房屋或購買未完工之建築物：該建築物使用執照發照日</w:t>
      </w:r>
    </w:p>
    <w:p w14:paraId="7C659928" w14:textId="77777777" w:rsidR="00E16CF1" w:rsidRPr="00E16CF1" w:rsidRDefault="00E16CF1" w:rsidP="00E16CF1">
      <w:pPr>
        <w:pStyle w:val="2"/>
      </w:pPr>
      <w:r w:rsidRPr="00E16CF1">
        <w:t>六、申報應檢附文件</w:t>
      </w:r>
    </w:p>
    <w:p w14:paraId="60B19A67" w14:textId="77777777" w:rsidR="00E16CF1" w:rsidRPr="00E16CF1" w:rsidRDefault="00E16CF1" w:rsidP="00E16CF1">
      <w:r w:rsidRPr="00E16CF1">
        <w:t>辦理贈與稅申報時，應檢附以下文件：</w:t>
      </w:r>
    </w:p>
    <w:p w14:paraId="187D3976" w14:textId="77777777" w:rsidR="00E16CF1" w:rsidRPr="00E16CF1" w:rsidRDefault="00E16CF1" w:rsidP="00E16CF1">
      <w:pPr>
        <w:numPr>
          <w:ilvl w:val="0"/>
          <w:numId w:val="6"/>
        </w:numPr>
      </w:pPr>
      <w:r w:rsidRPr="00E16CF1">
        <w:lastRenderedPageBreak/>
        <w:t>贈與稅申報書</w:t>
      </w:r>
    </w:p>
    <w:p w14:paraId="171227C1" w14:textId="77777777" w:rsidR="00E16CF1" w:rsidRPr="00E16CF1" w:rsidRDefault="00E16CF1" w:rsidP="00E16CF1">
      <w:pPr>
        <w:numPr>
          <w:ilvl w:val="0"/>
          <w:numId w:val="6"/>
        </w:numPr>
      </w:pPr>
      <w:r w:rsidRPr="00E16CF1">
        <w:t>贈與人及受贈人身分證明文件</w:t>
      </w:r>
    </w:p>
    <w:p w14:paraId="2E8BE052" w14:textId="77777777" w:rsidR="00E16CF1" w:rsidRPr="00E16CF1" w:rsidRDefault="00E16CF1" w:rsidP="00E16CF1">
      <w:pPr>
        <w:numPr>
          <w:ilvl w:val="0"/>
          <w:numId w:val="6"/>
        </w:numPr>
      </w:pPr>
      <w:r w:rsidRPr="00E16CF1">
        <w:t>贈與財產的相關證明文件（如土地謄本、建物所有權狀或登記謄本、股票證明等）</w:t>
      </w:r>
    </w:p>
    <w:p w14:paraId="47296F06" w14:textId="77777777" w:rsidR="00E16CF1" w:rsidRPr="00E16CF1" w:rsidRDefault="00E16CF1" w:rsidP="00E16CF1">
      <w:pPr>
        <w:numPr>
          <w:ilvl w:val="0"/>
          <w:numId w:val="6"/>
        </w:numPr>
      </w:pPr>
      <w:r w:rsidRPr="00E16CF1">
        <w:t>若主張扣除或不計入贈與總額項目，需檢附相關證明文件</w:t>
      </w:r>
    </w:p>
    <w:p w14:paraId="1B950CBA" w14:textId="77777777" w:rsidR="00E16CF1" w:rsidRPr="00E16CF1" w:rsidRDefault="00E16CF1" w:rsidP="00E16CF1">
      <w:pPr>
        <w:pStyle w:val="2"/>
      </w:pPr>
      <w:r w:rsidRPr="00E16CF1">
        <w:t>七、便民措施</w:t>
      </w:r>
    </w:p>
    <w:p w14:paraId="4016035A" w14:textId="77777777" w:rsidR="00E16CF1" w:rsidRPr="00E16CF1" w:rsidRDefault="00E16CF1" w:rsidP="00E16CF1">
      <w:r w:rsidRPr="00E16CF1">
        <w:t>為提升納稅便利性，稅務機關提供多項便民措施：</w:t>
      </w:r>
    </w:p>
    <w:p w14:paraId="278B6DFC" w14:textId="77777777" w:rsidR="00E16CF1" w:rsidRPr="00E16CF1" w:rsidRDefault="00E16CF1" w:rsidP="00E16CF1">
      <w:pPr>
        <w:numPr>
          <w:ilvl w:val="0"/>
          <w:numId w:val="7"/>
        </w:numPr>
      </w:pPr>
      <w:r w:rsidRPr="00E16CF1">
        <w:t>贈與稅</w:t>
      </w:r>
      <w:proofErr w:type="gramStart"/>
      <w:r w:rsidRPr="00E16CF1">
        <w:t>跨局臨櫃</w:t>
      </w:r>
      <w:proofErr w:type="gramEnd"/>
      <w:r w:rsidRPr="00E16CF1">
        <w:t>申辦服務：符合特定條件者，可不受戶籍所在地限制，就近辦理申報</w:t>
      </w:r>
    </w:p>
    <w:p w14:paraId="2B0731AB" w14:textId="77777777" w:rsidR="00E16CF1" w:rsidRPr="00E16CF1" w:rsidRDefault="00E16CF1" w:rsidP="00E16CF1">
      <w:pPr>
        <w:numPr>
          <w:ilvl w:val="0"/>
          <w:numId w:val="7"/>
        </w:numPr>
      </w:pPr>
      <w:r w:rsidRPr="00E16CF1">
        <w:t>網路申報服務：可透過財政部稅務入口網</w:t>
      </w:r>
      <w:proofErr w:type="gramStart"/>
      <w:r w:rsidRPr="00E16CF1">
        <w:t>進行線上申報</w:t>
      </w:r>
      <w:proofErr w:type="gramEnd"/>
    </w:p>
    <w:p w14:paraId="4E092DC9" w14:textId="77777777" w:rsidR="00E16CF1" w:rsidRPr="00E16CF1" w:rsidRDefault="00E16CF1" w:rsidP="00E16CF1">
      <w:pPr>
        <w:numPr>
          <w:ilvl w:val="0"/>
          <w:numId w:val="7"/>
        </w:numPr>
      </w:pPr>
      <w:r w:rsidRPr="00E16CF1">
        <w:t>稅務諮詢服務：各地國稅局提供贈與稅相關諮詢，協助納稅人了解申報義務</w:t>
      </w:r>
    </w:p>
    <w:p w14:paraId="512E487E" w14:textId="77777777" w:rsidR="00E16CF1" w:rsidRPr="00E16CF1" w:rsidRDefault="00E16CF1" w:rsidP="00E16CF1">
      <w:pPr>
        <w:pStyle w:val="2"/>
      </w:pPr>
      <w:r w:rsidRPr="00E16CF1">
        <w:t>八、贈與稅</w:t>
      </w:r>
      <w:proofErr w:type="gramStart"/>
      <w:r w:rsidRPr="00E16CF1">
        <w:t>跨局臨櫃</w:t>
      </w:r>
      <w:proofErr w:type="gramEnd"/>
      <w:r w:rsidRPr="00E16CF1">
        <w:t>申辦適用範圍</w:t>
      </w:r>
    </w:p>
    <w:p w14:paraId="779FE6C2" w14:textId="77777777" w:rsidR="00E16CF1" w:rsidRPr="00E16CF1" w:rsidRDefault="00E16CF1" w:rsidP="00E16CF1">
      <w:r w:rsidRPr="00E16CF1">
        <w:t>贈與稅</w:t>
      </w:r>
      <w:proofErr w:type="gramStart"/>
      <w:r w:rsidRPr="00E16CF1">
        <w:t>跨局臨櫃</w:t>
      </w:r>
      <w:proofErr w:type="gramEnd"/>
      <w:r w:rsidRPr="00E16CF1">
        <w:t>申辦適用於以下財產贈與：</w:t>
      </w:r>
    </w:p>
    <w:p w14:paraId="4C648A46" w14:textId="77777777" w:rsidR="00E16CF1" w:rsidRPr="00E16CF1" w:rsidRDefault="00E16CF1" w:rsidP="00E16CF1">
      <w:pPr>
        <w:numPr>
          <w:ilvl w:val="0"/>
          <w:numId w:val="8"/>
        </w:numPr>
      </w:pPr>
      <w:r w:rsidRPr="00E16CF1">
        <w:t>土地及房屋（非視同農業用地）</w:t>
      </w:r>
    </w:p>
    <w:p w14:paraId="48198B8D" w14:textId="77777777" w:rsidR="00E16CF1" w:rsidRPr="00E16CF1" w:rsidRDefault="00E16CF1" w:rsidP="00E16CF1">
      <w:pPr>
        <w:numPr>
          <w:ilvl w:val="0"/>
          <w:numId w:val="8"/>
        </w:numPr>
      </w:pPr>
      <w:r w:rsidRPr="00E16CF1">
        <w:t>現金</w:t>
      </w:r>
    </w:p>
    <w:p w14:paraId="170B7E30" w14:textId="77777777" w:rsidR="00E16CF1" w:rsidRPr="00E16CF1" w:rsidRDefault="00E16CF1" w:rsidP="00E16CF1">
      <w:pPr>
        <w:numPr>
          <w:ilvl w:val="0"/>
          <w:numId w:val="8"/>
        </w:numPr>
      </w:pPr>
      <w:r w:rsidRPr="00E16CF1">
        <w:t>上市（櫃）</w:t>
      </w:r>
      <w:proofErr w:type="gramStart"/>
      <w:r w:rsidRPr="00E16CF1">
        <w:t>及興櫃公司</w:t>
      </w:r>
      <w:proofErr w:type="gramEnd"/>
      <w:r w:rsidRPr="00E16CF1">
        <w:t>股票（股權）</w:t>
      </w:r>
    </w:p>
    <w:p w14:paraId="2EF4A25F" w14:textId="77777777" w:rsidR="00E16CF1" w:rsidRPr="00E16CF1" w:rsidRDefault="00E16CF1" w:rsidP="00E16CF1">
      <w:pPr>
        <w:numPr>
          <w:ilvl w:val="0"/>
          <w:numId w:val="8"/>
        </w:numPr>
      </w:pPr>
      <w:r w:rsidRPr="00E16CF1">
        <w:t>未上（櫃）且</w:t>
      </w:r>
      <w:proofErr w:type="gramStart"/>
      <w:r w:rsidRPr="00E16CF1">
        <w:t>非興櫃</w:t>
      </w:r>
      <w:proofErr w:type="gramEnd"/>
      <w:r w:rsidRPr="00E16CF1">
        <w:t>股票（股權）之個別投資面額不超過</w:t>
      </w:r>
      <w:r w:rsidRPr="00E16CF1">
        <w:t>500</w:t>
      </w:r>
      <w:r w:rsidRPr="00E16CF1">
        <w:t>萬元</w:t>
      </w:r>
    </w:p>
    <w:p w14:paraId="7A05F36B" w14:textId="77777777" w:rsidR="00E16CF1" w:rsidRPr="00E16CF1" w:rsidRDefault="00E16CF1" w:rsidP="00E16CF1">
      <w:pPr>
        <w:numPr>
          <w:ilvl w:val="0"/>
          <w:numId w:val="8"/>
        </w:numPr>
      </w:pPr>
      <w:r w:rsidRPr="00E16CF1">
        <w:t>依法不計入贈與總額之特定財產</w:t>
      </w:r>
    </w:p>
    <w:p w14:paraId="51585910" w14:textId="77777777" w:rsidR="00E16CF1" w:rsidRPr="00E16CF1" w:rsidRDefault="00E16CF1" w:rsidP="00E16CF1">
      <w:pPr>
        <w:pStyle w:val="2"/>
      </w:pPr>
      <w:r w:rsidRPr="00E16CF1">
        <w:t>結語</w:t>
      </w:r>
    </w:p>
    <w:p w14:paraId="455DAB21" w14:textId="77777777" w:rsidR="00E16CF1" w:rsidRPr="00E16CF1" w:rsidRDefault="00E16CF1" w:rsidP="00E16CF1">
      <w:r w:rsidRPr="00E16CF1">
        <w:t>了解贈與稅的基本概念和申報流程對於合理安排財富傳承至關重要。在進行贈與前，建議先評估稅負影響，並考慮是否符合不計入贈與總額的條件，以最大化稅務效益。同時，牢記申報期限及應備資料，避免因逾期或漏報而受罰。</w:t>
      </w:r>
    </w:p>
    <w:p w14:paraId="357AF58B" w14:textId="77777777" w:rsidR="00E16CF1" w:rsidRPr="00E16CF1" w:rsidRDefault="00E16CF1" w:rsidP="00E16CF1">
      <w:r w:rsidRPr="00E16CF1">
        <w:t>本篇文章介紹了贈與稅的基本概念與申報流程，下一篇將深入探討遺產稅的課稅範圍與計算方式，敬請期待。</w:t>
      </w:r>
    </w:p>
    <w:p w14:paraId="492AA632" w14:textId="77777777" w:rsidR="00E16CF1" w:rsidRPr="00E16CF1" w:rsidRDefault="00E16CF1" w:rsidP="00E16CF1">
      <w:r w:rsidRPr="00E16CF1">
        <w:t>標籤：贈與稅、申報流程、視同贈與、納稅義務人</w:t>
      </w:r>
    </w:p>
    <w:p w14:paraId="043697B2" w14:textId="77777777" w:rsidR="00E16CF1" w:rsidRPr="00E16CF1" w:rsidRDefault="00E16CF1" w:rsidP="00E16CF1">
      <w:r w:rsidRPr="00E16CF1">
        <w:t>發布日期：</w:t>
      </w:r>
      <w:r w:rsidRPr="00E16CF1">
        <w:t>2025-02-01</w:t>
      </w:r>
    </w:p>
    <w:p w14:paraId="48BBA2CE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033B"/>
    <w:multiLevelType w:val="multilevel"/>
    <w:tmpl w:val="5DA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F29C6"/>
    <w:multiLevelType w:val="multilevel"/>
    <w:tmpl w:val="710A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D71CE"/>
    <w:multiLevelType w:val="multilevel"/>
    <w:tmpl w:val="7612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F1279"/>
    <w:multiLevelType w:val="multilevel"/>
    <w:tmpl w:val="E4B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C1280"/>
    <w:multiLevelType w:val="multilevel"/>
    <w:tmpl w:val="E356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66071"/>
    <w:multiLevelType w:val="multilevel"/>
    <w:tmpl w:val="36D2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701B0D"/>
    <w:multiLevelType w:val="multilevel"/>
    <w:tmpl w:val="DA3E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A7AAE"/>
    <w:multiLevelType w:val="multilevel"/>
    <w:tmpl w:val="4F10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599636">
    <w:abstractNumId w:val="2"/>
  </w:num>
  <w:num w:numId="2" w16cid:durableId="1637836762">
    <w:abstractNumId w:val="4"/>
  </w:num>
  <w:num w:numId="3" w16cid:durableId="354886818">
    <w:abstractNumId w:val="5"/>
  </w:num>
  <w:num w:numId="4" w16cid:durableId="1254365409">
    <w:abstractNumId w:val="0"/>
  </w:num>
  <w:num w:numId="5" w16cid:durableId="137385125">
    <w:abstractNumId w:val="1"/>
  </w:num>
  <w:num w:numId="6" w16cid:durableId="418329691">
    <w:abstractNumId w:val="7"/>
  </w:num>
  <w:num w:numId="7" w16cid:durableId="1878202151">
    <w:abstractNumId w:val="3"/>
  </w:num>
  <w:num w:numId="8" w16cid:durableId="219681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88"/>
    <w:rsid w:val="00607888"/>
    <w:rsid w:val="009777E2"/>
    <w:rsid w:val="00B30DCA"/>
    <w:rsid w:val="00B64427"/>
    <w:rsid w:val="00D9281F"/>
    <w:rsid w:val="00DE5A2C"/>
    <w:rsid w:val="00E1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6472A-D82A-4260-8FC3-1C62DC31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2025-05-06T01:07:00Z</dcterms:created>
  <dcterms:modified xsi:type="dcterms:W3CDTF">2025-05-06T01:07:00Z</dcterms:modified>
</cp:coreProperties>
</file>