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84A1B" w14:textId="6A439B2C" w:rsidR="004E00A3" w:rsidRPr="004E00A3" w:rsidRDefault="004E00A3" w:rsidP="004E00A3">
      <w:pPr>
        <w:pStyle w:val="1"/>
      </w:pPr>
      <w:r w:rsidRPr="004E00A3">
        <w:t>CFC</w:t>
      </w:r>
      <w:r w:rsidRPr="004E00A3">
        <w:t>投資收益歸課與避免重複課稅</w:t>
      </w:r>
    </w:p>
    <w:p w14:paraId="109FFB20" w14:textId="77777777" w:rsidR="004E00A3" w:rsidRPr="004E00A3" w:rsidRDefault="004E00A3" w:rsidP="004E00A3">
      <w:pPr>
        <w:pStyle w:val="2"/>
      </w:pPr>
      <w:r w:rsidRPr="004E00A3">
        <w:t>前言</w:t>
      </w:r>
    </w:p>
    <w:p w14:paraId="6471C447" w14:textId="77777777" w:rsidR="004E00A3" w:rsidRPr="004E00A3" w:rsidRDefault="004E00A3" w:rsidP="004E00A3">
      <w:r w:rsidRPr="004E00A3">
        <w:t>在確定</w:t>
      </w:r>
      <w:r w:rsidRPr="004E00A3">
        <w:t>CFC</w:t>
      </w:r>
      <w:r w:rsidRPr="004E00A3">
        <w:t>當年度盈餘後，接下來的重要步驟是計算歸屬於國內營利事業的</w:t>
      </w:r>
      <w:r w:rsidRPr="004E00A3">
        <w:t>CFC</w:t>
      </w:r>
      <w:r w:rsidRPr="004E00A3">
        <w:t>投資收益，並正確處理後續的稅務問題。</w:t>
      </w:r>
      <w:r w:rsidRPr="004E00A3">
        <w:t>CFC</w:t>
      </w:r>
      <w:r w:rsidRPr="004E00A3">
        <w:t>制度的核心在於將境外企業未分配的盈餘視同分配課稅，但為了避免同一筆所得被重複課稅，法規設計了多項配套措施。本文將深入探討</w:t>
      </w:r>
      <w:r w:rsidRPr="004E00A3">
        <w:t>CFC</w:t>
      </w:r>
      <w:r w:rsidRPr="004E00A3">
        <w:t>投資收益的歸課計算方法，以及避免重複課稅的各項機制，幫助企業正確適用相關規定，合理管理稅負。</w:t>
      </w:r>
    </w:p>
    <w:p w14:paraId="7B83C6D5" w14:textId="77777777" w:rsidR="004E00A3" w:rsidRPr="004E00A3" w:rsidRDefault="004E00A3" w:rsidP="004E00A3">
      <w:pPr>
        <w:pStyle w:val="2"/>
      </w:pPr>
      <w:r w:rsidRPr="004E00A3">
        <w:t>一、</w:t>
      </w:r>
      <w:r w:rsidRPr="004E00A3">
        <w:t>CFC</w:t>
      </w:r>
      <w:r w:rsidRPr="004E00A3">
        <w:t>投資收益歸課計算方法</w:t>
      </w:r>
    </w:p>
    <w:p w14:paraId="096FE0EE" w14:textId="77777777" w:rsidR="004E00A3" w:rsidRPr="004E00A3" w:rsidRDefault="004E00A3" w:rsidP="004E00A3">
      <w:r w:rsidRPr="004E00A3">
        <w:t>依據「營利事業</w:t>
      </w:r>
      <w:proofErr w:type="gramStart"/>
      <w:r w:rsidRPr="004E00A3">
        <w:t>認列受控</w:t>
      </w:r>
      <w:proofErr w:type="gramEnd"/>
      <w:r w:rsidRPr="004E00A3">
        <w:t>外國企業所得適用辦法」第</w:t>
      </w:r>
      <w:r w:rsidRPr="004E00A3">
        <w:t>8</w:t>
      </w:r>
      <w:r w:rsidRPr="004E00A3">
        <w:t>條規定，營利事業應認列的</w:t>
      </w:r>
      <w:r w:rsidRPr="004E00A3">
        <w:t>CFC</w:t>
      </w:r>
      <w:r w:rsidRPr="004E00A3">
        <w:t>投資收益計算公式如下：</w:t>
      </w:r>
    </w:p>
    <w:p w14:paraId="2414AE34" w14:textId="77777777" w:rsidR="004E00A3" w:rsidRPr="004E00A3" w:rsidRDefault="004E00A3" w:rsidP="004E00A3">
      <w:r w:rsidRPr="004E00A3">
        <w:t>CFC</w:t>
      </w:r>
      <w:r w:rsidRPr="004E00A3">
        <w:t>投資收益</w:t>
      </w:r>
      <w:r w:rsidRPr="004E00A3">
        <w:t xml:space="preserve"> = (CFC</w:t>
      </w:r>
      <w:r w:rsidRPr="004E00A3">
        <w:t>當年度盈餘</w:t>
      </w:r>
      <w:r w:rsidRPr="004E00A3">
        <w:t xml:space="preserve"> - </w:t>
      </w:r>
      <w:r w:rsidRPr="004E00A3">
        <w:t>法定盈餘</w:t>
      </w:r>
      <w:proofErr w:type="gramStart"/>
      <w:r w:rsidRPr="004E00A3">
        <w:t>公積或限制</w:t>
      </w:r>
      <w:proofErr w:type="gramEnd"/>
      <w:r w:rsidRPr="004E00A3">
        <w:t>分配項目</w:t>
      </w:r>
      <w:r w:rsidRPr="004E00A3">
        <w:t xml:space="preserve"> - </w:t>
      </w:r>
      <w:r w:rsidRPr="004E00A3">
        <w:t>以前年度核定各期虧損</w:t>
      </w:r>
      <w:r w:rsidRPr="004E00A3">
        <w:t xml:space="preserve">) × </w:t>
      </w:r>
      <w:r w:rsidRPr="004E00A3">
        <w:t>直接持股比率</w:t>
      </w:r>
      <w:r w:rsidRPr="004E00A3">
        <w:t xml:space="preserve"> × </w:t>
      </w:r>
      <w:r w:rsidRPr="004E00A3">
        <w:t>持有期間加權平均</w:t>
      </w:r>
    </w:p>
    <w:p w14:paraId="486BCD05" w14:textId="77777777" w:rsidR="004E00A3" w:rsidRPr="004E00A3" w:rsidRDefault="004E00A3" w:rsidP="004E00A3">
      <w:r w:rsidRPr="004E00A3">
        <w:t>其中各項目的內容及計算方式詳述如下：</w:t>
      </w:r>
    </w:p>
    <w:p w14:paraId="6AA50145" w14:textId="77777777" w:rsidR="004E00A3" w:rsidRPr="004E00A3" w:rsidRDefault="004E00A3" w:rsidP="004E00A3">
      <w:r w:rsidRPr="004E00A3">
        <w:rPr>
          <w:b/>
          <w:bCs/>
        </w:rPr>
        <w:t xml:space="preserve">1. </w:t>
      </w:r>
      <w:r w:rsidRPr="004E00A3">
        <w:rPr>
          <w:b/>
          <w:bCs/>
        </w:rPr>
        <w:t>法定盈餘</w:t>
      </w:r>
      <w:proofErr w:type="gramStart"/>
      <w:r w:rsidRPr="004E00A3">
        <w:rPr>
          <w:b/>
          <w:bCs/>
        </w:rPr>
        <w:t>公積或限制</w:t>
      </w:r>
      <w:proofErr w:type="gramEnd"/>
      <w:r w:rsidRPr="004E00A3">
        <w:rPr>
          <w:b/>
          <w:bCs/>
        </w:rPr>
        <w:t>分配項目的扣除</w:t>
      </w:r>
    </w:p>
    <w:p w14:paraId="572EA6B5" w14:textId="77777777" w:rsidR="004E00A3" w:rsidRPr="004E00A3" w:rsidRDefault="004E00A3" w:rsidP="004E00A3">
      <w:pPr>
        <w:numPr>
          <w:ilvl w:val="0"/>
          <w:numId w:val="1"/>
        </w:numPr>
      </w:pPr>
      <w:r w:rsidRPr="004E00A3">
        <w:rPr>
          <w:b/>
          <w:bCs/>
        </w:rPr>
        <w:t>扣除依據</w:t>
      </w:r>
      <w:r w:rsidRPr="004E00A3">
        <w:t>：依</w:t>
      </w:r>
      <w:r w:rsidRPr="004E00A3">
        <w:t>CFC</w:t>
      </w:r>
      <w:r w:rsidRPr="004E00A3">
        <w:t>所在國家或地區法律規定提列的法定盈餘</w:t>
      </w:r>
      <w:proofErr w:type="gramStart"/>
      <w:r w:rsidRPr="004E00A3">
        <w:t>公積或限制</w:t>
      </w:r>
      <w:proofErr w:type="gramEnd"/>
      <w:r w:rsidRPr="004E00A3">
        <w:t>分配項目</w:t>
      </w:r>
    </w:p>
    <w:p w14:paraId="33BE4426" w14:textId="77777777" w:rsidR="004E00A3" w:rsidRPr="004E00A3" w:rsidRDefault="004E00A3" w:rsidP="004E00A3">
      <w:pPr>
        <w:numPr>
          <w:ilvl w:val="0"/>
          <w:numId w:val="1"/>
        </w:numPr>
      </w:pPr>
      <w:r w:rsidRPr="004E00A3">
        <w:rPr>
          <w:b/>
          <w:bCs/>
        </w:rPr>
        <w:t>認定標準</w:t>
      </w:r>
      <w:r w:rsidRPr="004E00A3">
        <w:t>：依</w:t>
      </w:r>
      <w:r w:rsidRPr="004E00A3">
        <w:t>CFC</w:t>
      </w:r>
      <w:r w:rsidRPr="004E00A3">
        <w:t>的股東同意書或股東會議事錄及財務報表等文件認定</w:t>
      </w:r>
    </w:p>
    <w:p w14:paraId="254929D7" w14:textId="77777777" w:rsidR="004E00A3" w:rsidRPr="004E00A3" w:rsidRDefault="004E00A3" w:rsidP="004E00A3">
      <w:pPr>
        <w:numPr>
          <w:ilvl w:val="0"/>
          <w:numId w:val="1"/>
        </w:numPr>
      </w:pPr>
      <w:r w:rsidRPr="004E00A3">
        <w:rPr>
          <w:b/>
          <w:bCs/>
        </w:rPr>
        <w:t>扣除限制</w:t>
      </w:r>
      <w:r w:rsidRPr="004E00A3">
        <w:t>：僅限於依法強制提列的項目，自願提列的盈餘公積不得扣除</w:t>
      </w:r>
    </w:p>
    <w:p w14:paraId="02D6F440" w14:textId="77777777" w:rsidR="004E00A3" w:rsidRPr="004E00A3" w:rsidRDefault="004E00A3" w:rsidP="004E00A3">
      <w:r w:rsidRPr="004E00A3">
        <w:t>此項扣除旨在尊重</w:t>
      </w:r>
      <w:r w:rsidRPr="004E00A3">
        <w:t>CFC</w:t>
      </w:r>
      <w:r w:rsidRPr="004E00A3">
        <w:t>所在地法律對盈餘分配的限制，避免對實際無法分配的盈餘課稅。</w:t>
      </w:r>
    </w:p>
    <w:p w14:paraId="0B64F83F" w14:textId="77777777" w:rsidR="004E00A3" w:rsidRPr="004E00A3" w:rsidRDefault="004E00A3" w:rsidP="004E00A3">
      <w:r w:rsidRPr="004E00A3">
        <w:rPr>
          <w:b/>
          <w:bCs/>
        </w:rPr>
        <w:t xml:space="preserve">2. </w:t>
      </w:r>
      <w:r w:rsidRPr="004E00A3">
        <w:rPr>
          <w:b/>
          <w:bCs/>
        </w:rPr>
        <w:t>以前年度核定各期虧損的扣除</w:t>
      </w:r>
    </w:p>
    <w:p w14:paraId="3B9436D2" w14:textId="77777777" w:rsidR="004E00A3" w:rsidRPr="004E00A3" w:rsidRDefault="004E00A3" w:rsidP="004E00A3">
      <w:r w:rsidRPr="004E00A3">
        <w:t>營利事業可以從</w:t>
      </w:r>
      <w:r w:rsidRPr="004E00A3">
        <w:t>CFC</w:t>
      </w:r>
      <w:r w:rsidRPr="004E00A3">
        <w:t>當年度盈餘中扣除</w:t>
      </w:r>
      <w:r w:rsidRPr="004E00A3">
        <w:t>CFC</w:t>
      </w:r>
      <w:r w:rsidRPr="004E00A3">
        <w:t>前十年內經</w:t>
      </w:r>
      <w:proofErr w:type="gramStart"/>
      <w:r w:rsidRPr="004E00A3">
        <w:t>稽</w:t>
      </w:r>
      <w:proofErr w:type="gramEnd"/>
      <w:r w:rsidRPr="004E00A3">
        <w:t>徵機關核定的虧損，但須符合特定要件：</w:t>
      </w:r>
    </w:p>
    <w:p w14:paraId="4007EE05" w14:textId="77777777" w:rsidR="004E00A3" w:rsidRPr="004E00A3" w:rsidRDefault="004E00A3" w:rsidP="004E00A3">
      <w:pPr>
        <w:numPr>
          <w:ilvl w:val="0"/>
          <w:numId w:val="2"/>
        </w:numPr>
      </w:pPr>
      <w:r w:rsidRPr="004E00A3">
        <w:rPr>
          <w:b/>
          <w:bCs/>
        </w:rPr>
        <w:t>申報要求</w:t>
      </w:r>
      <w:r w:rsidRPr="004E00A3">
        <w:t>：依限申報計算虧損並檢附相關文件</w:t>
      </w:r>
    </w:p>
    <w:p w14:paraId="0B431B46" w14:textId="77777777" w:rsidR="004E00A3" w:rsidRPr="004E00A3" w:rsidRDefault="004E00A3" w:rsidP="004E00A3">
      <w:pPr>
        <w:numPr>
          <w:ilvl w:val="0"/>
          <w:numId w:val="2"/>
        </w:numPr>
      </w:pPr>
      <w:r w:rsidRPr="004E00A3">
        <w:rPr>
          <w:b/>
          <w:bCs/>
        </w:rPr>
        <w:t>核定要件</w:t>
      </w:r>
      <w:r w:rsidRPr="004E00A3">
        <w:t>：經我國</w:t>
      </w:r>
      <w:proofErr w:type="gramStart"/>
      <w:r w:rsidRPr="004E00A3">
        <w:t>稽</w:t>
      </w:r>
      <w:proofErr w:type="gramEnd"/>
      <w:r w:rsidRPr="004E00A3">
        <w:t>徵機關核定</w:t>
      </w:r>
    </w:p>
    <w:p w14:paraId="2879FDA9" w14:textId="77777777" w:rsidR="004E00A3" w:rsidRPr="004E00A3" w:rsidRDefault="004E00A3" w:rsidP="004E00A3">
      <w:pPr>
        <w:numPr>
          <w:ilvl w:val="0"/>
          <w:numId w:val="2"/>
        </w:numPr>
      </w:pPr>
      <w:r w:rsidRPr="004E00A3">
        <w:rPr>
          <w:b/>
          <w:bCs/>
        </w:rPr>
        <w:t>扣除順序</w:t>
      </w:r>
      <w:r w:rsidRPr="004E00A3">
        <w:t>：依虧損發生年度順序扣除</w:t>
      </w:r>
    </w:p>
    <w:p w14:paraId="6B04FCD5" w14:textId="77777777" w:rsidR="004E00A3" w:rsidRPr="004E00A3" w:rsidRDefault="004E00A3" w:rsidP="004E00A3">
      <w:pPr>
        <w:numPr>
          <w:ilvl w:val="0"/>
          <w:numId w:val="2"/>
        </w:numPr>
      </w:pPr>
      <w:r w:rsidRPr="004E00A3">
        <w:rPr>
          <w:b/>
          <w:bCs/>
        </w:rPr>
        <w:t>扣除期限</w:t>
      </w:r>
      <w:r w:rsidRPr="004E00A3">
        <w:t>：自虧損發生年度的次年度起</w:t>
      </w:r>
      <w:r w:rsidRPr="004E00A3">
        <w:t>10</w:t>
      </w:r>
      <w:r w:rsidRPr="004E00A3">
        <w:t>年內</w:t>
      </w:r>
    </w:p>
    <w:p w14:paraId="39645950" w14:textId="77777777" w:rsidR="004E00A3" w:rsidRPr="004E00A3" w:rsidRDefault="004E00A3" w:rsidP="004E00A3">
      <w:r w:rsidRPr="004E00A3">
        <w:lastRenderedPageBreak/>
        <w:t>值得注意的是，即使</w:t>
      </w:r>
      <w:r w:rsidRPr="004E00A3">
        <w:t>CFC</w:t>
      </w:r>
      <w:r w:rsidRPr="004E00A3">
        <w:t>符合豁免條件（實質營運活動或微量門檻），但當年度發生虧損且未來欲適用虧損扣除，仍須依規定申報</w:t>
      </w:r>
      <w:r w:rsidRPr="004E00A3">
        <w:t>CFC</w:t>
      </w:r>
      <w:r w:rsidRPr="004E00A3">
        <w:t>當年度虧損。</w:t>
      </w:r>
    </w:p>
    <w:p w14:paraId="59C3151F" w14:textId="77777777" w:rsidR="004E00A3" w:rsidRPr="004E00A3" w:rsidRDefault="004E00A3" w:rsidP="004E00A3">
      <w:r w:rsidRPr="004E00A3">
        <w:rPr>
          <w:b/>
          <w:bCs/>
        </w:rPr>
        <w:t xml:space="preserve">3. </w:t>
      </w:r>
      <w:r w:rsidRPr="004E00A3">
        <w:rPr>
          <w:b/>
          <w:bCs/>
        </w:rPr>
        <w:t>直接持股比率與持有期間的計算</w:t>
      </w:r>
    </w:p>
    <w:p w14:paraId="2C0E35E8" w14:textId="77777777" w:rsidR="004E00A3" w:rsidRPr="004E00A3" w:rsidRDefault="004E00A3" w:rsidP="004E00A3">
      <w:pPr>
        <w:numPr>
          <w:ilvl w:val="0"/>
          <w:numId w:val="3"/>
        </w:numPr>
      </w:pPr>
      <w:r w:rsidRPr="004E00A3">
        <w:rPr>
          <w:b/>
          <w:bCs/>
        </w:rPr>
        <w:t>直接持股比率</w:t>
      </w:r>
      <w:r w:rsidRPr="004E00A3">
        <w:t>：營利事業直接持有</w:t>
      </w:r>
      <w:r w:rsidRPr="004E00A3">
        <w:t>CFC</w:t>
      </w:r>
      <w:r w:rsidRPr="004E00A3">
        <w:t>的股權比率，不包括透過關係企業間接持有的部分</w:t>
      </w:r>
    </w:p>
    <w:p w14:paraId="3836D17C" w14:textId="77777777" w:rsidR="004E00A3" w:rsidRPr="004E00A3" w:rsidRDefault="004E00A3" w:rsidP="004E00A3">
      <w:pPr>
        <w:numPr>
          <w:ilvl w:val="0"/>
          <w:numId w:val="3"/>
        </w:numPr>
      </w:pPr>
      <w:r w:rsidRPr="004E00A3">
        <w:rPr>
          <w:b/>
          <w:bCs/>
        </w:rPr>
        <w:t>持有期間</w:t>
      </w:r>
      <w:r w:rsidRPr="004E00A3">
        <w:t>：若在年度中取得或處分</w:t>
      </w:r>
      <w:r w:rsidRPr="004E00A3">
        <w:t>CFC</w:t>
      </w:r>
      <w:r w:rsidRPr="004E00A3">
        <w:t>股權，應按持有期間加權平均計算</w:t>
      </w:r>
    </w:p>
    <w:p w14:paraId="2A0F5179" w14:textId="77777777" w:rsidR="004E00A3" w:rsidRPr="004E00A3" w:rsidRDefault="004E00A3" w:rsidP="004E00A3">
      <w:pPr>
        <w:pStyle w:val="2"/>
      </w:pPr>
      <w:r w:rsidRPr="004E00A3">
        <w:t>二、</w:t>
      </w:r>
      <w:r w:rsidRPr="004E00A3">
        <w:t>CFC 10</w:t>
      </w:r>
      <w:r w:rsidRPr="004E00A3">
        <w:t>年虧損扣除實務</w:t>
      </w:r>
    </w:p>
    <w:p w14:paraId="28B5571D" w14:textId="77777777" w:rsidR="004E00A3" w:rsidRPr="004E00A3" w:rsidRDefault="004E00A3" w:rsidP="004E00A3">
      <w:r w:rsidRPr="004E00A3">
        <w:t>CFC</w:t>
      </w:r>
      <w:r w:rsidRPr="004E00A3">
        <w:t>的虧損扣除機制是避免重複課稅的重要環節，其適用要點包括：</w:t>
      </w:r>
    </w:p>
    <w:p w14:paraId="4FDBCA4D" w14:textId="77777777" w:rsidR="004E00A3" w:rsidRPr="004E00A3" w:rsidRDefault="004E00A3" w:rsidP="004E00A3">
      <w:r w:rsidRPr="004E00A3">
        <w:rPr>
          <w:b/>
          <w:bCs/>
        </w:rPr>
        <w:t xml:space="preserve">1. </w:t>
      </w:r>
      <w:r w:rsidRPr="004E00A3">
        <w:rPr>
          <w:b/>
          <w:bCs/>
        </w:rPr>
        <w:t>虧損扣除的適用要件</w:t>
      </w:r>
    </w:p>
    <w:p w14:paraId="3DECD2DA" w14:textId="77777777" w:rsidR="004E00A3" w:rsidRPr="004E00A3" w:rsidRDefault="004E00A3" w:rsidP="004E00A3">
      <w:r w:rsidRPr="004E00A3">
        <w:t>要適用</w:t>
      </w:r>
      <w:r w:rsidRPr="004E00A3">
        <w:t>10</w:t>
      </w:r>
      <w:r w:rsidRPr="004E00A3">
        <w:t>年虧損扣除，必須滿足以下條件：</w:t>
      </w:r>
    </w:p>
    <w:p w14:paraId="4161B7BB" w14:textId="77777777" w:rsidR="004E00A3" w:rsidRPr="004E00A3" w:rsidRDefault="004E00A3" w:rsidP="004E00A3">
      <w:pPr>
        <w:numPr>
          <w:ilvl w:val="0"/>
          <w:numId w:val="4"/>
        </w:numPr>
      </w:pPr>
      <w:r w:rsidRPr="004E00A3">
        <w:t>依限申報計算虧損</w:t>
      </w:r>
    </w:p>
    <w:p w14:paraId="5CD26629" w14:textId="77777777" w:rsidR="004E00A3" w:rsidRPr="004E00A3" w:rsidRDefault="004E00A3" w:rsidP="004E00A3">
      <w:pPr>
        <w:numPr>
          <w:ilvl w:val="0"/>
          <w:numId w:val="4"/>
        </w:numPr>
      </w:pPr>
      <w:proofErr w:type="gramStart"/>
      <w:r w:rsidRPr="004E00A3">
        <w:t>依限檢附</w:t>
      </w:r>
      <w:proofErr w:type="gramEnd"/>
      <w:r w:rsidRPr="004E00A3">
        <w:t>文件（如</w:t>
      </w:r>
      <w:r w:rsidRPr="004E00A3">
        <w:t>CFC</w:t>
      </w:r>
      <w:r w:rsidRPr="004E00A3">
        <w:t>財務報表、結構圖等）</w:t>
      </w:r>
    </w:p>
    <w:p w14:paraId="0EA61BF3" w14:textId="77777777" w:rsidR="004E00A3" w:rsidRPr="004E00A3" w:rsidRDefault="004E00A3" w:rsidP="004E00A3">
      <w:pPr>
        <w:numPr>
          <w:ilvl w:val="0"/>
          <w:numId w:val="4"/>
        </w:numPr>
      </w:pPr>
      <w:r w:rsidRPr="004E00A3">
        <w:t>經我國</w:t>
      </w:r>
      <w:proofErr w:type="gramStart"/>
      <w:r w:rsidRPr="004E00A3">
        <w:t>稽</w:t>
      </w:r>
      <w:proofErr w:type="gramEnd"/>
      <w:r w:rsidRPr="004E00A3">
        <w:t>徵機關核定</w:t>
      </w:r>
    </w:p>
    <w:p w14:paraId="158ADFB8" w14:textId="77777777" w:rsidR="004E00A3" w:rsidRPr="004E00A3" w:rsidRDefault="004E00A3" w:rsidP="004E00A3">
      <w:r w:rsidRPr="004E00A3">
        <w:t>若未能在申報期限內檢附相關文件，應於申報期間</w:t>
      </w:r>
      <w:proofErr w:type="gramStart"/>
      <w:r w:rsidRPr="004E00A3">
        <w:t>屆滿前敘明理</w:t>
      </w:r>
      <w:proofErr w:type="gramEnd"/>
      <w:r w:rsidRPr="004E00A3">
        <w:t>由申請延期</w:t>
      </w:r>
      <w:r w:rsidRPr="004E00A3">
        <w:t>6</w:t>
      </w:r>
      <w:r w:rsidRPr="004E00A3">
        <w:t>個月提供。逾期未申請或未提供者，將不得適用虧損扣除規定。</w:t>
      </w:r>
    </w:p>
    <w:p w14:paraId="0BB5504B" w14:textId="77777777" w:rsidR="004E00A3" w:rsidRPr="004E00A3" w:rsidRDefault="004E00A3" w:rsidP="004E00A3">
      <w:r w:rsidRPr="004E00A3">
        <w:rPr>
          <w:b/>
          <w:bCs/>
        </w:rPr>
        <w:t xml:space="preserve">2. </w:t>
      </w:r>
      <w:r w:rsidRPr="004E00A3">
        <w:rPr>
          <w:b/>
          <w:bCs/>
        </w:rPr>
        <w:t>虧損扣除的特殊規定</w:t>
      </w:r>
    </w:p>
    <w:p w14:paraId="45D5F46F" w14:textId="77777777" w:rsidR="004E00A3" w:rsidRPr="004E00A3" w:rsidRDefault="004E00A3" w:rsidP="004E00A3">
      <w:pPr>
        <w:numPr>
          <w:ilvl w:val="0"/>
          <w:numId w:val="5"/>
        </w:numPr>
      </w:pPr>
      <w:r w:rsidRPr="004E00A3">
        <w:rPr>
          <w:b/>
          <w:bCs/>
        </w:rPr>
        <w:t>虧損發生年度</w:t>
      </w:r>
      <w:r w:rsidRPr="004E00A3">
        <w:t>：僅限</w:t>
      </w:r>
      <w:r w:rsidRPr="004E00A3">
        <w:t>2024</w:t>
      </w:r>
      <w:r w:rsidRPr="004E00A3">
        <w:t>年度（制度實施後）發生的虧損可申請扣除</w:t>
      </w:r>
    </w:p>
    <w:p w14:paraId="3C0F2017" w14:textId="77777777" w:rsidR="004E00A3" w:rsidRPr="004E00A3" w:rsidRDefault="004E00A3" w:rsidP="004E00A3">
      <w:pPr>
        <w:numPr>
          <w:ilvl w:val="0"/>
          <w:numId w:val="5"/>
        </w:numPr>
      </w:pPr>
      <w:r w:rsidRPr="004E00A3">
        <w:rPr>
          <w:b/>
          <w:bCs/>
        </w:rPr>
        <w:t>豁免年度虧損</w:t>
      </w:r>
      <w:r w:rsidRPr="004E00A3">
        <w:t>：即使當年度符合免計算所得要件，仍應扣除以前年度虧損</w:t>
      </w:r>
    </w:p>
    <w:p w14:paraId="2B4EDD10" w14:textId="77777777" w:rsidR="004E00A3" w:rsidRPr="004E00A3" w:rsidRDefault="004E00A3" w:rsidP="004E00A3">
      <w:pPr>
        <w:numPr>
          <w:ilvl w:val="0"/>
          <w:numId w:val="5"/>
        </w:numPr>
      </w:pPr>
      <w:r w:rsidRPr="004E00A3">
        <w:rPr>
          <w:b/>
          <w:bCs/>
        </w:rPr>
        <w:t>減資彌補虧損</w:t>
      </w:r>
      <w:r w:rsidRPr="004E00A3">
        <w:t>：若</w:t>
      </w:r>
      <w:r w:rsidRPr="004E00A3">
        <w:t>CFC</w:t>
      </w:r>
      <w:r w:rsidRPr="004E00A3">
        <w:t>以減資彌補經核定的虧損，應自以前年度核定各期虧損中扣除</w:t>
      </w:r>
    </w:p>
    <w:p w14:paraId="0B8365F7" w14:textId="77777777" w:rsidR="004E00A3" w:rsidRPr="004E00A3" w:rsidRDefault="004E00A3" w:rsidP="004E00A3">
      <w:pPr>
        <w:numPr>
          <w:ilvl w:val="0"/>
          <w:numId w:val="5"/>
        </w:numPr>
      </w:pPr>
      <w:r w:rsidRPr="004E00A3">
        <w:rPr>
          <w:b/>
          <w:bCs/>
        </w:rPr>
        <w:t>不得跨</w:t>
      </w:r>
      <w:r w:rsidRPr="004E00A3">
        <w:rPr>
          <w:b/>
          <w:bCs/>
        </w:rPr>
        <w:t>CFC</w:t>
      </w:r>
      <w:r w:rsidRPr="004E00A3">
        <w:rPr>
          <w:b/>
          <w:bCs/>
        </w:rPr>
        <w:t>扣除</w:t>
      </w:r>
      <w:r w:rsidRPr="004E00A3">
        <w:t>：一個</w:t>
      </w:r>
      <w:r w:rsidRPr="004E00A3">
        <w:t>CFC</w:t>
      </w:r>
      <w:r w:rsidRPr="004E00A3">
        <w:t>的虧損不得自其他</w:t>
      </w:r>
      <w:r w:rsidRPr="004E00A3">
        <w:t>CFC</w:t>
      </w:r>
      <w:r w:rsidRPr="004E00A3">
        <w:t>的盈餘中扣除</w:t>
      </w:r>
    </w:p>
    <w:p w14:paraId="4AEB5C38" w14:textId="77777777" w:rsidR="004E00A3" w:rsidRPr="004E00A3" w:rsidRDefault="004E00A3" w:rsidP="004E00A3">
      <w:r w:rsidRPr="004E00A3">
        <w:rPr>
          <w:b/>
          <w:bCs/>
        </w:rPr>
        <w:t>虧損扣除案例</w:t>
      </w:r>
      <w:r w:rsidRPr="004E00A3">
        <w:t>：</w:t>
      </w:r>
    </w:p>
    <w:p w14:paraId="423D9F9E" w14:textId="77777777" w:rsidR="004E00A3" w:rsidRPr="004E00A3" w:rsidRDefault="004E00A3" w:rsidP="004E00A3">
      <w:r w:rsidRPr="004E00A3">
        <w:t>假設某</w:t>
      </w:r>
      <w:r w:rsidRPr="004E00A3">
        <w:t>CFC</w:t>
      </w:r>
      <w:r w:rsidRPr="004E00A3">
        <w:t>於</w:t>
      </w:r>
      <w:r w:rsidRPr="004E00A3">
        <w:t>2024</w:t>
      </w:r>
      <w:r w:rsidRPr="004E00A3">
        <w:t>年發生虧損</w:t>
      </w:r>
      <w:r w:rsidRPr="004E00A3">
        <w:t>1000</w:t>
      </w:r>
      <w:r w:rsidRPr="004E00A3">
        <w:t>萬元，經</w:t>
      </w:r>
      <w:proofErr w:type="gramStart"/>
      <w:r w:rsidRPr="004E00A3">
        <w:t>稽</w:t>
      </w:r>
      <w:proofErr w:type="gramEnd"/>
      <w:r w:rsidRPr="004E00A3">
        <w:t>徵機關核定。</w:t>
      </w:r>
      <w:r w:rsidRPr="004E00A3">
        <w:t>2025</w:t>
      </w:r>
      <w:r w:rsidRPr="004E00A3">
        <w:t>年該</w:t>
      </w:r>
      <w:r w:rsidRPr="004E00A3">
        <w:t>CFC</w:t>
      </w:r>
      <w:r w:rsidRPr="004E00A3">
        <w:t>盈餘為</w:t>
      </w:r>
      <w:r w:rsidRPr="004E00A3">
        <w:t>800</w:t>
      </w:r>
      <w:r w:rsidRPr="004E00A3">
        <w:t>萬元，則</w:t>
      </w:r>
      <w:r w:rsidRPr="004E00A3">
        <w:t>2025</w:t>
      </w:r>
      <w:r w:rsidRPr="004E00A3">
        <w:t>年可扣除</w:t>
      </w:r>
      <w:r w:rsidRPr="004E00A3">
        <w:t>2024</w:t>
      </w:r>
      <w:r w:rsidRPr="004E00A3">
        <w:t>年虧損</w:t>
      </w:r>
      <w:r w:rsidRPr="004E00A3">
        <w:t>800</w:t>
      </w:r>
      <w:r w:rsidRPr="004E00A3">
        <w:t>萬元，剩餘</w:t>
      </w:r>
      <w:r w:rsidRPr="004E00A3">
        <w:t>200</w:t>
      </w:r>
      <w:r w:rsidRPr="004E00A3">
        <w:t>萬元虧損可於後續年度繼續扣除。若</w:t>
      </w:r>
      <w:r w:rsidRPr="004E00A3">
        <w:t>2026</w:t>
      </w:r>
      <w:r w:rsidRPr="004E00A3">
        <w:t>年該</w:t>
      </w:r>
      <w:r w:rsidRPr="004E00A3">
        <w:t>CFC</w:t>
      </w:r>
      <w:r w:rsidRPr="004E00A3">
        <w:t>盈餘為</w:t>
      </w:r>
      <w:r w:rsidRPr="004E00A3">
        <w:t>500</w:t>
      </w:r>
      <w:r w:rsidRPr="004E00A3">
        <w:t>萬元，則可扣除剩餘的</w:t>
      </w:r>
      <w:r w:rsidRPr="004E00A3">
        <w:t>200</w:t>
      </w:r>
      <w:r w:rsidRPr="004E00A3">
        <w:t>萬元虧損，計算</w:t>
      </w:r>
      <w:r w:rsidRPr="004E00A3">
        <w:t>CFC</w:t>
      </w:r>
      <w:r w:rsidRPr="004E00A3">
        <w:t>投資收益</w:t>
      </w:r>
      <w:r w:rsidRPr="004E00A3">
        <w:t>300</w:t>
      </w:r>
      <w:r w:rsidRPr="004E00A3">
        <w:t>萬元。</w:t>
      </w:r>
    </w:p>
    <w:p w14:paraId="512150FB" w14:textId="77777777" w:rsidR="004E00A3" w:rsidRPr="004E00A3" w:rsidRDefault="004E00A3" w:rsidP="004E00A3">
      <w:pPr>
        <w:pStyle w:val="2"/>
      </w:pPr>
      <w:r w:rsidRPr="004E00A3">
        <w:lastRenderedPageBreak/>
        <w:t>三、避免實際獲配股利重複課稅機制</w:t>
      </w:r>
    </w:p>
    <w:p w14:paraId="062C8C32" w14:textId="77777777" w:rsidR="004E00A3" w:rsidRPr="004E00A3" w:rsidRDefault="004E00A3" w:rsidP="004E00A3">
      <w:r w:rsidRPr="004E00A3">
        <w:t>為避免已依</w:t>
      </w:r>
      <w:r w:rsidRPr="004E00A3">
        <w:t>CFC</w:t>
      </w:r>
      <w:r w:rsidRPr="004E00A3">
        <w:t>制度課稅的盈餘在實際分配時再次課稅，法規設計了以下機制：</w:t>
      </w:r>
    </w:p>
    <w:p w14:paraId="760B19ED" w14:textId="77777777" w:rsidR="004E00A3" w:rsidRPr="004E00A3" w:rsidRDefault="004E00A3" w:rsidP="004E00A3">
      <w:r w:rsidRPr="004E00A3">
        <w:rPr>
          <w:b/>
          <w:bCs/>
        </w:rPr>
        <w:t xml:space="preserve">1. </w:t>
      </w:r>
      <w:r w:rsidRPr="004E00A3">
        <w:rPr>
          <w:b/>
          <w:bCs/>
        </w:rPr>
        <w:t>實際獲配股利的處理原則</w:t>
      </w:r>
    </w:p>
    <w:p w14:paraId="22EE890B" w14:textId="77777777" w:rsidR="004E00A3" w:rsidRPr="004E00A3" w:rsidRDefault="004E00A3" w:rsidP="004E00A3">
      <w:r w:rsidRPr="004E00A3">
        <w:t>依據所得稅法第</w:t>
      </w:r>
      <w:r w:rsidRPr="004E00A3">
        <w:t>43</w:t>
      </w:r>
      <w:r w:rsidRPr="004E00A3">
        <w:t>條之</w:t>
      </w:r>
      <w:r w:rsidRPr="004E00A3">
        <w:t>3</w:t>
      </w:r>
      <w:r w:rsidRPr="004E00A3">
        <w:t>第</w:t>
      </w:r>
      <w:r w:rsidRPr="004E00A3">
        <w:t>3</w:t>
      </w:r>
      <w:r w:rsidRPr="004E00A3">
        <w:t>項規定，營利事業於實際獲配</w:t>
      </w:r>
      <w:r w:rsidRPr="004E00A3">
        <w:t>CFC</w:t>
      </w:r>
      <w:r w:rsidRPr="004E00A3">
        <w:t>股利或盈餘時，其已依</w:t>
      </w:r>
      <w:r w:rsidRPr="004E00A3">
        <w:t>CFC</w:t>
      </w:r>
      <w:r w:rsidRPr="004E00A3">
        <w:t>制度認列投資收益部分，</w:t>
      </w:r>
      <w:proofErr w:type="gramStart"/>
      <w:r w:rsidRPr="004E00A3">
        <w:t>不計入獲配</w:t>
      </w:r>
      <w:proofErr w:type="gramEnd"/>
      <w:r w:rsidRPr="004E00A3">
        <w:t>年度所得額。具體處理方式如下：</w:t>
      </w:r>
    </w:p>
    <w:p w14:paraId="340C2CDC" w14:textId="77777777" w:rsidR="004E00A3" w:rsidRPr="004E00A3" w:rsidRDefault="004E00A3" w:rsidP="004E00A3">
      <w:pPr>
        <w:numPr>
          <w:ilvl w:val="0"/>
          <w:numId w:val="6"/>
        </w:numPr>
      </w:pPr>
      <w:r w:rsidRPr="004E00A3">
        <w:rPr>
          <w:b/>
          <w:bCs/>
        </w:rPr>
        <w:t>認列時點</w:t>
      </w:r>
      <w:r w:rsidRPr="004E00A3">
        <w:t>：實際獲配年度</w:t>
      </w:r>
    </w:p>
    <w:p w14:paraId="5221C0CC" w14:textId="77777777" w:rsidR="004E00A3" w:rsidRPr="004E00A3" w:rsidRDefault="004E00A3" w:rsidP="004E00A3">
      <w:pPr>
        <w:numPr>
          <w:ilvl w:val="0"/>
          <w:numId w:val="6"/>
        </w:numPr>
      </w:pPr>
      <w:r w:rsidRPr="004E00A3">
        <w:rPr>
          <w:b/>
          <w:bCs/>
        </w:rPr>
        <w:t>認列條件</w:t>
      </w:r>
      <w:r w:rsidRPr="004E00A3">
        <w:t>：在申報認列</w:t>
      </w:r>
      <w:r w:rsidRPr="004E00A3">
        <w:t>CFC</w:t>
      </w:r>
      <w:r w:rsidRPr="004E00A3">
        <w:t>投資收益年度申報期間屆滿之翌日起</w:t>
      </w:r>
      <w:r w:rsidRPr="004E00A3">
        <w:t>5</w:t>
      </w:r>
      <w:r w:rsidRPr="004E00A3">
        <w:t>年內實際獲配</w:t>
      </w:r>
    </w:p>
    <w:p w14:paraId="73EE39E2" w14:textId="77777777" w:rsidR="004E00A3" w:rsidRPr="004E00A3" w:rsidRDefault="004E00A3" w:rsidP="004E00A3">
      <w:pPr>
        <w:numPr>
          <w:ilvl w:val="0"/>
          <w:numId w:val="6"/>
        </w:numPr>
      </w:pPr>
      <w:r w:rsidRPr="004E00A3">
        <w:rPr>
          <w:b/>
          <w:bCs/>
        </w:rPr>
        <w:t>處理方式</w:t>
      </w:r>
      <w:r w:rsidRPr="004E00A3">
        <w:t>：已認列部分</w:t>
      </w:r>
      <w:proofErr w:type="gramStart"/>
      <w:r w:rsidRPr="004E00A3">
        <w:t>不計入獲配</w:t>
      </w:r>
      <w:proofErr w:type="gramEnd"/>
      <w:r w:rsidRPr="004E00A3">
        <w:t>年度所得額，未認列部分仍應</w:t>
      </w:r>
      <w:proofErr w:type="gramStart"/>
      <w:r w:rsidRPr="004E00A3">
        <w:t>計入獲配</w:t>
      </w:r>
      <w:proofErr w:type="gramEnd"/>
      <w:r w:rsidRPr="004E00A3">
        <w:t>年度所得額</w:t>
      </w:r>
    </w:p>
    <w:p w14:paraId="152F82E6" w14:textId="77777777" w:rsidR="004E00A3" w:rsidRPr="004E00A3" w:rsidRDefault="004E00A3" w:rsidP="004E00A3">
      <w:r w:rsidRPr="004E00A3">
        <w:rPr>
          <w:b/>
          <w:bCs/>
        </w:rPr>
        <w:t xml:space="preserve">2. </w:t>
      </w:r>
      <w:r w:rsidRPr="004E00A3">
        <w:rPr>
          <w:b/>
          <w:bCs/>
        </w:rPr>
        <w:t>境外已</w:t>
      </w:r>
      <w:proofErr w:type="gramStart"/>
      <w:r w:rsidRPr="004E00A3">
        <w:rPr>
          <w:b/>
          <w:bCs/>
        </w:rPr>
        <w:t>納稅額扣抵</w:t>
      </w:r>
      <w:proofErr w:type="gramEnd"/>
      <w:r w:rsidRPr="004E00A3">
        <w:rPr>
          <w:b/>
          <w:bCs/>
        </w:rPr>
        <w:t>處理</w:t>
      </w:r>
    </w:p>
    <w:p w14:paraId="5ABD6554" w14:textId="77777777" w:rsidR="004E00A3" w:rsidRPr="004E00A3" w:rsidRDefault="004E00A3" w:rsidP="004E00A3">
      <w:r w:rsidRPr="004E00A3">
        <w:t>實際獲配</w:t>
      </w:r>
      <w:r w:rsidRPr="004E00A3">
        <w:t>CFC</w:t>
      </w:r>
      <w:r w:rsidRPr="004E00A3">
        <w:t>股利時的境外稅額扣抵處理原則：</w:t>
      </w:r>
    </w:p>
    <w:p w14:paraId="2EE53510" w14:textId="77777777" w:rsidR="004E00A3" w:rsidRPr="004E00A3" w:rsidRDefault="004E00A3" w:rsidP="004E00A3">
      <w:pPr>
        <w:numPr>
          <w:ilvl w:val="0"/>
          <w:numId w:val="7"/>
        </w:numPr>
      </w:pPr>
      <w:r w:rsidRPr="004E00A3">
        <w:rPr>
          <w:b/>
          <w:bCs/>
        </w:rPr>
        <w:t>非源自大陸地區</w:t>
      </w:r>
      <w:r w:rsidRPr="004E00A3">
        <w:t>：</w:t>
      </w:r>
      <w:r w:rsidRPr="004E00A3">
        <w:t>CFC</w:t>
      </w:r>
      <w:r w:rsidRPr="004E00A3">
        <w:t>所在地已繳納的所得稅可申請扣抵</w:t>
      </w:r>
    </w:p>
    <w:p w14:paraId="2A316FB8" w14:textId="77777777" w:rsidR="004E00A3" w:rsidRPr="004E00A3" w:rsidRDefault="004E00A3" w:rsidP="004E00A3">
      <w:pPr>
        <w:numPr>
          <w:ilvl w:val="0"/>
          <w:numId w:val="7"/>
        </w:numPr>
      </w:pPr>
      <w:r w:rsidRPr="004E00A3">
        <w:rPr>
          <w:b/>
          <w:bCs/>
        </w:rPr>
        <w:t>源自大陸地區</w:t>
      </w:r>
      <w:r w:rsidRPr="004E00A3">
        <w:t>：</w:t>
      </w:r>
      <w:r w:rsidRPr="004E00A3">
        <w:t>CFC</w:t>
      </w:r>
      <w:r w:rsidRPr="004E00A3">
        <w:t>所在地及大陸地區已繳納的所得稅可申請扣抵</w:t>
      </w:r>
    </w:p>
    <w:p w14:paraId="4597B591" w14:textId="77777777" w:rsidR="004E00A3" w:rsidRPr="004E00A3" w:rsidRDefault="004E00A3" w:rsidP="004E00A3">
      <w:pPr>
        <w:numPr>
          <w:ilvl w:val="0"/>
          <w:numId w:val="7"/>
        </w:numPr>
      </w:pPr>
      <w:r w:rsidRPr="004E00A3">
        <w:rPr>
          <w:b/>
          <w:bCs/>
        </w:rPr>
        <w:t>扣抵方式</w:t>
      </w:r>
      <w:r w:rsidRPr="004E00A3">
        <w:t>：若有溢繳稅款，可申請更正原申報</w:t>
      </w:r>
      <w:r w:rsidRPr="004E00A3">
        <w:t>CFC</w:t>
      </w:r>
      <w:r w:rsidRPr="004E00A3">
        <w:t>所得年度的申報書並退稅</w:t>
      </w:r>
    </w:p>
    <w:p w14:paraId="681D5FB4" w14:textId="77777777" w:rsidR="004E00A3" w:rsidRPr="004E00A3" w:rsidRDefault="004E00A3" w:rsidP="004E00A3">
      <w:r w:rsidRPr="004E00A3">
        <w:rPr>
          <w:b/>
          <w:bCs/>
        </w:rPr>
        <w:t>實際獲配股利案例</w:t>
      </w:r>
      <w:r w:rsidRPr="004E00A3">
        <w:t>：</w:t>
      </w:r>
    </w:p>
    <w:p w14:paraId="49ED6909" w14:textId="77777777" w:rsidR="004E00A3" w:rsidRPr="004E00A3" w:rsidRDefault="004E00A3" w:rsidP="004E00A3">
      <w:r w:rsidRPr="004E00A3">
        <w:t>甲公司於</w:t>
      </w:r>
      <w:r w:rsidRPr="004E00A3">
        <w:t>2024</w:t>
      </w:r>
      <w:r w:rsidRPr="004E00A3">
        <w:t>年依</w:t>
      </w:r>
      <w:r w:rsidRPr="004E00A3">
        <w:t>CFC</w:t>
      </w:r>
      <w:r w:rsidRPr="004E00A3">
        <w:t>制度認列</w:t>
      </w:r>
      <w:r w:rsidRPr="004E00A3">
        <w:t>CFC</w:t>
      </w:r>
      <w:r w:rsidRPr="004E00A3">
        <w:t>投資收益</w:t>
      </w:r>
      <w:r w:rsidRPr="004E00A3">
        <w:t>1.8</w:t>
      </w:r>
      <w:r w:rsidRPr="004E00A3">
        <w:t>億元。</w:t>
      </w:r>
      <w:r w:rsidRPr="004E00A3">
        <w:t>2025</w:t>
      </w:r>
      <w:r w:rsidRPr="004E00A3">
        <w:t>年實際獲配</w:t>
      </w:r>
      <w:r w:rsidRPr="004E00A3">
        <w:t>CFC</w:t>
      </w:r>
      <w:r w:rsidRPr="004E00A3">
        <w:t>分配的股利</w:t>
      </w:r>
      <w:r w:rsidRPr="004E00A3">
        <w:t>1.8</w:t>
      </w:r>
      <w:r w:rsidRPr="004E00A3">
        <w:t>億元，</w:t>
      </w:r>
      <w:r w:rsidRPr="004E00A3">
        <w:t>CFC</w:t>
      </w:r>
      <w:r w:rsidRPr="004E00A3">
        <w:t>所在地扣繳稅款</w:t>
      </w:r>
      <w:r w:rsidRPr="004E00A3">
        <w:t>0.18</w:t>
      </w:r>
      <w:r w:rsidRPr="004E00A3">
        <w:t>億元。</w:t>
      </w:r>
    </w:p>
    <w:p w14:paraId="33E366A5" w14:textId="77777777" w:rsidR="004E00A3" w:rsidRPr="004E00A3" w:rsidRDefault="004E00A3" w:rsidP="004E00A3">
      <w:r w:rsidRPr="004E00A3">
        <w:t>處理方式：</w:t>
      </w:r>
    </w:p>
    <w:p w14:paraId="35E5A2C1" w14:textId="77777777" w:rsidR="004E00A3" w:rsidRPr="004E00A3" w:rsidRDefault="004E00A3" w:rsidP="004E00A3">
      <w:pPr>
        <w:numPr>
          <w:ilvl w:val="0"/>
          <w:numId w:val="8"/>
        </w:numPr>
      </w:pPr>
      <w:r w:rsidRPr="004E00A3">
        <w:t>2025</w:t>
      </w:r>
      <w:r w:rsidRPr="004E00A3">
        <w:t>年獲配股利</w:t>
      </w:r>
      <w:r w:rsidRPr="004E00A3">
        <w:t>1.8</w:t>
      </w:r>
      <w:r w:rsidRPr="004E00A3">
        <w:t>億元不計入甲公司的所得額</w:t>
      </w:r>
    </w:p>
    <w:p w14:paraId="45A1A5A6" w14:textId="77777777" w:rsidR="004E00A3" w:rsidRPr="004E00A3" w:rsidRDefault="004E00A3" w:rsidP="004E00A3">
      <w:pPr>
        <w:numPr>
          <w:ilvl w:val="0"/>
          <w:numId w:val="8"/>
        </w:numPr>
      </w:pPr>
      <w:r w:rsidRPr="004E00A3">
        <w:t>甲公司可申請更正</w:t>
      </w:r>
      <w:r w:rsidRPr="004E00A3">
        <w:t>2024</w:t>
      </w:r>
      <w:r w:rsidRPr="004E00A3">
        <w:t>年度申報書，將</w:t>
      </w:r>
      <w:r w:rsidRPr="004E00A3">
        <w:t>0.18</w:t>
      </w:r>
      <w:r w:rsidRPr="004E00A3">
        <w:t>億元納入境外稅額扣抵計算</w:t>
      </w:r>
    </w:p>
    <w:p w14:paraId="655C9B7B" w14:textId="77777777" w:rsidR="004E00A3" w:rsidRPr="004E00A3" w:rsidRDefault="004E00A3" w:rsidP="004E00A3">
      <w:r w:rsidRPr="004E00A3">
        <w:t>若</w:t>
      </w:r>
      <w:r w:rsidRPr="004E00A3">
        <w:t>CFC</w:t>
      </w:r>
      <w:r w:rsidRPr="004E00A3">
        <w:t>分配的是</w:t>
      </w:r>
      <w:r w:rsidRPr="004E00A3">
        <w:t>2023</w:t>
      </w:r>
      <w:r w:rsidRPr="004E00A3">
        <w:t>年度及以前年度的盈餘（</w:t>
      </w:r>
      <w:r w:rsidRPr="004E00A3">
        <w:t>CFC</w:t>
      </w:r>
      <w:r w:rsidRPr="004E00A3">
        <w:t>制度實施前的盈餘），則應正常</w:t>
      </w:r>
      <w:proofErr w:type="gramStart"/>
      <w:r w:rsidRPr="004E00A3">
        <w:t>計入獲配</w:t>
      </w:r>
      <w:proofErr w:type="gramEnd"/>
      <w:r w:rsidRPr="004E00A3">
        <w:t>年度的所得額，不適用上述特別規定。</w:t>
      </w:r>
    </w:p>
    <w:p w14:paraId="2CC5B725" w14:textId="77777777" w:rsidR="004E00A3" w:rsidRPr="004E00A3" w:rsidRDefault="004E00A3" w:rsidP="004E00A3">
      <w:pPr>
        <w:pStyle w:val="2"/>
      </w:pPr>
      <w:r w:rsidRPr="004E00A3">
        <w:t>四、處分</w:t>
      </w:r>
      <w:r w:rsidRPr="004E00A3">
        <w:t>CFC</w:t>
      </w:r>
      <w:r w:rsidRPr="004E00A3">
        <w:t>股權的特殊處理</w:t>
      </w:r>
    </w:p>
    <w:p w14:paraId="380FCAC7" w14:textId="77777777" w:rsidR="004E00A3" w:rsidRPr="004E00A3" w:rsidRDefault="004E00A3" w:rsidP="004E00A3">
      <w:r w:rsidRPr="004E00A3">
        <w:t>為避免已依</w:t>
      </w:r>
      <w:r w:rsidRPr="004E00A3">
        <w:t>CFC</w:t>
      </w:r>
      <w:r w:rsidRPr="004E00A3">
        <w:t>制度課稅的盈餘在處分</w:t>
      </w:r>
      <w:r w:rsidRPr="004E00A3">
        <w:t>CFC</w:t>
      </w:r>
      <w:r w:rsidRPr="004E00A3">
        <w:t>股權時重複計入處分利益，法規規定了特殊的處分損益計算方式：</w:t>
      </w:r>
    </w:p>
    <w:p w14:paraId="50E300F2" w14:textId="77777777" w:rsidR="004E00A3" w:rsidRPr="004E00A3" w:rsidRDefault="004E00A3" w:rsidP="004E00A3">
      <w:r w:rsidRPr="004E00A3">
        <w:rPr>
          <w:b/>
          <w:bCs/>
        </w:rPr>
        <w:lastRenderedPageBreak/>
        <w:t xml:space="preserve">1. </w:t>
      </w:r>
      <w:r w:rsidRPr="004E00A3">
        <w:rPr>
          <w:b/>
          <w:bCs/>
        </w:rPr>
        <w:t>處分</w:t>
      </w:r>
      <w:r w:rsidRPr="004E00A3">
        <w:rPr>
          <w:b/>
          <w:bCs/>
        </w:rPr>
        <w:t>CFC</w:t>
      </w:r>
      <w:r w:rsidRPr="004E00A3">
        <w:rPr>
          <w:b/>
          <w:bCs/>
        </w:rPr>
        <w:t>股權損益計算</w:t>
      </w:r>
    </w:p>
    <w:p w14:paraId="2FA816C9" w14:textId="77777777" w:rsidR="004E00A3" w:rsidRPr="004E00A3" w:rsidRDefault="004E00A3" w:rsidP="004E00A3">
      <w:r w:rsidRPr="004E00A3">
        <w:t>處分</w:t>
      </w:r>
      <w:r w:rsidRPr="004E00A3">
        <w:t>CFC</w:t>
      </w:r>
      <w:r w:rsidRPr="004E00A3">
        <w:t>股權的損益計算公式：</w:t>
      </w:r>
    </w:p>
    <w:p w14:paraId="5E7EF2D0" w14:textId="77777777" w:rsidR="004E00A3" w:rsidRPr="004E00A3" w:rsidRDefault="004E00A3" w:rsidP="004E00A3">
      <w:pPr>
        <w:numPr>
          <w:ilvl w:val="0"/>
          <w:numId w:val="9"/>
        </w:numPr>
      </w:pPr>
      <w:r w:rsidRPr="004E00A3">
        <w:t>處分損益</w:t>
      </w:r>
      <w:r w:rsidRPr="004E00A3">
        <w:t xml:space="preserve"> = </w:t>
      </w:r>
      <w:r w:rsidRPr="004E00A3">
        <w:t>處分收入</w:t>
      </w:r>
      <w:r w:rsidRPr="004E00A3">
        <w:t xml:space="preserve"> - </w:t>
      </w:r>
      <w:r w:rsidRPr="004E00A3">
        <w:t>原始取得成本</w:t>
      </w:r>
      <w:r w:rsidRPr="004E00A3">
        <w:t xml:space="preserve"> - (</w:t>
      </w:r>
      <w:r w:rsidRPr="004E00A3">
        <w:t>處分日已認列該</w:t>
      </w:r>
      <w:r w:rsidRPr="004E00A3">
        <w:t>CFC</w:t>
      </w:r>
      <w:r w:rsidRPr="004E00A3">
        <w:t>投資收益餘額</w:t>
      </w:r>
      <w:r w:rsidRPr="004E00A3">
        <w:t xml:space="preserve"> × </w:t>
      </w:r>
      <w:r w:rsidRPr="004E00A3">
        <w:t>處分比率</w:t>
      </w:r>
      <w:r w:rsidRPr="004E00A3">
        <w:t>)</w:t>
      </w:r>
    </w:p>
    <w:p w14:paraId="4735EE94" w14:textId="77777777" w:rsidR="004E00A3" w:rsidRPr="004E00A3" w:rsidRDefault="004E00A3" w:rsidP="004E00A3">
      <w:r w:rsidRPr="004E00A3">
        <w:t>其中「處分日已認列該</w:t>
      </w:r>
      <w:r w:rsidRPr="004E00A3">
        <w:t>CFC</w:t>
      </w:r>
      <w:r w:rsidRPr="004E00A3">
        <w:t>投資收益餘額」的計算公式：</w:t>
      </w:r>
    </w:p>
    <w:p w14:paraId="7B0E7582" w14:textId="77777777" w:rsidR="004E00A3" w:rsidRPr="004E00A3" w:rsidRDefault="004E00A3" w:rsidP="004E00A3">
      <w:pPr>
        <w:numPr>
          <w:ilvl w:val="0"/>
          <w:numId w:val="10"/>
        </w:numPr>
      </w:pPr>
      <w:r w:rsidRPr="004E00A3">
        <w:t>累積至處分日已依規定認列該</w:t>
      </w:r>
      <w:r w:rsidRPr="004E00A3">
        <w:t>CFC</w:t>
      </w:r>
      <w:r w:rsidRPr="004E00A3">
        <w:t>投資收益</w:t>
      </w:r>
      <w:r w:rsidRPr="004E00A3">
        <w:t xml:space="preserve"> - </w:t>
      </w:r>
      <w:r w:rsidRPr="004E00A3">
        <w:t>以前各次實際獲配的股利或盈餘</w:t>
      </w:r>
      <w:proofErr w:type="gramStart"/>
      <w:r w:rsidRPr="004E00A3">
        <w:t>不計入獲配</w:t>
      </w:r>
      <w:proofErr w:type="gramEnd"/>
      <w:r w:rsidRPr="004E00A3">
        <w:t>年度的所得額</w:t>
      </w:r>
      <w:r w:rsidRPr="004E00A3">
        <w:t xml:space="preserve"> - </w:t>
      </w:r>
      <w:r w:rsidRPr="004E00A3">
        <w:t>以前各次按處分比率計算</w:t>
      </w:r>
      <w:r w:rsidRPr="004E00A3">
        <w:t>CFC</w:t>
      </w:r>
      <w:r w:rsidRPr="004E00A3">
        <w:t>投資收益餘額減除數</w:t>
      </w:r>
    </w:p>
    <w:p w14:paraId="74BF02F2" w14:textId="77777777" w:rsidR="004E00A3" w:rsidRPr="004E00A3" w:rsidRDefault="004E00A3" w:rsidP="004E00A3">
      <w:r w:rsidRPr="004E00A3">
        <w:rPr>
          <w:b/>
          <w:bCs/>
        </w:rPr>
        <w:t xml:space="preserve">2. </w:t>
      </w:r>
      <w:r w:rsidRPr="004E00A3">
        <w:rPr>
          <w:b/>
          <w:bCs/>
        </w:rPr>
        <w:t>部分處分的處理</w:t>
      </w:r>
    </w:p>
    <w:p w14:paraId="5EE0EE88" w14:textId="77777777" w:rsidR="004E00A3" w:rsidRPr="004E00A3" w:rsidRDefault="004E00A3" w:rsidP="004E00A3">
      <w:r w:rsidRPr="004E00A3">
        <w:t>若僅處分部分</w:t>
      </w:r>
      <w:r w:rsidRPr="004E00A3">
        <w:t>CFC</w:t>
      </w:r>
      <w:r w:rsidRPr="004E00A3">
        <w:t>股權，應按處分比率計算減除已認列的</w:t>
      </w:r>
      <w:r w:rsidRPr="004E00A3">
        <w:t>CFC</w:t>
      </w:r>
      <w:r w:rsidRPr="004E00A3">
        <w:t>投資收益：</w:t>
      </w:r>
    </w:p>
    <w:p w14:paraId="762BB18B" w14:textId="77777777" w:rsidR="004E00A3" w:rsidRPr="004E00A3" w:rsidRDefault="004E00A3" w:rsidP="004E00A3">
      <w:pPr>
        <w:numPr>
          <w:ilvl w:val="0"/>
          <w:numId w:val="11"/>
        </w:numPr>
      </w:pPr>
      <w:r w:rsidRPr="004E00A3">
        <w:t>減除金額</w:t>
      </w:r>
      <w:r w:rsidRPr="004E00A3">
        <w:t xml:space="preserve"> = </w:t>
      </w:r>
      <w:r w:rsidRPr="004E00A3">
        <w:t>處分日已認列該</w:t>
      </w:r>
      <w:r w:rsidRPr="004E00A3">
        <w:t>CFC</w:t>
      </w:r>
      <w:r w:rsidRPr="004E00A3">
        <w:t>投資收益餘額</w:t>
      </w:r>
      <w:r w:rsidRPr="004E00A3">
        <w:t xml:space="preserve"> × (</w:t>
      </w:r>
      <w:r w:rsidRPr="004E00A3">
        <w:t>處分股權數</w:t>
      </w:r>
      <w:r w:rsidRPr="004E00A3">
        <w:t xml:space="preserve"> ÷ </w:t>
      </w:r>
      <w:r w:rsidRPr="004E00A3">
        <w:t>處分前持有股權數</w:t>
      </w:r>
      <w:r w:rsidRPr="004E00A3">
        <w:t>)</w:t>
      </w:r>
    </w:p>
    <w:p w14:paraId="05470F0C" w14:textId="77777777" w:rsidR="004E00A3" w:rsidRPr="004E00A3" w:rsidRDefault="004E00A3" w:rsidP="004E00A3">
      <w:r w:rsidRPr="004E00A3">
        <w:rPr>
          <w:b/>
          <w:bCs/>
        </w:rPr>
        <w:t>處分</w:t>
      </w:r>
      <w:r w:rsidRPr="004E00A3">
        <w:rPr>
          <w:b/>
          <w:bCs/>
        </w:rPr>
        <w:t>CFC</w:t>
      </w:r>
      <w:r w:rsidRPr="004E00A3">
        <w:rPr>
          <w:b/>
          <w:bCs/>
        </w:rPr>
        <w:t>股權案例</w:t>
      </w:r>
      <w:r w:rsidRPr="004E00A3">
        <w:t>：</w:t>
      </w:r>
    </w:p>
    <w:p w14:paraId="1218E20E" w14:textId="77777777" w:rsidR="004E00A3" w:rsidRPr="004E00A3" w:rsidRDefault="004E00A3" w:rsidP="004E00A3">
      <w:r w:rsidRPr="004E00A3">
        <w:t>甲公司於</w:t>
      </w:r>
      <w:r w:rsidRPr="004E00A3">
        <w:t>2024</w:t>
      </w:r>
      <w:r w:rsidRPr="004E00A3">
        <w:t>年依</w:t>
      </w:r>
      <w:r w:rsidRPr="004E00A3">
        <w:t>CFC</w:t>
      </w:r>
      <w:r w:rsidRPr="004E00A3">
        <w:t>制度認列</w:t>
      </w:r>
      <w:r w:rsidRPr="004E00A3">
        <w:t>CFC</w:t>
      </w:r>
      <w:r w:rsidRPr="004E00A3">
        <w:t>投資收益</w:t>
      </w:r>
      <w:r w:rsidRPr="004E00A3">
        <w:t>1.8</w:t>
      </w:r>
      <w:r w:rsidRPr="004E00A3">
        <w:t>億元，尚未實際獲配股利。</w:t>
      </w:r>
      <w:r w:rsidRPr="004E00A3">
        <w:t>2025</w:t>
      </w:r>
      <w:r w:rsidRPr="004E00A3">
        <w:t>年以</w:t>
      </w:r>
      <w:r w:rsidRPr="004E00A3">
        <w:t>5</w:t>
      </w:r>
      <w:r w:rsidRPr="004E00A3">
        <w:t>億元處分全部</w:t>
      </w:r>
      <w:r w:rsidRPr="004E00A3">
        <w:t>CFC</w:t>
      </w:r>
      <w:r w:rsidRPr="004E00A3">
        <w:t>股權，原始取得成本為</w:t>
      </w:r>
      <w:r w:rsidRPr="004E00A3">
        <w:t>2</w:t>
      </w:r>
      <w:r w:rsidRPr="004E00A3">
        <w:t>億元。</w:t>
      </w:r>
    </w:p>
    <w:p w14:paraId="5FA4EA62" w14:textId="77777777" w:rsidR="004E00A3" w:rsidRPr="004E00A3" w:rsidRDefault="004E00A3" w:rsidP="004E00A3">
      <w:r w:rsidRPr="004E00A3">
        <w:t>處分損益計算：</w:t>
      </w:r>
    </w:p>
    <w:p w14:paraId="54C08D63" w14:textId="77777777" w:rsidR="004E00A3" w:rsidRPr="004E00A3" w:rsidRDefault="004E00A3" w:rsidP="004E00A3">
      <w:pPr>
        <w:numPr>
          <w:ilvl w:val="0"/>
          <w:numId w:val="12"/>
        </w:numPr>
      </w:pPr>
      <w:r w:rsidRPr="004E00A3">
        <w:t>處分收入：</w:t>
      </w:r>
      <w:r w:rsidRPr="004E00A3">
        <w:t>5</w:t>
      </w:r>
      <w:r w:rsidRPr="004E00A3">
        <w:t>億元</w:t>
      </w:r>
    </w:p>
    <w:p w14:paraId="79FCFC5B" w14:textId="77777777" w:rsidR="004E00A3" w:rsidRPr="004E00A3" w:rsidRDefault="004E00A3" w:rsidP="004E00A3">
      <w:pPr>
        <w:numPr>
          <w:ilvl w:val="0"/>
          <w:numId w:val="12"/>
        </w:numPr>
      </w:pPr>
      <w:r w:rsidRPr="004E00A3">
        <w:t>減：原始取得成本：</w:t>
      </w:r>
      <w:r w:rsidRPr="004E00A3">
        <w:t>2</w:t>
      </w:r>
      <w:r w:rsidRPr="004E00A3">
        <w:t>億元</w:t>
      </w:r>
    </w:p>
    <w:p w14:paraId="796A36C0" w14:textId="77777777" w:rsidR="004E00A3" w:rsidRPr="004E00A3" w:rsidRDefault="004E00A3" w:rsidP="004E00A3">
      <w:pPr>
        <w:numPr>
          <w:ilvl w:val="0"/>
          <w:numId w:val="12"/>
        </w:numPr>
      </w:pPr>
      <w:r w:rsidRPr="004E00A3">
        <w:t>減：處分日已認列</w:t>
      </w:r>
      <w:r w:rsidRPr="004E00A3">
        <w:t>CFC</w:t>
      </w:r>
      <w:r w:rsidRPr="004E00A3">
        <w:t>投資收益餘額</w:t>
      </w:r>
      <w:r w:rsidRPr="004E00A3">
        <w:t xml:space="preserve"> × </w:t>
      </w:r>
      <w:r w:rsidRPr="004E00A3">
        <w:t>處分比率：</w:t>
      </w:r>
      <w:r w:rsidRPr="004E00A3">
        <w:t>1.8</w:t>
      </w:r>
      <w:r w:rsidRPr="004E00A3">
        <w:t>億元</w:t>
      </w:r>
      <w:r w:rsidRPr="004E00A3">
        <w:t xml:space="preserve"> × 100% = 1.8</w:t>
      </w:r>
      <w:r w:rsidRPr="004E00A3">
        <w:t>億元</w:t>
      </w:r>
    </w:p>
    <w:p w14:paraId="7AC36227" w14:textId="77777777" w:rsidR="004E00A3" w:rsidRPr="004E00A3" w:rsidRDefault="004E00A3" w:rsidP="004E00A3">
      <w:pPr>
        <w:numPr>
          <w:ilvl w:val="0"/>
          <w:numId w:val="12"/>
        </w:numPr>
      </w:pPr>
      <w:r w:rsidRPr="004E00A3">
        <w:t>處分損益：</w:t>
      </w:r>
      <w:r w:rsidRPr="004E00A3">
        <w:t>5</w:t>
      </w:r>
      <w:r w:rsidRPr="004E00A3">
        <w:t>億元</w:t>
      </w:r>
      <w:r w:rsidRPr="004E00A3">
        <w:t xml:space="preserve"> - 2</w:t>
      </w:r>
      <w:r w:rsidRPr="004E00A3">
        <w:t>億元</w:t>
      </w:r>
      <w:r w:rsidRPr="004E00A3">
        <w:t xml:space="preserve"> - 1.8</w:t>
      </w:r>
      <w:r w:rsidRPr="004E00A3">
        <w:t>億元</w:t>
      </w:r>
      <w:r w:rsidRPr="004E00A3">
        <w:t xml:space="preserve"> = 1.2</w:t>
      </w:r>
      <w:r w:rsidRPr="004E00A3">
        <w:t>億元</w:t>
      </w:r>
    </w:p>
    <w:p w14:paraId="34995C7E" w14:textId="77777777" w:rsidR="004E00A3" w:rsidRPr="004E00A3" w:rsidRDefault="004E00A3" w:rsidP="004E00A3">
      <w:pPr>
        <w:pStyle w:val="2"/>
      </w:pPr>
      <w:r w:rsidRPr="004E00A3">
        <w:t>五、</w:t>
      </w:r>
      <w:r w:rsidRPr="004E00A3">
        <w:t>CFC</w:t>
      </w:r>
      <w:r w:rsidRPr="004E00A3">
        <w:t>制度下的境外稅額扣抵機制</w:t>
      </w:r>
    </w:p>
    <w:p w14:paraId="7A7E1E05" w14:textId="77777777" w:rsidR="004E00A3" w:rsidRPr="004E00A3" w:rsidRDefault="004E00A3" w:rsidP="004E00A3">
      <w:r w:rsidRPr="004E00A3">
        <w:t>CFC</w:t>
      </w:r>
      <w:r w:rsidRPr="004E00A3">
        <w:t>制度實施後，境外稅額扣抵的處理更為複雜，主要規定包括：</w:t>
      </w:r>
    </w:p>
    <w:p w14:paraId="53529443" w14:textId="77777777" w:rsidR="004E00A3" w:rsidRPr="004E00A3" w:rsidRDefault="004E00A3" w:rsidP="004E00A3">
      <w:r w:rsidRPr="004E00A3">
        <w:rPr>
          <w:b/>
          <w:bCs/>
        </w:rPr>
        <w:t xml:space="preserve">1. </w:t>
      </w:r>
      <w:r w:rsidRPr="004E00A3">
        <w:rPr>
          <w:b/>
          <w:bCs/>
        </w:rPr>
        <w:t>一般境外稅額扣抵原則</w:t>
      </w:r>
    </w:p>
    <w:p w14:paraId="220E9E4A" w14:textId="77777777" w:rsidR="004E00A3" w:rsidRPr="004E00A3" w:rsidRDefault="004E00A3" w:rsidP="004E00A3">
      <w:r w:rsidRPr="004E00A3">
        <w:t>依所得稅法第</w:t>
      </w:r>
      <w:r w:rsidRPr="004E00A3">
        <w:t>3</w:t>
      </w:r>
      <w:r w:rsidRPr="004E00A3">
        <w:t>條第</w:t>
      </w:r>
      <w:r w:rsidRPr="004E00A3">
        <w:t>2</w:t>
      </w:r>
      <w:r w:rsidRPr="004E00A3">
        <w:t>項規定，營利事業海外所得已繳納的外國所得稅，得自應納稅額中扣抵，但扣抵額不得超過因加計該項所得而增加的應納稅額。</w:t>
      </w:r>
    </w:p>
    <w:p w14:paraId="25DB4F75" w14:textId="77777777" w:rsidR="004E00A3" w:rsidRPr="004E00A3" w:rsidRDefault="004E00A3" w:rsidP="004E00A3">
      <w:r w:rsidRPr="004E00A3">
        <w:rPr>
          <w:b/>
          <w:bCs/>
        </w:rPr>
        <w:t>2. CFC</w:t>
      </w:r>
      <w:r w:rsidRPr="004E00A3">
        <w:rPr>
          <w:b/>
          <w:bCs/>
        </w:rPr>
        <w:t>制度下的特殊扣抵規定</w:t>
      </w:r>
    </w:p>
    <w:p w14:paraId="6983F56C" w14:textId="77777777" w:rsidR="004E00A3" w:rsidRPr="004E00A3" w:rsidRDefault="004E00A3" w:rsidP="004E00A3">
      <w:pPr>
        <w:numPr>
          <w:ilvl w:val="0"/>
          <w:numId w:val="13"/>
        </w:numPr>
      </w:pPr>
      <w:r w:rsidRPr="004E00A3">
        <w:rPr>
          <w:b/>
          <w:bCs/>
        </w:rPr>
        <w:lastRenderedPageBreak/>
        <w:t>認列投資收益年度</w:t>
      </w:r>
      <w:r w:rsidRPr="004E00A3">
        <w:t>：計算</w:t>
      </w:r>
      <w:r w:rsidRPr="004E00A3">
        <w:t>CFC</w:t>
      </w:r>
      <w:r w:rsidRPr="004E00A3">
        <w:t>投資收益時，可將</w:t>
      </w:r>
      <w:r w:rsidRPr="004E00A3">
        <w:t>CFC</w:t>
      </w:r>
      <w:r w:rsidRPr="004E00A3">
        <w:t>已繳納的所得稅納入境外稅額扣抵</w:t>
      </w:r>
    </w:p>
    <w:p w14:paraId="066B19BD" w14:textId="77777777" w:rsidR="004E00A3" w:rsidRPr="004E00A3" w:rsidRDefault="004E00A3" w:rsidP="004E00A3">
      <w:pPr>
        <w:numPr>
          <w:ilvl w:val="0"/>
          <w:numId w:val="13"/>
        </w:numPr>
      </w:pPr>
      <w:r w:rsidRPr="004E00A3">
        <w:rPr>
          <w:b/>
          <w:bCs/>
        </w:rPr>
        <w:t>實際獲配年度</w:t>
      </w:r>
      <w:r w:rsidRPr="004E00A3">
        <w:t>：實際獲配</w:t>
      </w:r>
      <w:r w:rsidRPr="004E00A3">
        <w:t>CFC</w:t>
      </w:r>
      <w:r w:rsidRPr="004E00A3">
        <w:t>股利時，若該部分已依</w:t>
      </w:r>
      <w:r w:rsidRPr="004E00A3">
        <w:t>CFC</w:t>
      </w:r>
      <w:r w:rsidRPr="004E00A3">
        <w:t>制度認列投資收益，其境外已納稅額可更正原申報年度的境外稅額扣抵</w:t>
      </w:r>
    </w:p>
    <w:p w14:paraId="55C7118B" w14:textId="77777777" w:rsidR="004E00A3" w:rsidRPr="004E00A3" w:rsidRDefault="004E00A3" w:rsidP="004E00A3">
      <w:pPr>
        <w:numPr>
          <w:ilvl w:val="0"/>
          <w:numId w:val="13"/>
        </w:numPr>
      </w:pPr>
      <w:r w:rsidRPr="004E00A3">
        <w:rPr>
          <w:b/>
          <w:bCs/>
        </w:rPr>
        <w:t>大陸地區特別規定</w:t>
      </w:r>
      <w:r w:rsidRPr="004E00A3">
        <w:t>：源自大陸地區的所得適用台灣地區與大陸地區人民關係條例的特別規定</w:t>
      </w:r>
    </w:p>
    <w:p w14:paraId="50F8EFF1" w14:textId="77777777" w:rsidR="004E00A3" w:rsidRPr="004E00A3" w:rsidRDefault="004E00A3" w:rsidP="004E00A3">
      <w:r w:rsidRPr="004E00A3">
        <w:rPr>
          <w:b/>
          <w:bCs/>
        </w:rPr>
        <w:t>境外稅額扣抵案例</w:t>
      </w:r>
      <w:r w:rsidRPr="004E00A3">
        <w:t>：</w:t>
      </w:r>
    </w:p>
    <w:p w14:paraId="7919C059" w14:textId="77777777" w:rsidR="004E00A3" w:rsidRPr="004E00A3" w:rsidRDefault="004E00A3" w:rsidP="004E00A3">
      <w:r w:rsidRPr="004E00A3">
        <w:t>甲公司於</w:t>
      </w:r>
      <w:r w:rsidRPr="004E00A3">
        <w:t>2024</w:t>
      </w:r>
      <w:r w:rsidRPr="004E00A3">
        <w:t>年認列</w:t>
      </w:r>
      <w:r w:rsidRPr="004E00A3">
        <w:t>CFC</w:t>
      </w:r>
      <w:r w:rsidRPr="004E00A3">
        <w:t>投資收益</w:t>
      </w:r>
      <w:r w:rsidRPr="004E00A3">
        <w:t>1</w:t>
      </w:r>
      <w:r w:rsidRPr="004E00A3">
        <w:t>億元，該</w:t>
      </w:r>
      <w:r w:rsidRPr="004E00A3">
        <w:t>CFC</w:t>
      </w:r>
      <w:r w:rsidRPr="004E00A3">
        <w:t>已在當地繳納企業所得稅</w:t>
      </w:r>
      <w:r w:rsidRPr="004E00A3">
        <w:t>0.1</w:t>
      </w:r>
      <w:r w:rsidRPr="004E00A3">
        <w:t>億元。</w:t>
      </w:r>
      <w:r w:rsidRPr="004E00A3">
        <w:t>2025</w:t>
      </w:r>
      <w:r w:rsidRPr="004E00A3">
        <w:t>年實際獲配股利</w:t>
      </w:r>
      <w:r w:rsidRPr="004E00A3">
        <w:t>1</w:t>
      </w:r>
      <w:r w:rsidRPr="004E00A3">
        <w:t>億元，當地扣繳稅款</w:t>
      </w:r>
      <w:r w:rsidRPr="004E00A3">
        <w:t>0.05</w:t>
      </w:r>
      <w:r w:rsidRPr="004E00A3">
        <w:t>億元。</w:t>
      </w:r>
    </w:p>
    <w:p w14:paraId="6BF50154" w14:textId="77777777" w:rsidR="004E00A3" w:rsidRPr="004E00A3" w:rsidRDefault="004E00A3" w:rsidP="004E00A3">
      <w:r w:rsidRPr="004E00A3">
        <w:t>處理方式：</w:t>
      </w:r>
    </w:p>
    <w:p w14:paraId="3140DC0B" w14:textId="77777777" w:rsidR="004E00A3" w:rsidRPr="004E00A3" w:rsidRDefault="004E00A3" w:rsidP="004E00A3">
      <w:pPr>
        <w:numPr>
          <w:ilvl w:val="0"/>
          <w:numId w:val="14"/>
        </w:numPr>
      </w:pPr>
      <w:r w:rsidRPr="004E00A3">
        <w:t>2024</w:t>
      </w:r>
      <w:r w:rsidRPr="004E00A3">
        <w:t>年申報時，可將</w:t>
      </w:r>
      <w:r w:rsidRPr="004E00A3">
        <w:t>0.1</w:t>
      </w:r>
      <w:r w:rsidRPr="004E00A3">
        <w:t>億元納入境外稅額扣抵計算</w:t>
      </w:r>
    </w:p>
    <w:p w14:paraId="20465476" w14:textId="77777777" w:rsidR="004E00A3" w:rsidRPr="004E00A3" w:rsidRDefault="004E00A3" w:rsidP="004E00A3">
      <w:pPr>
        <w:numPr>
          <w:ilvl w:val="0"/>
          <w:numId w:val="14"/>
        </w:numPr>
      </w:pPr>
      <w:r w:rsidRPr="004E00A3">
        <w:t>2025</w:t>
      </w:r>
      <w:r w:rsidRPr="004E00A3">
        <w:t>年獲</w:t>
      </w:r>
      <w:proofErr w:type="gramStart"/>
      <w:r w:rsidRPr="004E00A3">
        <w:t>配股利時</w:t>
      </w:r>
      <w:proofErr w:type="gramEnd"/>
      <w:r w:rsidRPr="004E00A3">
        <w:t>，該</w:t>
      </w:r>
      <w:r w:rsidRPr="004E00A3">
        <w:t>1</w:t>
      </w:r>
      <w:r w:rsidRPr="004E00A3">
        <w:t>億元不計入所得額，</w:t>
      </w:r>
      <w:r w:rsidRPr="004E00A3">
        <w:t>0.05</w:t>
      </w:r>
      <w:r w:rsidRPr="004E00A3">
        <w:t>億元扣繳稅款可申請更正</w:t>
      </w:r>
      <w:r w:rsidRPr="004E00A3">
        <w:t>2024</w:t>
      </w:r>
      <w:r w:rsidRPr="004E00A3">
        <w:t>年度申報書並納入境外稅額扣抵</w:t>
      </w:r>
    </w:p>
    <w:p w14:paraId="4522EAC4" w14:textId="77777777" w:rsidR="004E00A3" w:rsidRPr="004E00A3" w:rsidRDefault="004E00A3" w:rsidP="004E00A3">
      <w:pPr>
        <w:pStyle w:val="2"/>
      </w:pPr>
      <w:r w:rsidRPr="004E00A3">
        <w:t>結語</w:t>
      </w:r>
    </w:p>
    <w:p w14:paraId="67952802" w14:textId="77777777" w:rsidR="004E00A3" w:rsidRPr="004E00A3" w:rsidRDefault="004E00A3" w:rsidP="004E00A3">
      <w:r w:rsidRPr="004E00A3">
        <w:t>CFC</w:t>
      </w:r>
      <w:r w:rsidRPr="004E00A3">
        <w:t>投資收益的歸課計算及避免重複課稅機制是</w:t>
      </w:r>
      <w:r w:rsidRPr="004E00A3">
        <w:t>CFC</w:t>
      </w:r>
      <w:r w:rsidRPr="004E00A3">
        <w:t>制度的重要環節，涉及多項專業判斷和操作實務。企業應掌握法定盈餘公積扣除、</w:t>
      </w:r>
      <w:r w:rsidRPr="004E00A3">
        <w:t>10</w:t>
      </w:r>
      <w:r w:rsidRPr="004E00A3">
        <w:t>年虧損扣除、實際獲配股利不重複計入及境外稅額扣抵等關鍵機制，確保既符合法規要求，又能最大程度避免重複課稅的稅負不利。</w:t>
      </w:r>
    </w:p>
    <w:p w14:paraId="602CC784" w14:textId="77777777" w:rsidR="004E00A3" w:rsidRPr="004E00A3" w:rsidRDefault="004E00A3" w:rsidP="004E00A3">
      <w:r w:rsidRPr="004E00A3">
        <w:t>在實務操作中，建議企業建立完善的</w:t>
      </w:r>
      <w:r w:rsidRPr="004E00A3">
        <w:t>CFC</w:t>
      </w:r>
      <w:r w:rsidRPr="004E00A3">
        <w:t>相關資料庫，詳細記錄每年認列的</w:t>
      </w:r>
      <w:r w:rsidRPr="004E00A3">
        <w:t>CFC</w:t>
      </w:r>
      <w:r w:rsidRPr="004E00A3">
        <w:t>投資收益、境外已納稅額、實際獲配情況及處分記錄等，以便在需要時提供準確資訊，支持相關稅務處理。</w:t>
      </w:r>
    </w:p>
    <w:p w14:paraId="30EEF749" w14:textId="77777777" w:rsidR="004E00A3" w:rsidRPr="004E00A3" w:rsidRDefault="004E00A3" w:rsidP="004E00A3">
      <w:r w:rsidRPr="004E00A3">
        <w:t>下一篇文章將聚焦</w:t>
      </w:r>
      <w:r w:rsidRPr="004E00A3">
        <w:t>CFC</w:t>
      </w:r>
      <w:r w:rsidRPr="004E00A3">
        <w:t>申報程序與應備文件，包括申報書填寫指南、應檢附文件清單及相關實務提醒，幫助企業順利完成</w:t>
      </w:r>
      <w:r w:rsidRPr="004E00A3">
        <w:t>CFC</w:t>
      </w:r>
      <w:r w:rsidRPr="004E00A3">
        <w:t>相關稅務申報工作。</w:t>
      </w:r>
    </w:p>
    <w:p w14:paraId="5A916750" w14:textId="77777777" w:rsidR="004E00A3" w:rsidRPr="004E00A3" w:rsidRDefault="004E00A3" w:rsidP="004E00A3">
      <w:r w:rsidRPr="004E00A3">
        <w:t>標籤：</w:t>
      </w:r>
      <w:r w:rsidRPr="004E00A3">
        <w:t>CFC</w:t>
      </w:r>
      <w:r w:rsidRPr="004E00A3">
        <w:t>、投資收益、重複課稅、境外稅額</w:t>
      </w:r>
    </w:p>
    <w:p w14:paraId="17353FF5" w14:textId="77777777" w:rsidR="004E00A3" w:rsidRPr="004E00A3" w:rsidRDefault="004E00A3" w:rsidP="004E00A3">
      <w:r w:rsidRPr="004E00A3">
        <w:t>發布日期：</w:t>
      </w:r>
      <w:r w:rsidRPr="004E00A3">
        <w:t>2025-04-22</w:t>
      </w:r>
    </w:p>
    <w:p w14:paraId="3EEA5A23" w14:textId="77777777" w:rsidR="00D9281F" w:rsidRDefault="00D9281F"/>
    <w:sectPr w:rsidR="00D9281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40A4"/>
    <w:multiLevelType w:val="multilevel"/>
    <w:tmpl w:val="2ACA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A04BE"/>
    <w:multiLevelType w:val="multilevel"/>
    <w:tmpl w:val="2F08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1317E"/>
    <w:multiLevelType w:val="multilevel"/>
    <w:tmpl w:val="D854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B3482"/>
    <w:multiLevelType w:val="multilevel"/>
    <w:tmpl w:val="3ACE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14FF9"/>
    <w:multiLevelType w:val="multilevel"/>
    <w:tmpl w:val="84A6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05F02"/>
    <w:multiLevelType w:val="multilevel"/>
    <w:tmpl w:val="1EA4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B37BE"/>
    <w:multiLevelType w:val="multilevel"/>
    <w:tmpl w:val="60D4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50DCE"/>
    <w:multiLevelType w:val="multilevel"/>
    <w:tmpl w:val="AAF6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1539F7"/>
    <w:multiLevelType w:val="multilevel"/>
    <w:tmpl w:val="CAE2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CA4C4E"/>
    <w:multiLevelType w:val="multilevel"/>
    <w:tmpl w:val="1BBA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B9297D"/>
    <w:multiLevelType w:val="multilevel"/>
    <w:tmpl w:val="A74A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FC56BC"/>
    <w:multiLevelType w:val="multilevel"/>
    <w:tmpl w:val="4592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AB2867"/>
    <w:multiLevelType w:val="multilevel"/>
    <w:tmpl w:val="80B4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942311"/>
    <w:multiLevelType w:val="multilevel"/>
    <w:tmpl w:val="FB1C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9763538">
    <w:abstractNumId w:val="9"/>
  </w:num>
  <w:num w:numId="2" w16cid:durableId="947352323">
    <w:abstractNumId w:val="3"/>
  </w:num>
  <w:num w:numId="3" w16cid:durableId="1820415758">
    <w:abstractNumId w:val="5"/>
  </w:num>
  <w:num w:numId="4" w16cid:durableId="108210149">
    <w:abstractNumId w:val="0"/>
  </w:num>
  <w:num w:numId="5" w16cid:durableId="638732386">
    <w:abstractNumId w:val="6"/>
  </w:num>
  <w:num w:numId="6" w16cid:durableId="1303729787">
    <w:abstractNumId w:val="7"/>
  </w:num>
  <w:num w:numId="7" w16cid:durableId="198737880">
    <w:abstractNumId w:val="12"/>
  </w:num>
  <w:num w:numId="8" w16cid:durableId="839613100">
    <w:abstractNumId w:val="8"/>
  </w:num>
  <w:num w:numId="9" w16cid:durableId="807816620">
    <w:abstractNumId w:val="11"/>
  </w:num>
  <w:num w:numId="10" w16cid:durableId="907115173">
    <w:abstractNumId w:val="1"/>
  </w:num>
  <w:num w:numId="11" w16cid:durableId="468133986">
    <w:abstractNumId w:val="13"/>
  </w:num>
  <w:num w:numId="12" w16cid:durableId="330644206">
    <w:abstractNumId w:val="2"/>
  </w:num>
  <w:num w:numId="13" w16cid:durableId="1610547548">
    <w:abstractNumId w:val="4"/>
  </w:num>
  <w:num w:numId="14" w16cid:durableId="16850146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232"/>
    <w:rsid w:val="002A1676"/>
    <w:rsid w:val="004E00A3"/>
    <w:rsid w:val="00903232"/>
    <w:rsid w:val="009777E2"/>
    <w:rsid w:val="00B30DCA"/>
    <w:rsid w:val="00B64427"/>
    <w:rsid w:val="00D928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80990"/>
  <w15:chartTrackingRefBased/>
  <w15:docId w15:val="{243172D9-611F-48B7-86FE-3BD88E289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7E2"/>
  </w:style>
  <w:style w:type="paragraph" w:styleId="1">
    <w:name w:val="heading 1"/>
    <w:basedOn w:val="a"/>
    <w:next w:val="a"/>
    <w:link w:val="10"/>
    <w:uiPriority w:val="9"/>
    <w:qFormat/>
    <w:rsid w:val="009777E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9777E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9777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9777E2"/>
    <w:pPr>
      <w:keepNext/>
      <w:keepLines/>
      <w:spacing w:before="40" w:after="0"/>
      <w:outlineLvl w:val="3"/>
    </w:pPr>
    <w:rPr>
      <w:i/>
      <w:iCs/>
    </w:rPr>
  </w:style>
  <w:style w:type="paragraph" w:styleId="5">
    <w:name w:val="heading 5"/>
    <w:basedOn w:val="a"/>
    <w:next w:val="a"/>
    <w:link w:val="50"/>
    <w:uiPriority w:val="9"/>
    <w:semiHidden/>
    <w:unhideWhenUsed/>
    <w:qFormat/>
    <w:rsid w:val="009777E2"/>
    <w:pPr>
      <w:keepNext/>
      <w:keepLines/>
      <w:spacing w:before="40" w:after="0"/>
      <w:outlineLvl w:val="4"/>
    </w:pPr>
    <w:rPr>
      <w:color w:val="404040" w:themeColor="text1" w:themeTint="BF"/>
    </w:rPr>
  </w:style>
  <w:style w:type="paragraph" w:styleId="6">
    <w:name w:val="heading 6"/>
    <w:basedOn w:val="a"/>
    <w:next w:val="a"/>
    <w:link w:val="60"/>
    <w:uiPriority w:val="9"/>
    <w:semiHidden/>
    <w:unhideWhenUsed/>
    <w:qFormat/>
    <w:rsid w:val="009777E2"/>
    <w:pPr>
      <w:keepNext/>
      <w:keepLines/>
      <w:spacing w:before="40" w:after="0"/>
      <w:outlineLvl w:val="5"/>
    </w:pPr>
  </w:style>
  <w:style w:type="paragraph" w:styleId="7">
    <w:name w:val="heading 7"/>
    <w:basedOn w:val="a"/>
    <w:next w:val="a"/>
    <w:link w:val="70"/>
    <w:uiPriority w:val="9"/>
    <w:semiHidden/>
    <w:unhideWhenUsed/>
    <w:qFormat/>
    <w:rsid w:val="009777E2"/>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777E2"/>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9777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77E2"/>
    <w:rPr>
      <w:rFonts w:asciiTheme="majorHAnsi" w:eastAsiaTheme="majorEastAsia" w:hAnsiTheme="majorHAnsi" w:cstheme="majorBidi"/>
      <w:color w:val="262626" w:themeColor="text1" w:themeTint="D9"/>
      <w:sz w:val="32"/>
      <w:szCs w:val="32"/>
    </w:rPr>
  </w:style>
  <w:style w:type="character" w:customStyle="1" w:styleId="20">
    <w:name w:val="標題 2 字元"/>
    <w:basedOn w:val="a0"/>
    <w:link w:val="2"/>
    <w:uiPriority w:val="9"/>
    <w:rsid w:val="009777E2"/>
    <w:rPr>
      <w:rFonts w:asciiTheme="majorHAnsi" w:eastAsiaTheme="majorEastAsia" w:hAnsiTheme="majorHAnsi" w:cstheme="majorBidi"/>
      <w:color w:val="262626" w:themeColor="text1" w:themeTint="D9"/>
      <w:sz w:val="28"/>
      <w:szCs w:val="28"/>
    </w:rPr>
  </w:style>
  <w:style w:type="character" w:customStyle="1" w:styleId="30">
    <w:name w:val="標題 3 字元"/>
    <w:basedOn w:val="a0"/>
    <w:link w:val="3"/>
    <w:uiPriority w:val="9"/>
    <w:semiHidden/>
    <w:rsid w:val="009777E2"/>
    <w:rPr>
      <w:rFonts w:asciiTheme="majorHAnsi" w:eastAsiaTheme="majorEastAsia" w:hAnsiTheme="majorHAnsi" w:cstheme="majorBidi"/>
      <w:color w:val="0D0D0D" w:themeColor="text1" w:themeTint="F2"/>
      <w:sz w:val="24"/>
      <w:szCs w:val="24"/>
    </w:rPr>
  </w:style>
  <w:style w:type="character" w:customStyle="1" w:styleId="40">
    <w:name w:val="標題 4 字元"/>
    <w:basedOn w:val="a0"/>
    <w:link w:val="4"/>
    <w:uiPriority w:val="9"/>
    <w:semiHidden/>
    <w:rsid w:val="009777E2"/>
    <w:rPr>
      <w:i/>
      <w:iCs/>
    </w:rPr>
  </w:style>
  <w:style w:type="character" w:customStyle="1" w:styleId="50">
    <w:name w:val="標題 5 字元"/>
    <w:basedOn w:val="a0"/>
    <w:link w:val="5"/>
    <w:uiPriority w:val="9"/>
    <w:semiHidden/>
    <w:rsid w:val="009777E2"/>
    <w:rPr>
      <w:color w:val="404040" w:themeColor="text1" w:themeTint="BF"/>
    </w:rPr>
  </w:style>
  <w:style w:type="character" w:customStyle="1" w:styleId="60">
    <w:name w:val="標題 6 字元"/>
    <w:basedOn w:val="a0"/>
    <w:link w:val="6"/>
    <w:uiPriority w:val="9"/>
    <w:semiHidden/>
    <w:rsid w:val="009777E2"/>
  </w:style>
  <w:style w:type="character" w:customStyle="1" w:styleId="70">
    <w:name w:val="標題 7 字元"/>
    <w:basedOn w:val="a0"/>
    <w:link w:val="7"/>
    <w:uiPriority w:val="9"/>
    <w:semiHidden/>
    <w:rsid w:val="009777E2"/>
    <w:rPr>
      <w:rFonts w:asciiTheme="majorHAnsi" w:eastAsiaTheme="majorEastAsia" w:hAnsiTheme="majorHAnsi" w:cstheme="majorBidi"/>
      <w:i/>
      <w:iCs/>
    </w:rPr>
  </w:style>
  <w:style w:type="character" w:customStyle="1" w:styleId="80">
    <w:name w:val="標題 8 字元"/>
    <w:basedOn w:val="a0"/>
    <w:link w:val="8"/>
    <w:uiPriority w:val="9"/>
    <w:semiHidden/>
    <w:rsid w:val="009777E2"/>
    <w:rPr>
      <w:color w:val="262626" w:themeColor="text1" w:themeTint="D9"/>
      <w:sz w:val="21"/>
      <w:szCs w:val="21"/>
    </w:rPr>
  </w:style>
  <w:style w:type="character" w:customStyle="1" w:styleId="90">
    <w:name w:val="標題 9 字元"/>
    <w:basedOn w:val="a0"/>
    <w:link w:val="9"/>
    <w:uiPriority w:val="9"/>
    <w:semiHidden/>
    <w:rsid w:val="009777E2"/>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9777E2"/>
    <w:pPr>
      <w:spacing w:after="200" w:line="240" w:lineRule="auto"/>
    </w:pPr>
    <w:rPr>
      <w:i/>
      <w:iCs/>
      <w:color w:val="0E2841" w:themeColor="text2"/>
      <w:sz w:val="18"/>
      <w:szCs w:val="18"/>
    </w:rPr>
  </w:style>
  <w:style w:type="paragraph" w:styleId="a4">
    <w:name w:val="Title"/>
    <w:basedOn w:val="a"/>
    <w:next w:val="a"/>
    <w:link w:val="a5"/>
    <w:uiPriority w:val="10"/>
    <w:qFormat/>
    <w:rsid w:val="009777E2"/>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標題 字元"/>
    <w:basedOn w:val="a0"/>
    <w:link w:val="a4"/>
    <w:uiPriority w:val="10"/>
    <w:rsid w:val="009777E2"/>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9777E2"/>
    <w:pPr>
      <w:numPr>
        <w:ilvl w:val="1"/>
      </w:numPr>
    </w:pPr>
    <w:rPr>
      <w:color w:val="5A5A5A" w:themeColor="text1" w:themeTint="A5"/>
      <w:spacing w:val="15"/>
    </w:rPr>
  </w:style>
  <w:style w:type="character" w:customStyle="1" w:styleId="a7">
    <w:name w:val="副標題 字元"/>
    <w:basedOn w:val="a0"/>
    <w:link w:val="a6"/>
    <w:uiPriority w:val="11"/>
    <w:rsid w:val="009777E2"/>
    <w:rPr>
      <w:color w:val="5A5A5A" w:themeColor="text1" w:themeTint="A5"/>
      <w:spacing w:val="15"/>
    </w:rPr>
  </w:style>
  <w:style w:type="character" w:styleId="a8">
    <w:name w:val="Strong"/>
    <w:basedOn w:val="a0"/>
    <w:uiPriority w:val="22"/>
    <w:qFormat/>
    <w:rsid w:val="009777E2"/>
    <w:rPr>
      <w:b/>
      <w:bCs/>
      <w:color w:val="auto"/>
    </w:rPr>
  </w:style>
  <w:style w:type="character" w:styleId="a9">
    <w:name w:val="Emphasis"/>
    <w:basedOn w:val="a0"/>
    <w:uiPriority w:val="20"/>
    <w:qFormat/>
    <w:rsid w:val="009777E2"/>
    <w:rPr>
      <w:i/>
      <w:iCs/>
      <w:color w:val="auto"/>
    </w:rPr>
  </w:style>
  <w:style w:type="paragraph" w:styleId="aa">
    <w:name w:val="No Spacing"/>
    <w:uiPriority w:val="1"/>
    <w:qFormat/>
    <w:rsid w:val="009777E2"/>
    <w:pPr>
      <w:spacing w:after="0" w:line="240" w:lineRule="auto"/>
    </w:pPr>
  </w:style>
  <w:style w:type="paragraph" w:styleId="ab">
    <w:name w:val="List Paragraph"/>
    <w:basedOn w:val="a"/>
    <w:uiPriority w:val="34"/>
    <w:qFormat/>
    <w:rsid w:val="009777E2"/>
    <w:pPr>
      <w:ind w:leftChars="200" w:left="480"/>
    </w:pPr>
  </w:style>
  <w:style w:type="paragraph" w:styleId="ac">
    <w:name w:val="Quote"/>
    <w:basedOn w:val="a"/>
    <w:next w:val="a"/>
    <w:link w:val="ad"/>
    <w:uiPriority w:val="29"/>
    <w:qFormat/>
    <w:rsid w:val="009777E2"/>
    <w:pPr>
      <w:spacing w:before="200"/>
      <w:ind w:left="864" w:right="864"/>
    </w:pPr>
    <w:rPr>
      <w:i/>
      <w:iCs/>
      <w:color w:val="404040" w:themeColor="text1" w:themeTint="BF"/>
    </w:rPr>
  </w:style>
  <w:style w:type="character" w:customStyle="1" w:styleId="ad">
    <w:name w:val="引文 字元"/>
    <w:basedOn w:val="a0"/>
    <w:link w:val="ac"/>
    <w:uiPriority w:val="29"/>
    <w:rsid w:val="009777E2"/>
    <w:rPr>
      <w:i/>
      <w:iCs/>
      <w:color w:val="404040" w:themeColor="text1" w:themeTint="BF"/>
    </w:rPr>
  </w:style>
  <w:style w:type="paragraph" w:styleId="ae">
    <w:name w:val="Intense Quote"/>
    <w:basedOn w:val="a"/>
    <w:next w:val="a"/>
    <w:link w:val="af"/>
    <w:uiPriority w:val="30"/>
    <w:qFormat/>
    <w:rsid w:val="009777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鮮明引文 字元"/>
    <w:basedOn w:val="a0"/>
    <w:link w:val="ae"/>
    <w:uiPriority w:val="30"/>
    <w:rsid w:val="009777E2"/>
    <w:rPr>
      <w:i/>
      <w:iCs/>
      <w:color w:val="404040" w:themeColor="text1" w:themeTint="BF"/>
    </w:rPr>
  </w:style>
  <w:style w:type="character" w:styleId="af0">
    <w:name w:val="Subtle Emphasis"/>
    <w:basedOn w:val="a0"/>
    <w:uiPriority w:val="19"/>
    <w:qFormat/>
    <w:rsid w:val="009777E2"/>
    <w:rPr>
      <w:i/>
      <w:iCs/>
      <w:color w:val="404040" w:themeColor="text1" w:themeTint="BF"/>
    </w:rPr>
  </w:style>
  <w:style w:type="character" w:styleId="af1">
    <w:name w:val="Intense Emphasis"/>
    <w:basedOn w:val="a0"/>
    <w:uiPriority w:val="21"/>
    <w:qFormat/>
    <w:rsid w:val="009777E2"/>
    <w:rPr>
      <w:b/>
      <w:bCs/>
      <w:i/>
      <w:iCs/>
      <w:color w:val="auto"/>
    </w:rPr>
  </w:style>
  <w:style w:type="character" w:styleId="af2">
    <w:name w:val="Subtle Reference"/>
    <w:basedOn w:val="a0"/>
    <w:uiPriority w:val="31"/>
    <w:qFormat/>
    <w:rsid w:val="009777E2"/>
    <w:rPr>
      <w:smallCaps/>
      <w:color w:val="404040" w:themeColor="text1" w:themeTint="BF"/>
    </w:rPr>
  </w:style>
  <w:style w:type="character" w:styleId="af3">
    <w:name w:val="Intense Reference"/>
    <w:basedOn w:val="a0"/>
    <w:uiPriority w:val="32"/>
    <w:qFormat/>
    <w:rsid w:val="009777E2"/>
    <w:rPr>
      <w:b/>
      <w:bCs/>
      <w:smallCaps/>
      <w:color w:val="404040" w:themeColor="text1" w:themeTint="BF"/>
      <w:spacing w:val="5"/>
    </w:rPr>
  </w:style>
  <w:style w:type="character" w:styleId="af4">
    <w:name w:val="Book Title"/>
    <w:basedOn w:val="a0"/>
    <w:uiPriority w:val="33"/>
    <w:qFormat/>
    <w:rsid w:val="009777E2"/>
    <w:rPr>
      <w:b/>
      <w:bCs/>
      <w:i/>
      <w:iCs/>
      <w:spacing w:val="5"/>
    </w:rPr>
  </w:style>
  <w:style w:type="paragraph" w:styleId="af5">
    <w:name w:val="TOC Heading"/>
    <w:basedOn w:val="1"/>
    <w:next w:val="a"/>
    <w:uiPriority w:val="39"/>
    <w:semiHidden/>
    <w:unhideWhenUsed/>
    <w:qFormat/>
    <w:rsid w:val="009777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95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472</Words>
  <Characters>2692</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Liu</dc:creator>
  <cp:keywords/>
  <dc:description/>
  <cp:lastModifiedBy>Wayne Liu</cp:lastModifiedBy>
  <cp:revision>2</cp:revision>
  <dcterms:created xsi:type="dcterms:W3CDTF">2025-05-06T06:10:00Z</dcterms:created>
  <dcterms:modified xsi:type="dcterms:W3CDTF">2025-05-06T06:11:00Z</dcterms:modified>
</cp:coreProperties>
</file>