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Atlas Office Summary</w:t>
      </w:r>
    </w:p>
    <w:p>
      <w:r>
        <w:t>Atlas roadmap is on track with two unresolved procurement risks.</w:t>
      </w:r>
    </w:p>
    <w:p>
      <w:r>
        <w:t>Key dependency is the mobile gateway migration scheduled for June.</w:t>
      </w:r>
    </w:p>
    <w:p>
      <w:pPr>
        <w:pStyle w:val="ListBullet"/>
      </w:pPr>
      <w:r>
        <w:t>Escalate vendor contract by Friday.</w:t>
      </w:r>
    </w:p>
    <w:p>
      <w:pPr>
        <w:pStyle w:val="ListBullet"/>
      </w:pPr>
      <w:r>
        <w:t>Confirm rollout checklist with finance.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