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F4C81"/>
          <w:sz w:val="44"/>
          <w:szCs w:val="44"/>
        </w:rPr>
        <w:t xml:space="preserve">IBM Global AI Racing League 2026</w:t>
      </w:r>
    </w:p>
    <w:p>
      <w:pPr>
        <w:spacing w:after="400"/>
        <w:jc w:val="center"/>
      </w:pPr>
      <w:r>
        <w:rPr>
          <w:rFonts w:ascii="Arial" w:cs="Arial" w:eastAsia="Arial" w:hAnsi="Arial"/>
          <w:sz w:val="28"/>
          <w:szCs w:val="28"/>
        </w:rPr>
        <w:t xml:space="preserve">Informe Técnico — Agente de Conducción Autónomo para TORCS</w:t>
      </w:r>
    </w:p>
    <w:p>
      <w:pPr>
        <w:spacing w:after="120"/>
        <w:jc w:val="center"/>
      </w:pPr>
      <w:r>
        <w:rPr>
          <w:rFonts w:ascii="Arial" w:cs="Arial" w:eastAsia="Arial" w:hAnsi="Arial"/>
          <w:i/>
          <w:iCs/>
          <w:sz w:val="22"/>
          <w:szCs w:val="22"/>
        </w:rPr>
        <w:t xml:space="preserve">Piloto: Alvaro (participante solo)</w:t>
      </w:r>
    </w:p>
    <w:p>
      <w:pPr>
        <w:spacing w:after="120"/>
        <w:jc w:val="center"/>
      </w:pPr>
      <w:r>
        <w:rPr>
          <w:rFonts w:ascii="Arial" w:cs="Arial" w:eastAsia="Arial" w:hAnsi="Arial"/>
          <w:i/>
          <w:iCs/>
          <w:sz w:val="22"/>
          <w:szCs w:val="22"/>
        </w:rPr>
        <w:t xml:space="preserve">Circuito: Corkscrew</w:t>
      </w:r>
    </w:p>
    <w:p>
      <w:pPr>
        <w:spacing w:after="2400"/>
        <w:jc w:val="center"/>
      </w:pPr>
      <w:r>
        <w:rPr>
          <w:rFonts w:ascii="Arial" w:cs="Arial" w:eastAsia="Arial" w:hAnsi="Arial"/>
          <w:i/>
          <w:iCs/>
          <w:sz w:val="22"/>
          <w:szCs w:val="22"/>
        </w:rPr>
        <w:t xml:space="preserve">Abril 2026</w:t>
      </w:r>
    </w:p>
    <w:p>
      <w:r>
        <w:br w:type="page"/>
      </w:r>
    </w:p>
    <w:p>
      <w:pPr>
        <w:pStyle w:val="Heading1"/>
      </w:pPr>
      <w:r>
        <w:t xml:space="preserve">1. Resumen ejecutivo</w:t>
      </w:r>
    </w:p>
    <w:p>
      <w:pPr>
        <w:spacing w:after="120"/>
        <w:jc w:val="both"/>
      </w:pPr>
      <w:r/>
      <w:r>
        <w:t>Este documento describe el trabajo realizado para desarrollar un agente de conducción autónomo para TORCS en el marco de la IBM Global AI Racing League 2026. Partiendo de un baseline de 03:04.55 en el circuito Corkscrew, se ha iterado sobre los parámetros de un agente reactivo hasta conseguir un tiempo de 02:27.28 con el agente V2 LOOKAHEAD, que representa una mejora total de 37,27 segundos sobre el baseline inicial (20,2 %).</w:t>
      </w:r>
    </w:p>
    <w:p>
      <w:pPr>
        <w:spacing w:after="120"/>
        <w:jc w:val="both"/>
      </w:pPr>
      <w:r>
        <w:t xml:space="preserve">La estrategia elegida no es aprendizaje por refuerzo ni redes neuronales entrenadas, sino una política reactiva cuidadosamente afinada mediante experimentación sistemática. En cinco iteraciones sobre el circuito Corkscrew se consiguió pasar de no completar ninguna vuelta a un tiempo estable de 2 minutos 53 segundos y 68 centésimas, con cero daño y total consistencia entre vueltas.</w:t>
      </w:r>
    </w:p>
    <w:p>
      <w:pPr>
        <w:spacing w:after="120"/>
        <w:jc w:val="both"/>
      </w:pPr>
      <w:r/>
      <w:r>
        <w:t>El agente V2 final incorpora lookahead dinámico usando los sensores de distancia frontales del coche. En cada tick calcula una velocidad objetivo proporcional a cuánto asfalto ve delante, acelerando hasta MAX_SPEED=120 km/h en rectas largas y frenando progresivamente hasta MIN_SPEED=70 km/h cuando detecta curvas cerradas. Esta mejora bajó la vuelta rápida de 02:53.68 (V1) a 02:27.28 (V2).</w:t>
      </w:r>
    </w:p>
    <w:p>
      <w:pPr>
        <w:pStyle w:val="Heading1"/>
      </w:pPr>
      <w:r>
        <w:t xml:space="preserve">2. Problema y entorno</w:t>
      </w:r>
    </w:p>
    <w:p>
      <w:pPr>
        <w:pStyle w:val="Heading2"/>
      </w:pPr>
      <w:r>
        <w:t xml:space="preserve">2.1 Reglas relevantes de la competición</w:t>
      </w:r>
    </w:p>
    <w:p>
      <w:pPr>
        <w:pStyle w:val="ListParagraph"/>
        <w:numPr>
          <w:ilvl w:val="0"/>
          <w:numId w:val="2"/>
        </w:numPr>
      </w:pPr>
      <w:r>
        <w:t xml:space="preserve">Simulador: TORCS con el SCR patch (puerto UDP 3001)</w:t>
      </w:r>
    </w:p>
    <w:p>
      <w:pPr>
        <w:pStyle w:val="ListParagraph"/>
        <w:numPr>
          <w:ilvl w:val="0"/>
          <w:numId w:val="2"/>
        </w:numPr>
      </w:pPr>
      <w:r>
        <w:t xml:space="preserve">Coche obligatorio: car1-trb1</w:t>
      </w:r>
    </w:p>
    <w:p>
      <w:pPr>
        <w:pStyle w:val="ListParagraph"/>
        <w:numPr>
          <w:ilvl w:val="0"/>
          <w:numId w:val="2"/>
        </w:numPr>
      </w:pPr>
      <w:r>
        <w:t xml:space="preserve">Circuito oficial clasificatoria: Corkscrew</w:t>
      </w:r>
    </w:p>
    <w:p>
      <w:pPr>
        <w:pStyle w:val="ListParagraph"/>
        <w:numPr>
          <w:ilvl w:val="0"/>
          <w:numId w:val="2"/>
        </w:numPr>
      </w:pPr>
      <w:r>
        <w:t xml:space="preserve">Modelo de IA requerido: IBM Granite 4.0 (ejecución local)</w:t>
      </w:r>
    </w:p>
    <w:p>
      <w:pPr>
        <w:pStyle w:val="ListParagraph"/>
        <w:numPr>
          <w:ilvl w:val="0"/>
          <w:numId w:val="2"/>
        </w:numPr>
      </w:pPr>
      <w:r>
        <w:t xml:space="preserve">Entregables: código en GitHub público, vídeo de vuelta rápida, vídeo de equipo, datos de carrera, livery personalizada</w:t>
      </w:r>
    </w:p>
    <w:p>
      <w:pPr>
        <w:pStyle w:val="ListParagraph"/>
        <w:numPr>
          <w:ilvl w:val="0"/>
          <w:numId w:val="2"/>
        </w:numPr>
      </w:pPr>
      <w:r>
        <w:t xml:space="preserve">Fecha límite: 1 de julio de 2026</w:t>
      </w:r>
    </w:p>
    <w:p>
      <w:pPr>
        <w:pStyle w:val="Heading2"/>
      </w:pPr>
      <w:r>
        <w:t xml:space="preserve">2.2 El entorno de TORCS desde el punto de vista del agente</w:t>
      </w:r>
    </w:p>
    <w:p>
      <w:pPr>
        <w:spacing w:after="120"/>
        <w:jc w:val="both"/>
      </w:pPr>
      <w:r>
        <w:t xml:space="preserve">TORCS expone al agente un conjunto de sensores en cada tick de simulación. Los más relevantes para este proyecto son los siguientes. El ángulo (angle) es la diferencia entre la orientación del coche y la dirección longitudinal de la pista, en radianes. La posición lateral (trackPos) está normalizada de −1 a +1: 0 es el centro, los valores positivos están a la derecha y valores fuera de ese rango significan que el coche ha salido del asfalto. La velocidad longitudinal (speedX) viene en metros por segundo y se multiplica por 3.6 para obtener kilómetros por hora. El array de 19 distancias (track) funciona como un LIDAR simplificado: 19 rayos desde −90° a +90° que devuelven la distancia en metros hasta el borde de la pista en cada dirección; el rayo central es el más importante porque indica cuánto asfalto hay justo delante.</w:t>
      </w:r>
    </w:p>
    <w:p>
      <w:pPr>
        <w:spacing w:after="120"/>
        <w:jc w:val="both"/>
      </w:pPr>
      <w:r>
        <w:t xml:space="preserve">El agente responde con cuatro comandos: steer (−1 a +1), accel (0 a 1), brake (0 a 1) y gear (1 a 6). Cada tick dura aproximadamente 20 milisegundos, por lo que el bucle de decisión debe ser muy rápido.</w:t>
      </w:r>
    </w:p>
    <w:p>
      <w:pPr>
        <w:pStyle w:val="Heading1"/>
      </w:pPr>
      <w:r>
        <w:t xml:space="preserve">3. Enfoque y arquitectura</w:t>
      </w:r>
    </w:p>
    <w:p>
      <w:pPr>
        <w:pStyle w:val="Heading2"/>
      </w:pPr>
      <w:r>
        <w:t xml:space="preserve">3.1 Decisión de diseño: política reactiva vs aprendizaje</w:t>
      </w:r>
    </w:p>
    <w:p>
      <w:pPr>
        <w:spacing w:after="120"/>
        <w:jc w:val="both"/>
      </w:pPr>
      <w:r>
        <w:t xml:space="preserve">Hay dos familias principales de enfoques para este problema. El aprendizaje por refuerzo profundo (DDPG, PPO, SAC) ofrece en teoría el mejor rendimiento asintótico, pero requiere cientos de miles de episodios de entrenamiento, una función de recompensa cuidadosamente diseñada, hiperparámetros estables y horas o días de cómputo. Para un participante solo con un deadline de tres meses no es el camino óptimo.</w:t>
      </w:r>
    </w:p>
    <w:p>
      <w:pPr>
        <w:spacing w:after="120"/>
        <w:jc w:val="both"/>
      </w:pPr>
      <w:r>
        <w:t xml:space="preserve">La alternativa es una política reactiva: un conjunto de reglas que leen los sensores y producen los comandos directamente. Con los parámetros bien afinados y usando los sensores de pista como señal de anticipación, una política reactiva puede ser sorprendentemente competitiva en circuitos conocidos. Esta fue la opción elegida.</w:t>
      </w:r>
    </w:p>
    <w:p>
      <w:pPr>
        <w:pStyle w:val="Heading2"/>
      </w:pPr>
      <w:r>
        <w:t xml:space="preserve">3.2 El bucle de decisión</w:t>
      </w:r>
    </w:p>
    <w:p>
      <w:pPr>
        <w:spacing w:after="120"/>
        <w:jc w:val="both"/>
      </w:pPr>
      <w:r>
        <w:t xml:space="preserve">En cada tick el agente ejecuta estos pasos en orden: lectura de sensores, comprobación de si hay que aplicar maniobra de recuperación (coche fuera de pista), cálculo de la dirección, cálculo de velocidad objetivo dinámica, cálculo del acelerador y freno, aplicación del control de tracción y cambio de marcha. Todo el bucle cabe en unas 50 líneas de Python y se ejecuta en menos de 1 milisegundo, muy por debajo del presupuesto de 20 ms por tick.</w:t>
      </w:r>
    </w:p>
    <w:p>
      <w:pPr>
        <w:pStyle w:val="Heading2"/>
      </w:pPr>
      <w:r>
        <w:t xml:space="preserve">3.3 Velocidad objetivo dinámica (clave del V2)</w:t>
      </w:r>
    </w:p>
    <w:p>
      <w:pPr>
        <w:spacing w:after="120"/>
        <w:jc w:val="both"/>
      </w:pPr>
      <w:r>
        <w:t xml:space="preserve">La mejora conceptual más importante entre la versión 1 y la versión 2 del agente es el paso de una velocidad objetivo fija a una velocidad objetivo calculada en cada tick en función de lo que el coche ve delante. La versión 1 usaba un único TARGET_SPEED que debía elegirse como compromiso entre el tramo más lento y el más rápido del circuito; era conservadora en las rectas y, aun así, demasiado agresiva en las curvas cerradas. La versión 2 lee el rayo frontal central de track y decide: si ve mucho asfalto (más de 120 metros), sube el objetivo a 130 km/h; si ve poco (menos de 30 metros), lo baja a 60 km/h; y entre esos dos extremos hace una interpolación lineal. El coche acelera solo en las rectas y frena solo antes de las curvas, sin necesidad de conocer el trazado por adelantado.</w:t>
      </w:r>
    </w:p>
    <w:p>
      <w:pPr>
        <w:pStyle w:val="Heading1"/>
      </w:pPr>
      <w:r>
        <w:t xml:space="preserve">4. Experimentación sistemática</w:t>
      </w:r>
    </w:p>
    <w:p>
      <w:pPr>
        <w:spacing w:after="120"/>
        <w:jc w:val="both"/>
      </w:pPr>
      <w:r>
        <w:t xml:space="preserve">Todos los cambios de parámetros se han registrado en una bitácora Excel con fecha, parámetros, tiempo resultante y notas cualitativas. Este registro es esencial para evitar el sesgo de confirmación: sin bitácora es fácil convencerse de que un cambio funciona cuando en realidad el siguiente es el que mejora.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400"/>
        <w:gridCol w:w="1400"/>
        <w:gridCol w:w="1560"/>
        <w:gridCol w:w="1400"/>
        <w:gridCol w:w="1600"/>
      </w:tblGrid>
      <w:tr>
        <w:trPr>
          <w:tblHeader/>
        </w:trPr>
        <w:tc>
          <w:tcPr>
            <w:tcW w:type="dxa" w:w="600"/>
            <w:tcBorders>
              <w:top w:val="single" w:color="BFBFBF" w:sz="1"/>
              <w:left w:val="single" w:color="BFBFBF" w:sz="1"/>
              <w:bottom w:val="single" w:color="BFBFBF" w:sz="1"/>
              <w:right w:val="single" w:color="BFBFBF" w:sz="1"/>
            </w:tcBorders>
            <w:shd w:fill="0F4C81" w:val="clear"/>
            <w:tcMar>
              <w:top w:type="dxa" w:w="80"/>
              <w:left w:type="dxa" w:w="120"/>
              <w:bottom w:type="dxa" w:w="80"/>
              <w:right w:type="dxa" w:w="120"/>
            </w:tcMar>
          </w:tcPr>
          <w:p>
            <w:pPr>
              <w:jc w:val="center"/>
            </w:pPr>
            <w:r>
              <w:rPr>
                <w:b/>
                <w:bCs/>
                <w:color w:val="FFFFFF"/>
                <w:sz w:val="20"/>
                <w:szCs w:val="20"/>
              </w:rPr>
              <w:t xml:space="preserve">#</w:t>
            </w:r>
          </w:p>
        </w:tc>
        <w:tc>
          <w:tcPr>
            <w:tcW w:type="dxa" w:w="1400"/>
            <w:tcBorders>
              <w:top w:val="single" w:color="BFBFBF" w:sz="1"/>
              <w:left w:val="single" w:color="BFBFBF" w:sz="1"/>
              <w:bottom w:val="single" w:color="BFBFBF" w:sz="1"/>
              <w:right w:val="single" w:color="BFBFBF" w:sz="1"/>
            </w:tcBorders>
            <w:shd w:fill="0F4C81" w:val="clear"/>
            <w:tcMar>
              <w:top w:type="dxa" w:w="80"/>
              <w:left w:type="dxa" w:w="120"/>
              <w:bottom w:type="dxa" w:w="80"/>
              <w:right w:type="dxa" w:w="120"/>
            </w:tcMar>
          </w:tcPr>
          <w:p>
            <w:pPr>
              <w:jc w:val="center"/>
            </w:pPr>
            <w:r>
              <w:rPr>
                <w:b/>
                <w:bCs/>
                <w:color w:val="FFFFFF"/>
                <w:sz w:val="20"/>
                <w:szCs w:val="20"/>
              </w:rPr>
              <w:t xml:space="preserve">TARGET_SPEED</w:t>
            </w:r>
          </w:p>
        </w:tc>
        <w:tc>
          <w:tcPr>
            <w:tcW w:type="dxa" w:w="1400"/>
            <w:tcBorders>
              <w:top w:val="single" w:color="BFBFBF" w:sz="1"/>
              <w:left w:val="single" w:color="BFBFBF" w:sz="1"/>
              <w:bottom w:val="single" w:color="BFBFBF" w:sz="1"/>
              <w:right w:val="single" w:color="BFBFBF" w:sz="1"/>
            </w:tcBorders>
            <w:shd w:fill="0F4C81" w:val="clear"/>
            <w:tcMar>
              <w:top w:type="dxa" w:w="80"/>
              <w:left w:type="dxa" w:w="120"/>
              <w:bottom w:type="dxa" w:w="80"/>
              <w:right w:type="dxa" w:w="120"/>
            </w:tcMar>
          </w:tcPr>
          <w:p>
            <w:pPr>
              <w:jc w:val="center"/>
            </w:pPr>
            <w:r>
              <w:rPr>
                <w:b/>
                <w:bCs/>
                <w:color w:val="FFFFFF"/>
                <w:sz w:val="20"/>
                <w:szCs w:val="20"/>
              </w:rPr>
              <w:t xml:space="preserve">STEER_GAIN</w:t>
            </w:r>
          </w:p>
        </w:tc>
        <w:tc>
          <w:tcPr>
            <w:tcW w:type="dxa" w:w="1400"/>
            <w:tcBorders>
              <w:top w:val="single" w:color="BFBFBF" w:sz="1"/>
              <w:left w:val="single" w:color="BFBFBF" w:sz="1"/>
              <w:bottom w:val="single" w:color="BFBFBF" w:sz="1"/>
              <w:right w:val="single" w:color="BFBFBF" w:sz="1"/>
            </w:tcBorders>
            <w:shd w:fill="0F4C81" w:val="clear"/>
            <w:tcMar>
              <w:top w:type="dxa" w:w="80"/>
              <w:left w:type="dxa" w:w="120"/>
              <w:bottom w:type="dxa" w:w="80"/>
              <w:right w:type="dxa" w:w="120"/>
            </w:tcMar>
          </w:tcPr>
          <w:p>
            <w:pPr>
              <w:jc w:val="center"/>
            </w:pPr>
            <w:r>
              <w:rPr>
                <w:b/>
                <w:bCs/>
                <w:color w:val="FFFFFF"/>
                <w:sz w:val="20"/>
                <w:szCs w:val="20"/>
              </w:rPr>
              <w:t xml:space="preserve">CENTER_GAIN</w:t>
            </w:r>
          </w:p>
        </w:tc>
        <w:tc>
          <w:tcPr>
            <w:tcW w:type="dxa" w:w="1560"/>
            <w:tcBorders>
              <w:top w:val="single" w:color="BFBFBF" w:sz="1"/>
              <w:left w:val="single" w:color="BFBFBF" w:sz="1"/>
              <w:bottom w:val="single" w:color="BFBFBF" w:sz="1"/>
              <w:right w:val="single" w:color="BFBFBF" w:sz="1"/>
            </w:tcBorders>
            <w:shd w:fill="0F4C81" w:val="clear"/>
            <w:tcMar>
              <w:top w:type="dxa" w:w="80"/>
              <w:left w:type="dxa" w:w="120"/>
              <w:bottom w:type="dxa" w:w="80"/>
              <w:right w:type="dxa" w:w="120"/>
            </w:tcMar>
          </w:tcPr>
          <w:p>
            <w:pPr>
              <w:jc w:val="center"/>
            </w:pPr>
            <w:r>
              <w:rPr>
                <w:b/>
                <w:bCs/>
                <w:color w:val="FFFFFF"/>
                <w:sz w:val="20"/>
                <w:szCs w:val="20"/>
              </w:rPr>
              <w:t xml:space="preserve">Freno</w:t>
            </w:r>
          </w:p>
        </w:tc>
        <w:tc>
          <w:tcPr>
            <w:tcW w:type="dxa" w:w="1400"/>
            <w:tcBorders>
              <w:top w:val="single" w:color="BFBFBF" w:sz="1"/>
              <w:left w:val="single" w:color="BFBFBF" w:sz="1"/>
              <w:bottom w:val="single" w:color="BFBFBF" w:sz="1"/>
              <w:right w:val="single" w:color="BFBFBF" w:sz="1"/>
            </w:tcBorders>
            <w:shd w:fill="0F4C81" w:val="clear"/>
            <w:tcMar>
              <w:top w:type="dxa" w:w="80"/>
              <w:left w:type="dxa" w:w="120"/>
              <w:bottom w:type="dxa" w:w="80"/>
              <w:right w:type="dxa" w:w="120"/>
            </w:tcMar>
          </w:tcPr>
          <w:p>
            <w:pPr>
              <w:jc w:val="center"/>
            </w:pPr>
            <w:r>
              <w:rPr>
                <w:b/>
                <w:bCs/>
                <w:color w:val="FFFFFF"/>
                <w:sz w:val="20"/>
                <w:szCs w:val="20"/>
              </w:rPr>
              <w:t xml:space="preserve">Mejor vuelta</w:t>
            </w:r>
          </w:p>
        </w:tc>
        <w:tc>
          <w:tcPr>
            <w:tcW w:type="dxa" w:w="1600"/>
            <w:tcBorders>
              <w:top w:val="single" w:color="BFBFBF" w:sz="1"/>
              <w:left w:val="single" w:color="BFBFBF" w:sz="1"/>
              <w:bottom w:val="single" w:color="BFBFBF" w:sz="1"/>
              <w:right w:val="single" w:color="BFBFBF" w:sz="1"/>
            </w:tcBorders>
            <w:shd w:fill="0F4C81" w:val="clear"/>
            <w:tcMar>
              <w:top w:type="dxa" w:w="80"/>
              <w:left w:type="dxa" w:w="120"/>
              <w:bottom w:type="dxa" w:w="80"/>
              <w:right w:type="dxa" w:w="120"/>
            </w:tcMar>
          </w:tcPr>
          <w:p>
            <w:pPr>
              <w:jc w:val="center"/>
            </w:pPr>
            <w:r>
              <w:rPr>
                <w:b/>
                <w:bCs/>
                <w:color w:val="FFFFFF"/>
                <w:sz w:val="20"/>
                <w:szCs w:val="20"/>
              </w:rPr>
              <w:t xml:space="preserve">Δ vs anterior</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1</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70</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30</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0.20</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0.3 @ 0.9</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bCs/>
                <w:color w:val="000000"/>
                <w:sz w:val="20"/>
                <w:szCs w:val="20"/>
              </w:rPr>
              <w:t xml:space="preserve">03:04.55</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 (baseline)</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2</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75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30</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0.20</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0.6 @ 0.5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bCs/>
                <w:color w:val="000000"/>
                <w:sz w:val="20"/>
                <w:szCs w:val="20"/>
              </w:rPr>
              <w:t xml:space="preserve">02:55.03</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−9.52 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3</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75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35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0.30</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0.6 @ 0.5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bCs/>
                <w:color w:val="000000"/>
                <w:sz w:val="20"/>
                <w:szCs w:val="20"/>
              </w:rPr>
              <w:t xml:space="preserve">02:53.68</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−1.35 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4</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82</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35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0.30</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0.6 @ 0.5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DNF</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Se salió</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85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30</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0.20</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0.3 @ 0.9</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DNF</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color w:val="000000"/>
                <w:sz w:val="20"/>
                <w:szCs w:val="20"/>
              </w:rPr>
              <w:t xml:space="preserve">Se salió x2</w:t>
            </w:r>
          </w:p>
        </w:tc>
      </w:tr>
      <w:tr>
        <w:tc>
          <w:tcPr>
            <w:tcW w:type="dxa" w:w="600"/>
          </w:tcPr>
          <w:p>
            <w:pPr>
              <w:jc w:val="center"/>
            </w:pPr>
            <w:r/>
            <w:r>
              <w:rPr>
                <w:sz w:val="20"/>
              </w:rPr>
              <w:t>6</w:t>
            </w:r>
          </w:p>
        </w:tc>
        <w:tc>
          <w:tcPr>
            <w:tcW w:type="dxa" w:w="1400"/>
          </w:tcPr>
          <w:p>
            <w:pPr>
              <w:jc w:val="center"/>
            </w:pPr>
            <w:r/>
            <w:r>
              <w:rPr>
                <w:sz w:val="20"/>
              </w:rPr>
              <w:t>V2 60-130</w:t>
            </w:r>
          </w:p>
        </w:tc>
        <w:tc>
          <w:tcPr>
            <w:tcW w:type="dxa" w:w="1400"/>
          </w:tcPr>
          <w:p>
            <w:pPr>
              <w:jc w:val="center"/>
            </w:pPr>
            <w:r/>
            <w:r>
              <w:rPr>
                <w:sz w:val="20"/>
              </w:rPr>
              <w:t>35</w:t>
            </w:r>
          </w:p>
        </w:tc>
        <w:tc>
          <w:tcPr>
            <w:tcW w:type="dxa" w:w="1400"/>
          </w:tcPr>
          <w:p>
            <w:pPr>
              <w:jc w:val="center"/>
            </w:pPr>
            <w:r/>
            <w:r>
              <w:rPr>
                <w:sz w:val="20"/>
              </w:rPr>
              <w:t>0.30</w:t>
            </w:r>
          </w:p>
        </w:tc>
        <w:tc>
          <w:tcPr>
            <w:tcW w:type="dxa" w:w="1560"/>
          </w:tcPr>
          <w:p>
            <w:pPr>
              <w:jc w:val="center"/>
            </w:pPr>
            <w:r/>
            <w:r>
              <w:rPr>
                <w:sz w:val="20"/>
              </w:rPr>
              <w:t>prog.</w:t>
            </w:r>
          </w:p>
        </w:tc>
        <w:tc>
          <w:tcPr>
            <w:tcW w:type="dxa" w:w="1400"/>
          </w:tcPr>
          <w:p>
            <w:pPr>
              <w:jc w:val="center"/>
            </w:pPr>
            <w:r/>
            <w:r>
              <w:rPr>
                <w:sz w:val="20"/>
              </w:rPr>
              <w:t>03:42.40</w:t>
            </w:r>
          </w:p>
        </w:tc>
        <w:tc>
          <w:tcPr>
            <w:tcW w:type="dxa" w:w="1600"/>
          </w:tcPr>
          <w:p>
            <w:pPr>
              <w:jc w:val="center"/>
            </w:pPr>
            <w:r/>
            <w:r>
              <w:rPr>
                <w:sz w:val="20"/>
              </w:rPr>
              <w:t>+48.72 s</w:t>
            </w:r>
          </w:p>
        </w:tc>
      </w:tr>
      <w:tr>
        <w:tc>
          <w:tcPr>
            <w:tcW w:type="dxa" w:w="600"/>
          </w:tcPr>
          <w:p>
            <w:pPr>
              <w:jc w:val="center"/>
            </w:pPr>
            <w:r/>
            <w:r>
              <w:rPr>
                <w:sz w:val="20"/>
              </w:rPr>
              <w:t>7</w:t>
            </w:r>
          </w:p>
        </w:tc>
        <w:tc>
          <w:tcPr>
            <w:tcW w:type="dxa" w:w="1400"/>
          </w:tcPr>
          <w:p>
            <w:pPr>
              <w:jc w:val="center"/>
            </w:pPr>
            <w:r/>
            <w:r>
              <w:rPr>
                <w:sz w:val="20"/>
              </w:rPr>
              <w:t>V2 85-140</w:t>
            </w:r>
          </w:p>
        </w:tc>
        <w:tc>
          <w:tcPr>
            <w:tcW w:type="dxa" w:w="1400"/>
          </w:tcPr>
          <w:p>
            <w:pPr>
              <w:jc w:val="center"/>
            </w:pPr>
            <w:r/>
            <w:r>
              <w:rPr>
                <w:sz w:val="20"/>
              </w:rPr>
              <w:t>35</w:t>
            </w:r>
          </w:p>
        </w:tc>
        <w:tc>
          <w:tcPr>
            <w:tcW w:type="dxa" w:w="1400"/>
          </w:tcPr>
          <w:p>
            <w:pPr>
              <w:jc w:val="center"/>
            </w:pPr>
            <w:r/>
            <w:r>
              <w:rPr>
                <w:sz w:val="20"/>
              </w:rPr>
              <w:t>0.30</w:t>
            </w:r>
          </w:p>
        </w:tc>
        <w:tc>
          <w:tcPr>
            <w:tcW w:type="dxa" w:w="1560"/>
          </w:tcPr>
          <w:p>
            <w:pPr>
              <w:jc w:val="center"/>
            </w:pPr>
            <w:r/>
            <w:r>
              <w:rPr>
                <w:sz w:val="20"/>
              </w:rPr>
              <w:t>prog.</w:t>
            </w:r>
          </w:p>
        </w:tc>
        <w:tc>
          <w:tcPr>
            <w:tcW w:type="dxa" w:w="1400"/>
          </w:tcPr>
          <w:p>
            <w:pPr>
              <w:jc w:val="center"/>
            </w:pPr>
            <w:r/>
            <w:r>
              <w:rPr>
                <w:sz w:val="20"/>
              </w:rPr>
              <w:t>DNF</w:t>
            </w:r>
          </w:p>
        </w:tc>
        <w:tc>
          <w:tcPr>
            <w:tcW w:type="dxa" w:w="1600"/>
          </w:tcPr>
          <w:p>
            <w:pPr>
              <w:jc w:val="center"/>
            </w:pPr>
            <w:r/>
            <w:r>
              <w:rPr>
                <w:sz w:val="20"/>
              </w:rPr>
              <w:t>Se salió</w:t>
            </w:r>
          </w:p>
        </w:tc>
      </w:tr>
      <w:tr>
        <w:tc>
          <w:tcPr>
            <w:tcW w:type="dxa" w:w="600"/>
          </w:tcPr>
          <w:p>
            <w:pPr>
              <w:jc w:val="center"/>
            </w:pPr>
            <w:r/>
            <w:r>
              <w:rPr>
                <w:sz w:val="20"/>
              </w:rPr>
              <w:t>8</w:t>
            </w:r>
          </w:p>
        </w:tc>
        <w:tc>
          <w:tcPr>
            <w:tcW w:type="dxa" w:w="1400"/>
          </w:tcPr>
          <w:p>
            <w:pPr>
              <w:jc w:val="center"/>
            </w:pPr>
            <w:r/>
            <w:r>
              <w:rPr>
                <w:sz w:val="20"/>
              </w:rPr>
              <w:t>V2 70-120</w:t>
            </w:r>
          </w:p>
        </w:tc>
        <w:tc>
          <w:tcPr>
            <w:tcW w:type="dxa" w:w="1400"/>
          </w:tcPr>
          <w:p>
            <w:pPr>
              <w:jc w:val="center"/>
            </w:pPr>
            <w:r/>
            <w:r>
              <w:rPr>
                <w:sz w:val="20"/>
              </w:rPr>
              <w:t>35</w:t>
            </w:r>
          </w:p>
        </w:tc>
        <w:tc>
          <w:tcPr>
            <w:tcW w:type="dxa" w:w="1400"/>
          </w:tcPr>
          <w:p>
            <w:pPr>
              <w:jc w:val="center"/>
            </w:pPr>
            <w:r/>
            <w:r>
              <w:rPr>
                <w:sz w:val="20"/>
              </w:rPr>
              <w:t>0.40</w:t>
            </w:r>
          </w:p>
        </w:tc>
        <w:tc>
          <w:tcPr>
            <w:tcW w:type="dxa" w:w="1560"/>
          </w:tcPr>
          <w:p>
            <w:pPr>
              <w:jc w:val="center"/>
            </w:pPr>
            <w:r/>
            <w:r>
              <w:rPr>
                <w:sz w:val="20"/>
              </w:rPr>
              <w:t>prog.</w:t>
            </w:r>
          </w:p>
        </w:tc>
        <w:tc>
          <w:tcPr>
            <w:tcW w:type="dxa" w:w="1400"/>
          </w:tcPr>
          <w:p>
            <w:pPr>
              <w:jc w:val="center"/>
            </w:pPr>
            <w:r/>
            <w:r>
              <w:rPr>
                <w:sz w:val="20"/>
              </w:rPr>
              <w:t>02:27.28 ✓</w:t>
            </w:r>
          </w:p>
        </w:tc>
        <w:tc>
          <w:tcPr>
            <w:tcW w:type="dxa" w:w="1600"/>
          </w:tcPr>
          <w:p>
            <w:pPr>
              <w:jc w:val="center"/>
            </w:pPr>
            <w:r/>
            <w:r>
              <w:rPr>
                <w:sz w:val="20"/>
              </w:rPr>
              <w:t>−26.40 s FINAL</w:t>
            </w:r>
          </w:p>
        </w:tc>
      </w:tr>
    </w:tbl>
    <w:p>
      <w:pPr>
        <w:spacing w:before="120"/>
      </w:pPr>
      <w:r>
        <w:t xml:space="preserve"/>
      </w:r>
    </w:p>
    <w:p>
      <w:pPr>
        <w:spacing w:after="120"/>
        <w:jc w:val="both"/>
      </w:pPr>
      <w:r/>
      <w:r>
        <w:t>La lección más importante de esta tabla es el salto del intento 1 al intento 8: el tiempo bajó 37,27 segundos en total. Las dos palancas que más impactaron fueron (a) incrementar la agresividad del frenado cuando el coche detecta ángulo de giro significativo, y (b) introducir velocidad objetivo dinámica con lookahead, que permite rodar a 120 km/h en rectas sin riesgo porque el propio agente frena al ver curvas cerradas en los sensores frontales.</w:t>
      </w:r>
    </w:p>
    <w:p>
      <w:pPr>
        <w:pStyle w:val="Heading1"/>
      </w:pPr>
      <w:r>
        <w:t xml:space="preserve">5. Integración con IBM Granite 4.0</w:t>
      </w:r>
    </w:p>
    <w:p>
      <w:pPr>
        <w:spacing w:after="120"/>
        <w:jc w:val="both"/>
      </w:pPr>
      <w:r>
        <w:t xml:space="preserve">La competición requiere el uso del modelo IBM Granite. En este proyecto Granite 4.0 350M se ejecuta localmente mediante Ollama (sin conexión a internet y sin API key) y se integra en VS Code a través de la extensión Continue.dev. Esta configuración convierte a Granite en un copiloto permanente durante el desarrollo.</w:t>
      </w:r>
    </w:p>
    <w:p>
      <w:pPr>
        <w:pStyle w:val="Heading2"/>
      </w:pPr>
      <w:r>
        <w:t xml:space="preserve">5.1 Casos de uso concretos</w:t>
      </w:r>
    </w:p>
    <w:p>
      <w:pPr>
        <w:pStyle w:val="ListParagraph"/>
        <w:numPr>
          <w:ilvl w:val="0"/>
          <w:numId w:val="2"/>
        </w:numPr>
      </w:pPr>
      <w:r>
        <w:t xml:space="preserve">Generación de funciones auxiliares como get_curvature_hint() a partir de descripciones en lenguaje natural</w:t>
      </w:r>
    </w:p>
    <w:p>
      <w:pPr>
        <w:pStyle w:val="ListParagraph"/>
        <w:numPr>
          <w:ilvl w:val="0"/>
          <w:numId w:val="2"/>
        </w:numPr>
      </w:pPr>
      <w:r>
        <w:t xml:space="preserve">Explicación del significado de los sensores de TORCS cuando la documentación es escueta</w:t>
      </w:r>
    </w:p>
    <w:p>
      <w:pPr>
        <w:pStyle w:val="ListParagraph"/>
        <w:numPr>
          <w:ilvl w:val="0"/>
          <w:numId w:val="2"/>
        </w:numPr>
      </w:pPr>
      <w:r>
        <w:t xml:space="preserve">Propuesta de ajustes de parámetros tras observar un intento fallido</w:t>
      </w:r>
    </w:p>
    <w:p>
      <w:pPr>
        <w:pStyle w:val="ListParagraph"/>
        <w:numPr>
          <w:ilvl w:val="0"/>
          <w:numId w:val="2"/>
        </w:numPr>
      </w:pPr>
      <w:r>
        <w:t xml:space="preserve">Revisión del código antes de cada commit para detectar errores comunes (división por cero, typos, condiciones invertidas)</w:t>
      </w:r>
    </w:p>
    <w:p>
      <w:pPr>
        <w:pStyle w:val="ListParagraph"/>
        <w:numPr>
          <w:ilvl w:val="0"/>
          <w:numId w:val="2"/>
        </w:numPr>
      </w:pPr>
      <w:r>
        <w:t xml:space="preserve">Generación del docstring de las funciones y de este mismo informe técnico</w:t>
      </w:r>
    </w:p>
    <w:p>
      <w:pPr>
        <w:pStyle w:val="Heading1"/>
      </w:pPr>
      <w:r>
        <w:t xml:space="preserve">6. Próximos pasos</w:t>
      </w:r>
    </w:p>
    <w:p>
      <w:pPr>
        <w:spacing w:after="120"/>
        <w:jc w:val="both"/>
      </w:pPr>
      <w:r/>
      <w:r>
        <w:t>La configuración final del agente V2.2 (MIN_SPEED=70, MAX_SPEED=120, LOOKAHEAD 30/100, CENTERING 0.40) ha sido validada en pista con una vuelta limpia de 02:27.28. Con este resultado, el trabajo técnico del agente se considera cerrado para la entrega del 1 de julio de 2026. Las tareas restantes son puramente de producción del paquete de entrega: grabación del vídeo de proceso, creación del repositorio público en GitHub y envío del formulario oficial.</w:t>
      </w:r>
    </w:p>
    <w:p>
      <w:pPr>
        <w:pStyle w:val="ListParagraph"/>
        <w:numPr>
          <w:ilvl w:val="0"/>
          <w:numId w:val="2"/>
        </w:numPr>
      </w:pPr>
      <w:r>
        <w:t xml:space="preserve">Validar el agente V2 con lookahead en pista y medir tiempo real</w:t>
      </w:r>
    </w:p>
    <w:p>
      <w:pPr>
        <w:pStyle w:val="ListParagraph"/>
        <w:numPr>
          <w:ilvl w:val="0"/>
          <w:numId w:val="2"/>
        </w:numPr>
      </w:pPr>
      <w:r>
        <w:t xml:space="preserve">Ajustar MIN_SPEED, MAX_SPEED, LOOKAHEAD_NEAR y LOOKAHEAD_FAR por experimentación</w:t>
      </w:r>
    </w:p>
    <w:p>
      <w:pPr>
        <w:pStyle w:val="ListParagraph"/>
        <w:numPr>
          <w:ilvl w:val="0"/>
          <w:numId w:val="2"/>
        </w:numPr>
      </w:pPr>
      <w:r>
        <w:t xml:space="preserve">Añadir un modelo simple de curvatura usando los sensores laterales para frenar antes en curvas a derecha e izquierda</w:t>
      </w:r>
    </w:p>
    <w:p>
      <w:pPr>
        <w:pStyle w:val="ListParagraph"/>
        <w:numPr>
          <w:ilvl w:val="0"/>
          <w:numId w:val="2"/>
        </w:numPr>
      </w:pPr>
      <w:r>
        <w:t xml:space="preserve">Optimizar los umbrales de cambio de marcha analizando la curva de par del motor</w:t>
      </w:r>
    </w:p>
    <w:p>
      <w:pPr>
        <w:pStyle w:val="ListParagraph"/>
        <w:numPr>
          <w:ilvl w:val="0"/>
          <w:numId w:val="2"/>
        </w:numPr>
      </w:pPr>
      <w:r>
        <w:t xml:space="preserve">Crear livery personalizada siguiendo la guía de customising de TORCS</w:t>
      </w:r>
    </w:p>
    <w:p>
      <w:pPr>
        <w:pStyle w:val="ListParagraph"/>
        <w:numPr>
          <w:ilvl w:val="0"/>
          <w:numId w:val="2"/>
        </w:numPr>
      </w:pPr>
      <w:r>
        <w:t xml:space="preserve">Grabar los dos vídeos obligatorios con OBS Studio</w:t>
      </w:r>
    </w:p>
    <w:p>
      <w:pPr>
        <w:pStyle w:val="ListParagraph"/>
        <w:numPr>
          <w:ilvl w:val="0"/>
          <w:numId w:val="2"/>
        </w:numPr>
      </w:pPr>
      <w:r>
        <w:t xml:space="preserve">Publicar el repositorio en GitHub</w:t>
      </w:r>
    </w:p>
    <w:p>
      <w:pPr>
        <w:pStyle w:val="ListParagraph"/>
        <w:numPr>
          <w:ilvl w:val="0"/>
          <w:numId w:val="2"/>
        </w:numPr>
      </w:pPr>
      <w:r>
        <w:t xml:space="preserve">Rellenar el formulario de datos de carrera con las mediciones finales</w:t>
      </w:r>
    </w:p>
    <w:p>
      <w:pPr>
        <w:pStyle w:val="Heading1"/>
      </w:pPr>
      <w:r>
        <w:t xml:space="preserve">7. Conclusión</w:t>
      </w:r>
    </w:p>
    <w:p>
      <w:pPr>
        <w:spacing w:after="120"/>
        <w:jc w:val="both"/>
      </w:pPr>
      <w:r/>
      <w:r>
        <w:t>En dos sesiones de trabajo se ha pasado de no tener nada instalado a tener un agente que completa vueltas limpias en Corkscrew con tiempo final de 02:27.28, una mejora del 20,2 % sobre el baseline. El agente está listo para la entrega oficial a la IBM Global AI Racing League 2026 junto al resto de entregables obligatorios: vídeo de vuelta rápida, vídeo de proceso, repositorio GitHub, bitácora de experimentos, livery personalizada y formulario de datos de carrera.</w:t>
      </w:r>
    </w:p>
    <w:p>
      <w:pPr>
        <w:spacing w:before="400"/>
        <w:jc w:val="center"/>
      </w:pPr>
      <w:r>
        <w:rPr>
          <w:i/>
          <w:iCs/>
          <w:color w:val="999999"/>
        </w:rPr>
        <w:t xml:space="preserve">— Fin del informe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F4C81"/>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F4C81"/>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2026-04-10T11:48:49.373Z</dcterms:created>
  <dcterms:modified xsi:type="dcterms:W3CDTF">2026-04-10T11:48:49.373Z</dcterms:modified>
</cp:coreProperties>
</file>

<file path=docProps/custom.xml><?xml version="1.0" encoding="utf-8"?>
<Properties xmlns="http://schemas.openxmlformats.org/officeDocument/2006/custom-properties" xmlns:vt="http://schemas.openxmlformats.org/officeDocument/2006/docPropsVTypes"/>
</file>