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39594D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Cohere Labs</w:t>
            </w:r>
          </w:p>
          <w:p>
            <w:pPr>
              <w:jc w:val="right"/>
            </w:pPr>
            <w:r>
              <w:rPr>
                <w:rFonts w:ascii="Calibri" w:hAnsi="Calibri"/>
                <w:color w:val="A0B8AA"/>
                <w:sz w:val="13"/>
              </w:rPr>
              <w:t>FOR THE BUILDER</w:t>
            </w:r>
          </w:p>
        </w:tc>
        <w:tc>
          <w:tcPr>
            <w:tcW w:type="dxa" w:w="2928"/>
            <w:shd w:fill="39594D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0998C"/>
                <w:sz w:val="36"/>
              </w:rPr>
              <w:t>×</w:t>
            </w:r>
          </w:p>
        </w:tc>
        <w:tc>
          <w:tcPr>
            <w:tcW w:type="dxa" w:w="2928"/>
            <w:shd w:fill="39594D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Wayy Research</w:t>
            </w:r>
          </w:p>
          <w:p>
            <w:pPr>
              <w:jc w:val="left"/>
            </w:pPr>
            <w:r>
              <w:rPr>
                <w:rFonts w:ascii="Calibri" w:hAnsi="Calibri"/>
                <w:color w:val="A0B8AA"/>
                <w:sz w:val="13"/>
              </w:rPr>
              <w:t>BUFFALO, NY</w:t>
            </w:r>
          </w:p>
        </w:tc>
      </w:tr>
    </w:tbl>
    <w:p>
      <w:pPr>
        <w:jc w:val="center"/>
      </w:pPr>
      <w:r>
        <w:rPr>
          <w:rFonts w:ascii="Calibri" w:hAnsi="Calibri"/>
          <w:color w:val="6B6B7A"/>
          <w:sz w:val="14"/>
        </w:rPr>
        <w:t>RESEARCH COLLABORATION  —  2026</w:t>
      </w:r>
    </w:p>
    <w:p>
      <w:r>
        <w:rPr>
          <w:rFonts w:ascii="Calibri" w:hAnsi="Calibri"/>
          <w:b/>
          <w:color w:val="39594D"/>
          <w:sz w:val="16"/>
        </w:rPr>
        <w:t>COHERE LABS</w:t>
      </w:r>
      <w:r>
        <w:rPr>
          <w:rFonts w:ascii="Calibri" w:hAnsi="Calibri"/>
          <w:color w:val="6B6B7A"/>
          <w:sz w:val="16"/>
        </w:rPr>
        <w:t xml:space="preserve">  ×  </w:t>
      </w:r>
      <w:r>
        <w:rPr>
          <w:rFonts w:ascii="Calibri" w:hAnsi="Calibri"/>
          <w:b/>
          <w:color w:val="5B6ABF"/>
          <w:sz w:val="16"/>
        </w:rPr>
        <w:t>WAYY RESEARCH</w:t>
      </w:r>
    </w:p>
    <w:p>
      <w:pPr>
        <w:jc w:val="right"/>
      </w:pPr>
      <w:r>
        <w:rPr>
          <w:rFonts w:ascii="Calibri" w:hAnsi="Calibri"/>
          <w:color w:val="6B6B7A"/>
          <w:sz w:val="15"/>
        </w:rPr>
        <w:t>RESEARCH PROJECT SCOPE</w:t>
      </w:r>
    </w:p>
    <w:p>
      <w:r>
        <w:rPr>
          <w:rFonts w:ascii="Georgia" w:hAnsi="Georgia"/>
          <w:b/>
          <w:color w:val="1A1A1A"/>
          <w:sz w:val="56"/>
        </w:rPr>
        <w:t>Project Aya</w:t>
      </w:r>
    </w:p>
    <w:p>
      <w:r>
        <w:rPr>
          <w:rFonts w:ascii="Georgia" w:hAnsi="Georgia"/>
          <w:i/>
          <w:color w:val="3D3D3D"/>
          <w:sz w:val="24"/>
        </w:rPr>
        <w:t>Multilingual Transformer-to-Mamba Distillation: Compression, Equity, and the Architecture of Linguistic Inclusion</w:t>
      </w:r>
    </w:p>
    <w:p>
      <w:pPr>
        <w:pBdr>
          <w:bottom w:val="single" w:sz="8" w:space="1" w:color="1A1A1A"/>
        </w:pBdr>
      </w:pPr>
      <w:r>
        <w:rPr>
          <w:rFonts w:ascii="Calibri" w:hAnsi="Calibri"/>
          <w:b/>
          <w:color w:val="3D3D3D"/>
          <w:sz w:val="17"/>
        </w:rPr>
        <w:t>Lead</w:t>
      </w:r>
      <w:r>
        <w:rPr>
          <w:rFonts w:ascii="Calibri" w:hAnsi="Calibri"/>
          <w:color w:val="6B6B7A"/>
          <w:sz w:val="17"/>
        </w:rPr>
        <w:t xml:space="preserve">  Rick Galbo, Wayy Research</w:t>
      </w:r>
      <w:r>
        <w:rPr>
          <w:color w:val="6B6B7A"/>
          <w:sz w:val="16"/>
        </w:rPr>
        <w:t xml:space="preserve">    •    </w:t>
      </w:r>
      <w:r>
        <w:rPr>
          <w:rFonts w:ascii="Calibri" w:hAnsi="Calibri"/>
          <w:b/>
          <w:color w:val="3D3D3D"/>
          <w:sz w:val="17"/>
        </w:rPr>
        <w:t>Built on</w:t>
      </w:r>
      <w:r>
        <w:rPr>
          <w:rFonts w:ascii="Calibri" w:hAnsi="Calibri"/>
          <w:color w:val="6B6B7A"/>
          <w:sz w:val="17"/>
        </w:rPr>
        <w:t xml:space="preserve">  Cohere Tiny Aya</w:t>
      </w:r>
      <w:r>
        <w:rPr>
          <w:color w:val="6B6B7A"/>
          <w:sz w:val="16"/>
        </w:rPr>
        <w:t xml:space="preserve">    •    </w:t>
      </w:r>
      <w:r>
        <w:rPr>
          <w:rFonts w:ascii="Calibri" w:hAnsi="Calibri"/>
          <w:b/>
          <w:color w:val="3D3D3D"/>
          <w:sz w:val="17"/>
        </w:rPr>
        <w:t>Date</w:t>
      </w:r>
      <w:r>
        <w:rPr>
          <w:rFonts w:ascii="Calibri" w:hAnsi="Calibri"/>
          <w:color w:val="6B6B7A"/>
          <w:sz w:val="17"/>
        </w:rPr>
        <w:t xml:space="preserve">  February 2026</w:t>
      </w:r>
      <w:r>
        <w:rPr>
          <w:color w:val="6B6B7A"/>
          <w:sz w:val="16"/>
        </w:rPr>
        <w:t xml:space="preserve">    •    </w:t>
      </w:r>
      <w:r>
        <w:rPr>
          <w:rFonts w:ascii="Calibri" w:hAnsi="Calibri"/>
          <w:b/>
          <w:color w:val="3D3D3D"/>
          <w:sz w:val="17"/>
        </w:rPr>
        <w:t>Status</w:t>
      </w:r>
      <w:r>
        <w:rPr>
          <w:rFonts w:ascii="Calibri" w:hAnsi="Calibri"/>
          <w:color w:val="6B6B7A"/>
          <w:sz w:val="17"/>
        </w:rPr>
        <w:t xml:space="preserve">  Scoping</w:t>
      </w:r>
    </w:p>
    <w:p>
      <w:r>
        <w:rPr>
          <w:rFonts w:ascii="Calibri" w:hAnsi="Calibri"/>
          <w:b/>
          <w:color w:val="39594D"/>
          <w:sz w:val="14"/>
        </w:rPr>
        <w:t>SECTION 1</w:t>
      </w:r>
    </w:p>
    <w:p>
      <w:r>
        <w:rPr>
          <w:rFonts w:ascii="Georgia" w:hAnsi="Georgia"/>
          <w:b/>
          <w:color w:val="1A1A1A"/>
          <w:sz w:val="30"/>
        </w:rPr>
        <w:t>What is the question we want to answer?</w:t>
      </w:r>
    </w:p>
    <w:p>
      <w:pPr>
        <w:pBdr>
          <w:left w:val="single" w:sz="16" w:space="8" w:color="39594D"/>
        </w:pBdr>
        <w:shd w:fill="F4F7F5" w:val="clear"/>
      </w:pPr>
      <w:r>
        <w:rPr>
          <w:rFonts w:ascii="Georgia" w:hAnsi="Georgia"/>
          <w:i/>
          <w:color w:val="1A1A1A"/>
          <w:sz w:val="23"/>
        </w:rPr>
        <w:t>Can transformer-based multilingual language models be distilled into Mamba (selective state space) hybrid architectures while preserving multilingual capability, structured tool use, and cross-lingual reasoning — and does the compression degrade uniformly across language families?</w:t>
      </w:r>
    </w:p>
    <w:p>
      <w:r>
        <w:rPr>
          <w:rFonts w:ascii="Calibri" w:hAnsi="Calibri"/>
          <w:b/>
          <w:color w:val="39594D"/>
          <w:sz w:val="14"/>
        </w:rPr>
        <w:t>SECTION 2</w:t>
      </w:r>
    </w:p>
    <w:p>
      <w:r>
        <w:rPr>
          <w:rFonts w:ascii="Georgia" w:hAnsi="Georgia"/>
          <w:b/>
          <w:color w:val="1A1A1A"/>
          <w:sz w:val="30"/>
        </w:rPr>
        <w:t>Why is this question important?</w:t>
      </w:r>
    </w:p>
    <w:p>
      <w:pPr>
        <w:pStyle w:val="ListBullet"/>
      </w:pPr>
      <w:r>
        <w:rPr>
          <w:rFonts w:ascii="Calibri" w:hAnsi="Calibri"/>
          <w:b/>
          <w:color w:val="3D3D3D"/>
          <w:sz w:val="20"/>
        </w:rPr>
        <w:t>70%+ of the world’s internet users are non-English speakers,</w:t>
      </w:r>
      <w:r>
        <w:rPr>
          <w:rFonts w:ascii="Calibri" w:hAnsi="Calibri"/>
          <w:color w:val="3D3D3D"/>
          <w:sz w:val="20"/>
        </w:rPr>
        <w:t xml:space="preserve"> yet most efficient and edge-deployed models are English-centric.</w:t>
      </w:r>
    </w:p>
    <w:p>
      <w:pPr>
        <w:pStyle w:val="ListBullet"/>
      </w:pPr>
      <w:r>
        <w:rPr>
          <w:rFonts w:ascii="Calibri" w:hAnsi="Calibri"/>
          <w:b/>
          <w:color w:val="3D3D3D"/>
          <w:sz w:val="20"/>
        </w:rPr>
        <w:t>Transformers have O(n²) attention cost,</w:t>
      </w:r>
      <w:r>
        <w:rPr>
          <w:rFonts w:ascii="Calibri" w:hAnsi="Calibri"/>
          <w:color w:val="3D3D3D"/>
          <w:sz w:val="20"/>
        </w:rPr>
        <w:t xml:space="preserve"> making multilingual models impractical on consumer hardware.</w:t>
      </w:r>
    </w:p>
    <w:p>
      <w:pPr>
        <w:pStyle w:val="ListBullet"/>
      </w:pPr>
      <w:r>
        <w:rPr>
          <w:rFonts w:ascii="Calibri" w:hAnsi="Calibri"/>
          <w:b/>
          <w:color w:val="3D3D3D"/>
          <w:sz w:val="20"/>
        </w:rPr>
        <w:t>Mamba offers O(n) inference with constant memory,</w:t>
      </w:r>
      <w:r>
        <w:rPr>
          <w:rFonts w:ascii="Calibri" w:hAnsi="Calibri"/>
          <w:color w:val="3D3D3D"/>
          <w:sz w:val="20"/>
        </w:rPr>
        <w:t xml:space="preserve"> but no multilingual Mamba LLM exists yet.</w:t>
      </w:r>
    </w:p>
    <w:p>
      <w:pPr>
        <w:pStyle w:val="ListBullet"/>
      </w:pPr>
      <w:r>
        <w:rPr>
          <w:rFonts w:ascii="Calibri" w:hAnsi="Calibri"/>
          <w:b/>
          <w:color w:val="3D3D3D"/>
          <w:sz w:val="20"/>
        </w:rPr>
        <w:t>Understanding how compression affects different languages has equity implications</w:t>
      </w:r>
      <w:r>
        <w:rPr>
          <w:rFonts w:ascii="Calibri" w:hAnsi="Calibri"/>
          <w:color w:val="3D3D3D"/>
          <w:sz w:val="20"/>
        </w:rPr>
        <w:t xml:space="preserve"> — if low-resource languages degrade disproportionately, efficiency gains come at the cost of linguistic inclusion.</w:t>
      </w:r>
    </w:p>
    <w:p>
      <w:pPr>
        <w:pStyle w:val="ListBullet"/>
      </w:pPr>
      <w:r>
        <w:rPr>
          <w:rFonts w:ascii="Calibri" w:hAnsi="Calibri"/>
          <w:b/>
          <w:color w:val="3D3D3D"/>
          <w:sz w:val="20"/>
        </w:rPr>
        <w:t>Multilingual tool calling</w:t>
      </w:r>
      <w:r>
        <w:rPr>
          <w:rFonts w:ascii="Calibri" w:hAnsi="Calibri"/>
          <w:color w:val="3D3D3D"/>
          <w:sz w:val="20"/>
        </w:rPr>
        <w:t xml:space="preserve"> (function calling in non-English languages) is almost entirely unstudied.</w:t>
      </w:r>
    </w:p>
    <w:p/>
    <w:p>
      <w:r>
        <w:rPr>
          <w:rFonts w:ascii="Calibri" w:hAnsi="Calibri"/>
          <w:b/>
          <w:color w:val="39594D"/>
          <w:sz w:val="14"/>
        </w:rPr>
        <w:t>SECTION 3</w:t>
      </w:r>
    </w:p>
    <w:p>
      <w:r>
        <w:rPr>
          <w:rFonts w:ascii="Georgia" w:hAnsi="Georgia"/>
          <w:b/>
          <w:color w:val="1A1A1A"/>
          <w:sz w:val="30"/>
        </w:rPr>
        <w:t>What work does this build on?</w:t>
      </w:r>
    </w:p>
    <w:p>
      <w:r>
        <w:rPr>
          <w:rFonts w:ascii="Calibri" w:hAnsi="Calibri"/>
          <w:color w:val="3D3D3D"/>
          <w:sz w:val="20"/>
        </w:rPr>
        <w:t>Papers one should read to catch up on the relevant literature:</w:t>
      </w:r>
    </w:p>
    <w:p>
      <w:r>
        <w:rPr>
          <w:rFonts w:ascii="Calibri" w:hAnsi="Calibri"/>
          <w:b/>
          <w:color w:val="39594D"/>
          <w:sz w:val="18"/>
        </w:rPr>
        <w:t xml:space="preserve">  1.  </w:t>
      </w:r>
      <w:r>
        <w:rPr>
          <w:rFonts w:ascii="Calibri" w:hAnsi="Calibri"/>
          <w:i/>
          <w:color w:val="1A1A1A"/>
          <w:sz w:val="20"/>
        </w:rPr>
        <w:t>Mamba: Linear-Time Sequence Modeling with Selective State Spaces</w:t>
      </w:r>
      <w:r>
        <w:br/>
      </w:r>
      <w:r>
        <w:rPr>
          <w:rFonts w:ascii="Calibri" w:hAnsi="Calibri"/>
          <w:color w:val="6B6B7A"/>
          <w:sz w:val="18"/>
        </w:rPr>
        <w:t xml:space="preserve">       Gu &amp; Dao, 2023</w:t>
      </w:r>
      <w:r>
        <w:rPr>
          <w:rFonts w:ascii="Calibri" w:hAnsi="Calibri"/>
          <w:color w:val="6B6B7A"/>
          <w:sz w:val="18"/>
        </w:rPr>
        <w:t xml:space="preserve">  —  </w:t>
      </w:r>
      <w:r>
        <w:rPr>
          <w:rFonts w:ascii="Consolas" w:hAnsi="Consolas"/>
          <w:color w:val="39594D"/>
          <w:sz w:val="16"/>
        </w:rPr>
        <w:t>arxiv:2312.00752</w:t>
      </w:r>
    </w:p>
    <w:p>
      <w:r>
        <w:rPr>
          <w:rFonts w:ascii="Calibri" w:hAnsi="Calibri"/>
          <w:b/>
          <w:color w:val="39594D"/>
          <w:sz w:val="18"/>
        </w:rPr>
        <w:t xml:space="preserve">  2.  </w:t>
      </w:r>
      <w:r>
        <w:rPr>
          <w:rFonts w:ascii="Calibri" w:hAnsi="Calibri"/>
          <w:i/>
          <w:color w:val="1A1A1A"/>
          <w:sz w:val="20"/>
        </w:rPr>
        <w:t>Mamba-2: Transformers are SSMs — Generalized Models and Efficient Algorithms Through Structured State Space Duality</w:t>
      </w:r>
      <w:r>
        <w:br/>
      </w:r>
      <w:r>
        <w:rPr>
          <w:rFonts w:ascii="Calibri" w:hAnsi="Calibri"/>
          <w:color w:val="6B6B7A"/>
          <w:sz w:val="18"/>
        </w:rPr>
        <w:t xml:space="preserve">       Dao &amp; Gu, 2024</w:t>
      </w:r>
      <w:r>
        <w:rPr>
          <w:rFonts w:ascii="Calibri" w:hAnsi="Calibri"/>
          <w:color w:val="6B6B7A"/>
          <w:sz w:val="18"/>
        </w:rPr>
        <w:t xml:space="preserve">  —  </w:t>
      </w:r>
      <w:r>
        <w:rPr>
          <w:rFonts w:ascii="Consolas" w:hAnsi="Consolas"/>
          <w:color w:val="39594D"/>
          <w:sz w:val="16"/>
        </w:rPr>
        <w:t>arxiv:2405.21060</w:t>
      </w:r>
    </w:p>
    <w:p>
      <w:r>
        <w:rPr>
          <w:rFonts w:ascii="Calibri" w:hAnsi="Calibri"/>
          <w:b/>
          <w:color w:val="39594D"/>
          <w:sz w:val="18"/>
        </w:rPr>
        <w:t xml:space="preserve">  3.  </w:t>
      </w:r>
      <w:r>
        <w:rPr>
          <w:rFonts w:ascii="Calibri" w:hAnsi="Calibri"/>
          <w:i/>
          <w:color w:val="1A1A1A"/>
          <w:sz w:val="20"/>
        </w:rPr>
        <w:t>The Mamba in the Llama: Distilling and Accelerating Hybrid Models</w:t>
      </w:r>
      <w:r>
        <w:br/>
      </w:r>
      <w:r>
        <w:rPr>
          <w:rFonts w:ascii="Calibri" w:hAnsi="Calibri"/>
          <w:color w:val="6B6B7A"/>
          <w:sz w:val="18"/>
        </w:rPr>
        <w:t xml:space="preserve">       NeurIPS 2024</w:t>
      </w:r>
      <w:r>
        <w:rPr>
          <w:rFonts w:ascii="Calibri" w:hAnsi="Calibri"/>
          <w:color w:val="6B6B7A"/>
          <w:sz w:val="18"/>
        </w:rPr>
        <w:t xml:space="preserve">  —  </w:t>
      </w:r>
      <w:r>
        <w:rPr>
          <w:rFonts w:ascii="Consolas" w:hAnsi="Consolas"/>
          <w:color w:val="39594D"/>
          <w:sz w:val="16"/>
        </w:rPr>
        <w:t>github.com/jxiw/MambaInLlama</w:t>
      </w:r>
    </w:p>
    <w:p>
      <w:r>
        <w:rPr>
          <w:rFonts w:ascii="Calibri" w:hAnsi="Calibri"/>
          <w:b/>
          <w:color w:val="39594D"/>
          <w:sz w:val="18"/>
        </w:rPr>
        <w:t xml:space="preserve">  4.  </w:t>
      </w:r>
      <w:r>
        <w:rPr>
          <w:rFonts w:ascii="Calibri" w:hAnsi="Calibri"/>
          <w:i/>
          <w:color w:val="1A1A1A"/>
          <w:sz w:val="20"/>
        </w:rPr>
        <w:t>CAB: Cross-Architecture Distillation via Attention Bridge</w:t>
      </w:r>
      <w:r>
        <w:br/>
      </w:r>
      <w:r>
        <w:rPr>
          <w:rFonts w:ascii="Calibri" w:hAnsi="Calibri"/>
          <w:color w:val="6B6B7A"/>
          <w:sz w:val="18"/>
        </w:rPr>
        <w:t xml:space="preserve">       2025</w:t>
      </w:r>
      <w:r>
        <w:rPr>
          <w:rFonts w:ascii="Calibri" w:hAnsi="Calibri"/>
          <w:color w:val="6B6B7A"/>
          <w:sz w:val="18"/>
        </w:rPr>
        <w:t xml:space="preserve">  —  </w:t>
      </w:r>
      <w:r>
        <w:rPr>
          <w:rFonts w:ascii="Consolas" w:hAnsi="Consolas"/>
          <w:color w:val="39594D"/>
          <w:sz w:val="16"/>
        </w:rPr>
        <w:t>arxiv:2510.19266</w:t>
      </w:r>
    </w:p>
    <w:p>
      <w:r>
        <w:rPr>
          <w:rFonts w:ascii="Calibri" w:hAnsi="Calibri"/>
          <w:b/>
          <w:color w:val="39594D"/>
          <w:sz w:val="18"/>
        </w:rPr>
        <w:t xml:space="preserve">  5.  </w:t>
      </w:r>
      <w:r>
        <w:rPr>
          <w:rFonts w:ascii="Calibri" w:hAnsi="Calibri"/>
          <w:i/>
          <w:color w:val="1A1A1A"/>
          <w:sz w:val="20"/>
        </w:rPr>
        <w:t>Tiny Aya Tech Report</w:t>
      </w:r>
      <w:r>
        <w:br/>
      </w:r>
      <w:r>
        <w:rPr>
          <w:rFonts w:ascii="Calibri" w:hAnsi="Calibri"/>
          <w:color w:val="6B6B7A"/>
          <w:sz w:val="18"/>
        </w:rPr>
        <w:t xml:space="preserve">       Cohere Labs, 2026</w:t>
      </w:r>
      <w:r>
        <w:rPr>
          <w:rFonts w:ascii="Calibri" w:hAnsi="Calibri"/>
          <w:color w:val="6B6B7A"/>
          <w:sz w:val="18"/>
        </w:rPr>
        <w:t xml:space="preserve">  —  </w:t>
      </w:r>
      <w:r>
        <w:rPr>
          <w:rFonts w:ascii="Consolas" w:hAnsi="Consolas"/>
          <w:color w:val="39594D"/>
          <w:sz w:val="16"/>
        </w:rPr>
        <w:t>github.com/Cohere-Labs/tiny-aya-tech-report</w:t>
      </w:r>
    </w:p>
    <w:p>
      <w:r>
        <w:rPr>
          <w:rFonts w:ascii="Calibri" w:hAnsi="Calibri"/>
          <w:b/>
          <w:color w:val="39594D"/>
          <w:sz w:val="18"/>
        </w:rPr>
        <w:t xml:space="preserve">  6.  </w:t>
      </w:r>
      <w:r>
        <w:rPr>
          <w:rFonts w:ascii="Calibri" w:hAnsi="Calibri"/>
          <w:i/>
          <w:color w:val="1A1A1A"/>
          <w:sz w:val="20"/>
        </w:rPr>
        <w:t>Aya Model: An Instruction Finetuned Open-Access Multilingual Language Model</w:t>
      </w:r>
      <w:r>
        <w:br/>
      </w:r>
      <w:r>
        <w:rPr>
          <w:rFonts w:ascii="Calibri" w:hAnsi="Calibri"/>
          <w:color w:val="6B6B7A"/>
          <w:sz w:val="18"/>
        </w:rPr>
        <w:t xml:space="preserve">       Üstün et al., 2024</w:t>
      </w:r>
      <w:r>
        <w:rPr>
          <w:rFonts w:ascii="Calibri" w:hAnsi="Calibri"/>
          <w:color w:val="6B6B7A"/>
          <w:sz w:val="18"/>
        </w:rPr>
        <w:t xml:space="preserve">  —  </w:t>
      </w:r>
      <w:r>
        <w:rPr>
          <w:rFonts w:ascii="Consolas" w:hAnsi="Consolas"/>
          <w:color w:val="39594D"/>
          <w:sz w:val="16"/>
        </w:rPr>
        <w:t>arxiv:2402.07827</w:t>
      </w:r>
    </w:p>
    <w:p>
      <w:r>
        <w:rPr>
          <w:rFonts w:ascii="Calibri" w:hAnsi="Calibri"/>
          <w:b/>
          <w:color w:val="39594D"/>
          <w:sz w:val="18"/>
        </w:rPr>
        <w:t xml:space="preserve">  7.  </w:t>
      </w:r>
      <w:r>
        <w:rPr>
          <w:rFonts w:ascii="Calibri" w:hAnsi="Calibri"/>
          <w:i/>
          <w:color w:val="1A1A1A"/>
          <w:sz w:val="20"/>
        </w:rPr>
        <w:t>Aya Expanse</w:t>
      </w:r>
      <w:r>
        <w:br/>
      </w:r>
      <w:r>
        <w:rPr>
          <w:rFonts w:ascii="Calibri" w:hAnsi="Calibri"/>
          <w:color w:val="6B6B7A"/>
          <w:sz w:val="18"/>
        </w:rPr>
        <w:t xml:space="preserve">       Dang et al., 2024</w:t>
      </w:r>
      <w:r>
        <w:rPr>
          <w:rFonts w:ascii="Calibri" w:hAnsi="Calibri"/>
          <w:color w:val="6B6B7A"/>
          <w:sz w:val="18"/>
        </w:rPr>
        <w:t xml:space="preserve">  —  </w:t>
      </w:r>
      <w:r>
        <w:rPr>
          <w:rFonts w:ascii="Consolas" w:hAnsi="Consolas"/>
          <w:color w:val="39594D"/>
          <w:sz w:val="16"/>
        </w:rPr>
        <w:t>arxiv:2412.04261</w:t>
      </w:r>
    </w:p>
    <w:p>
      <w:r>
        <w:rPr>
          <w:rFonts w:ascii="Calibri" w:hAnsi="Calibri"/>
          <w:b/>
          <w:color w:val="39594D"/>
          <w:sz w:val="18"/>
        </w:rPr>
        <w:t xml:space="preserve">  8.  </w:t>
      </w:r>
      <w:r>
        <w:rPr>
          <w:rFonts w:ascii="Calibri" w:hAnsi="Calibri"/>
          <w:i/>
          <w:color w:val="1A1A1A"/>
          <w:sz w:val="20"/>
        </w:rPr>
        <w:t>FalconMamba: The First Competitive Attention-free 7B Language Model</w:t>
      </w:r>
      <w:r>
        <w:br/>
      </w:r>
      <w:r>
        <w:rPr>
          <w:rFonts w:ascii="Calibri" w:hAnsi="Calibri"/>
          <w:color w:val="6B6B7A"/>
          <w:sz w:val="18"/>
        </w:rPr>
        <w:t xml:space="preserve">       Technology Innovation Institute, 2024</w:t>
      </w:r>
      <w:r>
        <w:rPr>
          <w:rFonts w:ascii="Calibri" w:hAnsi="Calibri"/>
          <w:color w:val="6B6B7A"/>
          <w:sz w:val="18"/>
        </w:rPr>
        <w:t xml:space="preserve">  —  </w:t>
      </w:r>
      <w:r>
        <w:rPr>
          <w:rFonts w:ascii="Consolas" w:hAnsi="Consolas"/>
          <w:color w:val="39594D"/>
          <w:sz w:val="16"/>
        </w:rPr>
        <w:t>arxiv:2410.05355</w:t>
      </w:r>
    </w:p>
    <w:p>
      <w:r>
        <w:rPr>
          <w:rFonts w:ascii="Calibri" w:hAnsi="Calibri"/>
          <w:b/>
          <w:color w:val="39594D"/>
          <w:sz w:val="18"/>
        </w:rPr>
        <w:t xml:space="preserve">  9.  </w:t>
      </w:r>
      <w:r>
        <w:rPr>
          <w:rFonts w:ascii="Calibri" w:hAnsi="Calibri"/>
          <w:i/>
          <w:color w:val="1A1A1A"/>
          <w:sz w:val="20"/>
        </w:rPr>
        <w:t>Multilingual State Space Models for Structured QA in Indic Languages</w:t>
      </w:r>
      <w:r>
        <w:br/>
      </w:r>
      <w:r>
        <w:rPr>
          <w:rFonts w:ascii="Calibri" w:hAnsi="Calibri"/>
          <w:color w:val="6B6B7A"/>
          <w:sz w:val="18"/>
        </w:rPr>
        <w:t xml:space="preserve">       2025</w:t>
      </w:r>
      <w:r>
        <w:rPr>
          <w:rFonts w:ascii="Calibri" w:hAnsi="Calibri"/>
          <w:color w:val="6B6B7A"/>
          <w:sz w:val="18"/>
        </w:rPr>
        <w:t xml:space="preserve">  —  </w:t>
      </w:r>
      <w:r>
        <w:rPr>
          <w:rFonts w:ascii="Consolas" w:hAnsi="Consolas"/>
          <w:color w:val="39594D"/>
          <w:sz w:val="16"/>
        </w:rPr>
        <w:t>arxiv:2502.01673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Bdr>
                <w:bottom w:val="single" w:sz="8" w:space="1" w:color="39594D"/>
              </w:pBdr>
            </w:pPr>
            <w:r/>
          </w:p>
        </w:tc>
        <w:tc>
          <w:tcPr>
            <w:tcW w:type="dxa" w:w="43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Bdr>
                <w:bottom w:val="single" w:sz="8" w:space="1" w:color="5B6ABF"/>
              </w:pBdr>
            </w:pPr>
            <w:r/>
          </w:p>
        </w:tc>
      </w:tr>
    </w:tbl>
    <w:p/>
    <w:p>
      <w:r>
        <w:rPr>
          <w:rFonts w:ascii="Calibri" w:hAnsi="Calibri"/>
          <w:b/>
          <w:color w:val="39594D"/>
          <w:sz w:val="14"/>
        </w:rPr>
        <w:t>SECTION 4</w:t>
      </w:r>
    </w:p>
    <w:p>
      <w:r>
        <w:rPr>
          <w:rFonts w:ascii="Georgia" w:hAnsi="Georgia"/>
          <w:b/>
          <w:color w:val="1A1A1A"/>
          <w:sz w:val="30"/>
        </w:rPr>
        <w:t>Is this a publishable question?</w:t>
      </w:r>
    </w:p>
    <w:p>
      <w:pPr>
        <w:shd w:fill="E8F0EC" w:val="clear"/>
      </w:pPr>
      <w:r>
        <w:rPr>
          <w:rFonts w:ascii="Calibri" w:hAnsi="Calibri"/>
          <w:b/>
          <w:color w:val="39594D"/>
          <w:sz w:val="15"/>
        </w:rPr>
        <w:t xml:space="preserve"> HIGHLY PUBLISHABLE — NOVEL INTERSECTION </w:t>
      </w:r>
    </w:p>
    <w:p>
      <w:r>
        <w:rPr>
          <w:rFonts w:ascii="Calibri" w:hAnsi="Calibri"/>
          <w:color w:val="3D3D3D"/>
          <w:sz w:val="20"/>
        </w:rPr>
        <w:t>The intersection of multilingual NLP and state space model distillation is unexplored. This question has not been published on before, and findings can be shared externally:</w:t>
      </w:r>
    </w:p>
    <w:p>
      <w:pPr>
        <w:pStyle w:val="ListBullet"/>
      </w:pPr>
      <w:r>
        <w:rPr>
          <w:rFonts w:ascii="Calibri" w:hAnsi="Calibri"/>
          <w:color w:val="3D3D3D"/>
          <w:sz w:val="20"/>
        </w:rPr>
        <w:t>No multilingual Mamba LLM has been published.</w:t>
      </w:r>
    </w:p>
    <w:p>
      <w:pPr>
        <w:pStyle w:val="ListBullet"/>
      </w:pPr>
      <w:r>
        <w:rPr>
          <w:rFonts w:ascii="Calibri" w:hAnsi="Calibri"/>
          <w:color w:val="3D3D3D"/>
          <w:sz w:val="20"/>
        </w:rPr>
        <w:t>Cross-lingual reasoning degradation under architecture distillation has not been studied.</w:t>
      </w:r>
    </w:p>
    <w:p>
      <w:pPr>
        <w:pStyle w:val="ListBullet"/>
      </w:pPr>
      <w:r>
        <w:rPr>
          <w:rFonts w:ascii="Calibri" w:hAnsi="Calibri"/>
          <w:color w:val="3D3D3D"/>
          <w:sz w:val="20"/>
        </w:rPr>
        <w:t>Multilingual tool calling benchmarks barely exist.</w:t>
      </w:r>
    </w:p>
    <w:p>
      <w:pPr>
        <w:pStyle w:val="ListBullet"/>
      </w:pPr>
      <w:r>
        <w:rPr>
          <w:rFonts w:ascii="Calibri" w:hAnsi="Calibri"/>
          <w:color w:val="3D3D3D"/>
          <w:sz w:val="20"/>
        </w:rPr>
        <w:t>The question of whether compression is equitable across language families is novel and timely (AI equity angle).</w:t>
      </w:r>
    </w:p>
    <w:p>
      <w:r>
        <w:rPr>
          <w:rFonts w:ascii="Calibri" w:hAnsi="Calibri"/>
          <w:b/>
          <w:color w:val="3D3D3D"/>
          <w:sz w:val="20"/>
        </w:rPr>
        <w:t xml:space="preserve">Target venues:  </w:t>
      </w:r>
      <w:r>
        <w:rPr>
          <w:rFonts w:ascii="Consolas" w:hAnsi="Consolas"/>
          <w:color w:val="5B6ABF"/>
          <w:sz w:val="16"/>
        </w:rPr>
        <w:t xml:space="preserve">  EMNLP  </w:t>
      </w:r>
      <w:r>
        <w:rPr>
          <w:rFonts w:ascii="Consolas" w:hAnsi="Consolas"/>
          <w:color w:val="5B6ABF"/>
          <w:sz w:val="16"/>
        </w:rPr>
        <w:t xml:space="preserve">  ACL  </w:t>
      </w:r>
      <w:r>
        <w:rPr>
          <w:rFonts w:ascii="Consolas" w:hAnsi="Consolas"/>
          <w:color w:val="5B6ABF"/>
          <w:sz w:val="16"/>
        </w:rPr>
        <w:t xml:space="preserve">  NeurIPS  </w:t>
      </w:r>
      <w:r>
        <w:rPr>
          <w:rFonts w:ascii="Consolas" w:hAnsi="Consolas"/>
          <w:color w:val="5B6ABF"/>
          <w:sz w:val="16"/>
        </w:rPr>
        <w:t xml:space="preserve">  EACL  </w:t>
      </w:r>
    </w:p>
    <w:p>
      <w:r>
        <w:rPr>
          <w:rFonts w:ascii="Calibri" w:hAnsi="Calibri"/>
          <w:b/>
          <w:color w:val="39594D"/>
          <w:sz w:val="14"/>
        </w:rPr>
        <w:t>SECTION 5</w:t>
      </w:r>
    </w:p>
    <w:p>
      <w:r>
        <w:rPr>
          <w:rFonts w:ascii="Georgia" w:hAnsi="Georgia"/>
          <w:b/>
          <w:color w:val="1A1A1A"/>
          <w:sz w:val="30"/>
        </w:rPr>
        <w:t>What is the simplest experimental setting?</w:t>
      </w:r>
    </w:p>
    <w:p>
      <w:r>
        <w:rPr>
          <w:rFonts w:ascii="Calibri" w:hAnsi="Calibri"/>
          <w:color w:val="3D3D3D"/>
          <w:sz w:val="20"/>
        </w:rPr>
        <w:t xml:space="preserve">Take </w:t>
      </w:r>
      <w:r>
        <w:rPr>
          <w:rFonts w:ascii="Calibri" w:hAnsi="Calibri"/>
          <w:b/>
          <w:color w:val="3D3D3D"/>
          <w:sz w:val="20"/>
        </w:rPr>
        <w:t>Tiny Aya base</w:t>
      </w:r>
      <w:r>
        <w:rPr>
          <w:rFonts w:ascii="Calibri" w:hAnsi="Calibri"/>
          <w:color w:val="3D3D3D"/>
          <w:sz w:val="20"/>
        </w:rPr>
        <w:t xml:space="preserve"> (3.35B params, 70+ languages) as the teacher. Distill into a </w:t>
      </w:r>
      <w:r>
        <w:rPr>
          <w:rFonts w:ascii="Calibri" w:hAnsi="Calibri"/>
          <w:b/>
          <w:color w:val="3D3D3D"/>
          <w:sz w:val="20"/>
        </w:rPr>
        <w:t>~500–800M Mamba-MoE hybrid student</w:t>
      </w:r>
      <w:r>
        <w:rPr>
          <w:rFonts w:ascii="Calibri" w:hAnsi="Calibri"/>
          <w:color w:val="3D3D3D"/>
          <w:sz w:val="20"/>
        </w:rPr>
        <w:t xml:space="preserve"> using the MambaInLlama 3-stage pipeline:</w:t>
      </w:r>
    </w:p>
    <w:p>
      <w:pPr>
        <w:pStyle w:val="ListNumber"/>
      </w:pPr>
      <w:r>
        <w:rPr>
          <w:rFonts w:ascii="Calibri" w:hAnsi="Calibri"/>
          <w:b/>
          <w:color w:val="3D3D3D"/>
          <w:sz w:val="20"/>
        </w:rPr>
        <w:t>Layer alignment</w:t>
      </w:r>
      <w:r>
        <w:rPr>
          <w:rFonts w:ascii="Calibri" w:hAnsi="Calibri"/>
          <w:color w:val="3D3D3D"/>
          <w:sz w:val="20"/>
        </w:rPr>
        <w:t xml:space="preserve"> — map transformer attention layers to Mamba SSM blocks</w:t>
      </w:r>
    </w:p>
    <w:p>
      <w:pPr>
        <w:pStyle w:val="ListNumber"/>
      </w:pPr>
      <w:r>
        <w:rPr>
          <w:rFonts w:ascii="Calibri" w:hAnsi="Calibri"/>
          <w:b/>
          <w:color w:val="3D3D3D"/>
          <w:sz w:val="20"/>
        </w:rPr>
        <w:t>KL distillation</w:t>
      </w:r>
      <w:r>
        <w:rPr>
          <w:rFonts w:ascii="Calibri" w:hAnsi="Calibri"/>
          <w:color w:val="3D3D3D"/>
          <w:sz w:val="20"/>
        </w:rPr>
        <w:t xml:space="preserve"> — train student against teacher soft targets</w:t>
      </w:r>
    </w:p>
    <w:p>
      <w:pPr>
        <w:pStyle w:val="ListNumber"/>
      </w:pPr>
      <w:r>
        <w:rPr>
          <w:rFonts w:ascii="Calibri" w:hAnsi="Calibri"/>
          <w:b/>
          <w:color w:val="3D3D3D"/>
          <w:sz w:val="20"/>
        </w:rPr>
        <w:t>Supervised fine-tuning</w:t>
      </w:r>
      <w:r>
        <w:rPr>
          <w:rFonts w:ascii="Calibri" w:hAnsi="Calibri"/>
          <w:color w:val="3D3D3D"/>
          <w:sz w:val="20"/>
        </w:rPr>
        <w:t xml:space="preserve"> — restore multilingual + tool calling capability</w:t>
      </w:r>
    </w:p>
    <w:p>
      <w:r>
        <w:rPr>
          <w:rFonts w:ascii="Calibri" w:hAnsi="Calibri"/>
          <w:color w:val="3D3D3D"/>
          <w:sz w:val="20"/>
        </w:rPr>
        <w:t xml:space="preserve">Evaluate on </w:t>
      </w:r>
      <w:r>
        <w:rPr>
          <w:rFonts w:ascii="Calibri" w:hAnsi="Calibri"/>
          <w:b/>
          <w:color w:val="3D3D3D"/>
          <w:sz w:val="20"/>
        </w:rPr>
        <w:t>3 benchmarks</w:t>
      </w:r>
      <w:r>
        <w:rPr>
          <w:rFonts w:ascii="Calibri" w:hAnsi="Calibri"/>
          <w:color w:val="3D3D3D"/>
          <w:sz w:val="20"/>
        </w:rPr>
        <w:t xml:space="preserve"> across </w:t>
      </w:r>
      <w:r>
        <w:rPr>
          <w:rFonts w:ascii="Calibri" w:hAnsi="Calibri"/>
          <w:b/>
          <w:color w:val="3D3D3D"/>
          <w:sz w:val="20"/>
        </w:rPr>
        <w:t>10 diverse languages</w:t>
      </w:r>
      <w:r>
        <w:rPr>
          <w:rFonts w:ascii="Calibri" w:hAnsi="Calibri"/>
          <w:color w:val="3D3D3D"/>
          <w:sz w:val="20"/>
        </w:rPr>
        <w:t xml:space="preserve"> spanning </w:t>
      </w:r>
      <w:r>
        <w:rPr>
          <w:rFonts w:ascii="Calibri" w:hAnsi="Calibri"/>
          <w:b/>
          <w:color w:val="3D3D3D"/>
          <w:sz w:val="20"/>
        </w:rPr>
        <w:t>5 language families.</w:t>
      </w:r>
      <w:r>
        <w:rPr>
          <w:rFonts w:ascii="Calibri" w:hAnsi="Calibri"/>
          <w:color w:val="3D3D3D"/>
          <w:sz w:val="20"/>
        </w:rPr>
        <w:t xml:space="preserve"> Measure: perplexity retention, reasoning accuracy, tool call success rate, and CPU inference throughput.</w:t>
      </w:r>
    </w:p>
    <w:p>
      <w:r>
        <w:rPr>
          <w:rFonts w:ascii="Calibri" w:hAnsi="Calibri"/>
          <w:b/>
          <w:color w:val="39594D"/>
          <w:sz w:val="14"/>
        </w:rPr>
        <w:t>SECTION 6</w:t>
      </w:r>
    </w:p>
    <w:p>
      <w:r>
        <w:rPr>
          <w:rFonts w:ascii="Georgia" w:hAnsi="Georgia"/>
          <w:b/>
          <w:color w:val="1A1A1A"/>
          <w:sz w:val="30"/>
        </w:rPr>
        <w:t>Key baselines and benchmarks?</w:t>
      </w:r>
    </w:p>
    <w:p>
      <w:r>
        <w:rPr>
          <w:rFonts w:ascii="Georgia" w:hAnsi="Georgia"/>
          <w:b/>
          <w:color w:val="1A1A1A"/>
          <w:sz w:val="24"/>
        </w:rPr>
        <w:t>Baselines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MODEL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ROLE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DETAILS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Tiny Aya (3.35B)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Teacher / upper bound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Full transformer, 70+ languages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Tiny Aya GGUF 4-bit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Compressed transformer baseline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Quantized, same architecture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Mamba-2 2.8B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English-only Mamba baseline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state-spaces reference model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Random / majority class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Lower bound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—</w:t>
            </w:r>
          </w:p>
        </w:tc>
      </w:tr>
    </w:tbl>
    <w:p/>
    <w:p>
      <w:r>
        <w:rPr>
          <w:rFonts w:ascii="Georgia" w:hAnsi="Georgia"/>
          <w:b/>
          <w:color w:val="1A1A1A"/>
          <w:sz w:val="24"/>
        </w:rPr>
        <w:t>Benchmarks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BENCHMARK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SCOPE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WHAT IT MEASURES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mGSM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10 languages, 250 problems each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Multilingual grade school math reasoning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XCOPA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11 languages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Cross-lingual commonsense reasoning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Custom tool calling eval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10+ languages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JSON parse rate, tool selection, argument correctness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CPU throughput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Hardware benchmark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Tokens/sec, memory footprint, time-to-first-token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Bdr>
                <w:bottom w:val="single" w:sz="8" w:space="1" w:color="39594D"/>
              </w:pBdr>
            </w:pPr>
            <w:r/>
          </w:p>
        </w:tc>
        <w:tc>
          <w:tcPr>
            <w:tcW w:type="dxa" w:w="43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Bdr>
                <w:bottom w:val="single" w:sz="8" w:space="1" w:color="5B6ABF"/>
              </w:pBdr>
            </w:pPr>
            <w:r/>
          </w:p>
        </w:tc>
      </w:tr>
    </w:tbl>
    <w:p/>
    <w:p>
      <w:r>
        <w:rPr>
          <w:rFonts w:ascii="Calibri" w:hAnsi="Calibri"/>
          <w:b/>
          <w:color w:val="39594D"/>
          <w:sz w:val="14"/>
        </w:rPr>
        <w:t>SECTION 7</w:t>
      </w:r>
    </w:p>
    <w:p>
      <w:r>
        <w:rPr>
          <w:rFonts w:ascii="Georgia" w:hAnsi="Georgia"/>
          <w:b/>
          <w:color w:val="1A1A1A"/>
          <w:sz w:val="30"/>
        </w:rPr>
        <w:t>What resources do we plan to use?</w:t>
      </w:r>
    </w:p>
    <w:p>
      <w:r>
        <w:rPr>
          <w:rFonts w:ascii="Georgia" w:hAnsi="Georgia"/>
          <w:b/>
          <w:color w:val="1A1A1A"/>
          <w:sz w:val="24"/>
        </w:rPr>
        <w:t>Datasets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PURPOSE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DATASET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ACCESS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Teacher pretraining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CulturaX, mC4, multilingual instruction data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Via pretrained model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Distillation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mC4 multilingual subset, Aya Collection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Open (HuggingFace)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Tool calling SFT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Self-generated multilingual tool call examples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10 langs × 500–1,000 examples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Evaluation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mGSM (Google), XCOPA (Ponti et al.)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Open</w:t>
            </w:r>
          </w:p>
        </w:tc>
      </w:tr>
    </w:tbl>
    <w:p/>
    <w:p>
      <w:r>
        <w:rPr>
          <w:rFonts w:ascii="Georgia" w:hAnsi="Georgia"/>
          <w:b/>
          <w:color w:val="1A1A1A"/>
          <w:sz w:val="24"/>
        </w:rPr>
        <w:t>Models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ROLE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MODEL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PARAMETERS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Teacher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CohereLabs/tiny-aya-base + tiny-aya-global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3.35B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Student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Custom Mamba-MoE hybrid (Aetheris architecture)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~500–800M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Comparison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Mamba-2 2.8B, FalconMamba-7B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2.8B / 7B</w:t>
            </w:r>
          </w:p>
        </w:tc>
      </w:tr>
    </w:tbl>
    <w:p/>
    <w:p>
      <w:r>
        <w:rPr>
          <w:rFonts w:ascii="Georgia" w:hAnsi="Georgia"/>
          <w:b/>
          <w:color w:val="1A1A1A"/>
          <w:sz w:val="24"/>
        </w:rPr>
        <w:t>Evaluation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METRIC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GRANULARITY</w:t>
            </w:r>
          </w:p>
        </w:tc>
        <w:tc>
          <w:tcPr>
            <w:tcW w:type="dxa" w:w="2928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CATEGORY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Perplexity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Per-language, held-out mC4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Quality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mGSM accuracy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Per-language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Reasoning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XCOPA accuracy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Per-language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Reasoning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Tool call JSON parse success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Per-language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Tool use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Tool selection accuracy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Per-language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Tool use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Inference throughput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Tokens/sec on consumer CPU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Efficiency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Memory footprint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Peak RAM during inference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Efficiency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Compression ratio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Params, disk size, RAM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Efficiency</w:t>
            </w:r>
          </w:p>
        </w:tc>
      </w:tr>
      <w:tr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Degradation equity score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Variance of accuracy drop across language families</w:t>
            </w:r>
          </w:p>
        </w:tc>
        <w:tc>
          <w:tcPr>
            <w:tcW w:type="dxa" w:w="2928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Equity</w:t>
            </w:r>
          </w:p>
        </w:tc>
      </w:tr>
    </w:tbl>
    <w:p/>
    <w:p>
      <w:r>
        <w:rPr>
          <w:rFonts w:ascii="Georgia" w:hAnsi="Georgia"/>
          <w:b/>
          <w:color w:val="1A1A1A"/>
          <w:sz w:val="24"/>
        </w:rPr>
        <w:t>Annotation Resources</w:t>
      </w:r>
    </w:p>
    <w:p>
      <w:pPr>
        <w:pStyle w:val="ListBullet"/>
      </w:pPr>
      <w:r>
        <w:rPr>
          <w:rFonts w:ascii="Calibri" w:hAnsi="Calibri"/>
          <w:b/>
          <w:color w:val="3D3D3D"/>
          <w:sz w:val="20"/>
        </w:rPr>
        <w:t>No human annotation required</w:t>
      </w:r>
      <w:r>
        <w:rPr>
          <w:rFonts w:ascii="Calibri" w:hAnsi="Calibri"/>
          <w:color w:val="3D3D3D"/>
          <w:sz w:val="20"/>
        </w:rPr>
        <w:t xml:space="preserve"> for core experiments.</w:t>
      </w:r>
    </w:p>
    <w:p>
      <w:pPr>
        <w:pStyle w:val="ListBullet"/>
      </w:pPr>
      <w:r>
        <w:rPr>
          <w:rFonts w:ascii="Calibri" w:hAnsi="Calibri"/>
          <w:b/>
          <w:color w:val="3D3D3D"/>
          <w:sz w:val="20"/>
        </w:rPr>
        <w:t>Tool call SFT data:</w:t>
      </w:r>
      <w:r>
        <w:rPr>
          <w:rFonts w:ascii="Calibri" w:hAnsi="Calibri"/>
          <w:color w:val="3D3D3D"/>
          <w:sz w:val="20"/>
        </w:rPr>
        <w:t xml:space="preserve"> machine-generated using Tiny Aya as teacher, validated programmatically via JSON schema validation.</w:t>
      </w:r>
    </w:p>
    <w:p>
      <w:pPr>
        <w:pStyle w:val="ListBullet"/>
      </w:pPr>
      <w:r>
        <w:rPr>
          <w:rFonts w:ascii="Calibri" w:hAnsi="Calibri"/>
          <w:b/>
          <w:color w:val="3D3D3D"/>
          <w:sz w:val="20"/>
        </w:rPr>
        <w:t>Optional:</w:t>
      </w:r>
      <w:r>
        <w:rPr>
          <w:rFonts w:ascii="Calibri" w:hAnsi="Calibri"/>
          <w:color w:val="3D3D3D"/>
          <w:sz w:val="20"/>
        </w:rPr>
        <w:t xml:space="preserve"> human evaluation of tool call quality in 3–5 languages, if time permits.</w:t>
      </w:r>
    </w:p>
    <w:p/>
    <w:p>
      <w:r>
        <w:rPr>
          <w:rFonts w:ascii="Georgia" w:hAnsi="Georgia"/>
          <w:b/>
          <w:color w:val="1A1A1A"/>
          <w:sz w:val="24"/>
        </w:rPr>
        <w:t>Other Resources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RESOURCE</w:t>
            </w:r>
          </w:p>
        </w:tc>
        <w:tc>
          <w:tcPr>
            <w:tcW w:type="dxa" w:w="4392"/>
            <w:tcBorders>
              <w:bottom w:val="single" w:sz="8" w:space="0" w:color="1A1A1A"/>
            </w:tcBorders>
          </w:tcPr>
          <w:p>
            <w:r/>
            <w:r>
              <w:rPr>
                <w:rFonts w:ascii="Calibri" w:hAnsi="Calibri"/>
                <w:b/>
                <w:color w:val="6B6B7A"/>
                <w:sz w:val="15"/>
              </w:rPr>
              <w:t>DETAILS</w:t>
            </w:r>
          </w:p>
        </w:tc>
      </w:tr>
      <w:tr>
        <w:tc>
          <w:tcPr>
            <w:tcW w:type="dxa" w:w="4392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Compute</w:t>
            </w:r>
          </w:p>
        </w:tc>
        <w:tc>
          <w:tcPr>
            <w:tcW w:type="dxa" w:w="4392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1× A100 80GB (Runpod, ~$1.49/hr) for distillation training</w:t>
            </w:r>
          </w:p>
        </w:tc>
      </w:tr>
      <w:tr>
        <w:tc>
          <w:tcPr>
            <w:tcW w:type="dxa" w:w="4392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Aetheris codebase</w:t>
            </w:r>
          </w:p>
        </w:tc>
        <w:tc>
          <w:tcPr>
            <w:tcW w:type="dxa" w:w="4392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Existing Mamba-MoE: selective scan, MoE routing, streaming dataset, trainer</w:t>
            </w:r>
          </w:p>
        </w:tc>
      </w:tr>
      <w:tr>
        <w:tc>
          <w:tcPr>
            <w:tcW w:type="dxa" w:w="4392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llama.cpp</w:t>
            </w:r>
          </w:p>
        </w:tc>
        <w:tc>
          <w:tcPr>
            <w:tcW w:type="dxa" w:w="4392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Mamba-1/2 GGUF support for CPU inference benchmarking</w:t>
            </w:r>
          </w:p>
        </w:tc>
      </w:tr>
      <w:tr>
        <w:tc>
          <w:tcPr>
            <w:tcW w:type="dxa" w:w="4392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b/>
                <w:color w:val="3D3D3D"/>
                <w:sz w:val="18"/>
              </w:rPr>
              <w:t>outlines</w:t>
            </w:r>
          </w:p>
        </w:tc>
        <w:tc>
          <w:tcPr>
            <w:tcW w:type="dxa" w:w="4392"/>
            <w:tcBorders>
              <w:bottom w:val="single" w:sz="2" w:space="0" w:color="EDEEED"/>
            </w:tcBorders>
          </w:tcPr>
          <w:p>
            <w:r/>
            <w:r>
              <w:rPr>
                <w:rFonts w:ascii="Calibri" w:hAnsi="Calibri"/>
                <w:color w:val="3D3D3D"/>
                <w:sz w:val="18"/>
              </w:rPr>
              <w:t>Constrained JSON generation for tool calling evaluation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Bdr>
                <w:bottom w:val="single" w:sz="8" w:space="1" w:color="39594D"/>
              </w:pBdr>
            </w:pPr>
            <w:r/>
          </w:p>
        </w:tc>
        <w:tc>
          <w:tcPr>
            <w:tcW w:type="dxa" w:w="43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Bdr>
                <w:bottom w:val="single" w:sz="8" w:space="1" w:color="5B6ABF"/>
              </w:pBdr>
            </w:pPr>
            <w:r/>
          </w:p>
        </w:tc>
      </w:tr>
    </w:tbl>
    <w:p/>
    <w:p>
      <w:r>
        <w:rPr>
          <w:rFonts w:ascii="Calibri" w:hAnsi="Calibri"/>
          <w:b/>
          <w:color w:val="39594D"/>
          <w:sz w:val="14"/>
        </w:rPr>
        <w:t>SECTION 8</w:t>
      </w:r>
    </w:p>
    <w:p>
      <w:r>
        <w:rPr>
          <w:rFonts w:ascii="Georgia" w:hAnsi="Georgia"/>
          <w:b/>
          <w:color w:val="1A1A1A"/>
          <w:sz w:val="30"/>
        </w:rPr>
        <w:t>Additional Notes &amp; Open Questions</w:t>
      </w:r>
    </w:p>
    <w:p>
      <w:r>
        <w:rPr>
          <w:rFonts w:ascii="Consolas" w:hAnsi="Consolas"/>
          <w:b/>
          <w:color w:val="39594D"/>
          <w:sz w:val="16"/>
        </w:rPr>
        <w:t xml:space="preserve">  01  </w:t>
      </w:r>
      <w:r>
        <w:rPr>
          <w:rFonts w:ascii="Calibri" w:hAnsi="Calibri"/>
          <w:b/>
          <w:color w:val="1A1A1A"/>
          <w:sz w:val="20"/>
        </w:rPr>
        <w:t>Tokenizer mismatch.</w:t>
      </w:r>
      <w:r>
        <w:rPr>
          <w:rFonts w:ascii="Calibri" w:hAnsi="Calibri"/>
          <w:color w:val="3D3D3D"/>
          <w:sz w:val="20"/>
        </w:rPr>
        <w:t xml:space="preserve"> Aetheris uses GPT-2 vocab (50k), Aya uses 262k multilingual BPE. The embedding table alone will be ~500MB. Is there a way to prune the tokenizer for a target language subset without losing the multilingual benefit?</w:t>
      </w:r>
    </w:p>
    <w:p>
      <w:r>
        <w:rPr>
          <w:rFonts w:ascii="Consolas" w:hAnsi="Consolas"/>
          <w:b/>
          <w:color w:val="39594D"/>
          <w:sz w:val="16"/>
        </w:rPr>
        <w:t xml:space="preserve">  02  </w:t>
      </w:r>
      <w:r>
        <w:rPr>
          <w:rFonts w:ascii="Calibri" w:hAnsi="Calibri"/>
          <w:b/>
          <w:color w:val="1A1A1A"/>
          <w:sz w:val="20"/>
        </w:rPr>
        <w:t>Language family hypothesis.</w:t>
      </w:r>
      <w:r>
        <w:rPr>
          <w:rFonts w:ascii="Calibri" w:hAnsi="Calibri"/>
          <w:color w:val="3D3D3D"/>
          <w:sz w:val="20"/>
        </w:rPr>
        <w:t xml:space="preserve"> We predict agglutinative languages (Turkish, Finnish, Japanese) will degrade more under distillation because their token-level dependencies span longer ranges — exactly what attention handles well and SSMs may struggle with.</w:t>
      </w:r>
    </w:p>
    <w:p>
      <w:r>
        <w:rPr>
          <w:rFonts w:ascii="Consolas" w:hAnsi="Consolas"/>
          <w:b/>
          <w:color w:val="39594D"/>
          <w:sz w:val="16"/>
        </w:rPr>
        <w:t xml:space="preserve">  03  </w:t>
      </w:r>
      <w:r>
        <w:rPr>
          <w:rFonts w:ascii="Calibri" w:hAnsi="Calibri"/>
          <w:b/>
          <w:color w:val="1A1A1A"/>
          <w:sz w:val="20"/>
        </w:rPr>
        <w:t>MoE routing analysis.</w:t>
      </w:r>
      <w:r>
        <w:rPr>
          <w:rFonts w:ascii="Calibri" w:hAnsi="Calibri"/>
          <w:color w:val="3D3D3D"/>
          <w:sz w:val="20"/>
        </w:rPr>
        <w:t xml:space="preserve"> Do different experts specialize by language family? If so, can we use this to build “regional” variants (similar to Tiny Aya’s earth/fire/water split)?</w:t>
      </w:r>
    </w:p>
    <w:p>
      <w:r>
        <w:rPr>
          <w:rFonts w:ascii="Consolas" w:hAnsi="Consolas"/>
          <w:b/>
          <w:color w:val="39594D"/>
          <w:sz w:val="16"/>
        </w:rPr>
        <w:t xml:space="preserve">  04  </w:t>
      </w:r>
      <w:r>
        <w:rPr>
          <w:rFonts w:ascii="Calibri" w:hAnsi="Calibri"/>
          <w:b/>
          <w:color w:val="1A1A1A"/>
          <w:sz w:val="20"/>
        </w:rPr>
        <w:t>Baseline experiment (Day 1–2).</w:t>
      </w:r>
      <w:r>
        <w:rPr>
          <w:rFonts w:ascii="Calibri" w:hAnsi="Calibri"/>
          <w:color w:val="3D3D3D"/>
          <w:sz w:val="20"/>
        </w:rPr>
        <w:t xml:space="preserve"> Load Tiny Aya, run inference in 5 languages, measure CPU tokens/sec. This number is the bar the distilled model must beat.</w:t>
      </w:r>
    </w:p>
    <w:p>
      <w:r>
        <w:rPr>
          <w:rFonts w:ascii="Consolas" w:hAnsi="Consolas"/>
          <w:b/>
          <w:color w:val="39594D"/>
          <w:sz w:val="16"/>
        </w:rPr>
        <w:t xml:space="preserve">  05  </w:t>
      </w:r>
      <w:r>
        <w:rPr>
          <w:rFonts w:ascii="Calibri" w:hAnsi="Calibri"/>
          <w:b/>
          <w:color w:val="1A1A1A"/>
          <w:sz w:val="20"/>
        </w:rPr>
        <w:t>Tool calling format.</w:t>
      </w:r>
      <w:r>
        <w:rPr>
          <w:rFonts w:ascii="Calibri" w:hAnsi="Calibri"/>
          <w:color w:val="3D3D3D"/>
          <w:sz w:val="20"/>
        </w:rPr>
        <w:t xml:space="preserve"> Using &lt;tool_call&gt; special tokens already implemented in Aetheris data pipeline. Need to verify this format works with Aya’s tokenizer.</w:t>
      </w:r>
    </w:p>
    <w:p>
      <w:r>
        <w:rPr>
          <w:rFonts w:ascii="Consolas" w:hAnsi="Consolas"/>
          <w:b/>
          <w:color w:val="39594D"/>
          <w:sz w:val="16"/>
        </w:rPr>
        <w:t xml:space="preserve">  06  </w:t>
      </w:r>
      <w:r>
        <w:rPr>
          <w:rFonts w:ascii="Calibri" w:hAnsi="Calibri"/>
          <w:b/>
          <w:color w:val="1A1A1A"/>
          <w:sz w:val="20"/>
        </w:rPr>
        <w:t>Licensing.</w:t>
      </w:r>
      <w:r>
        <w:rPr>
          <w:rFonts w:ascii="Calibri" w:hAnsi="Calibri"/>
          <w:color w:val="3D3D3D"/>
          <w:sz w:val="20"/>
        </w:rPr>
        <w:t xml:space="preserve"> The CC-BY-NC license on Tiny Aya means this research can be published but the distilled model weights cannot be used commercially without Cohere’s permission.</w:t>
      </w:r>
    </w:p>
    <w:p>
      <w:pPr>
        <w:pBdr>
          <w:left w:val="single" w:sz="16" w:space="8" w:color="C75A3A"/>
        </w:pBdr>
        <w:shd w:fill="FDF0EC" w:val="clear"/>
      </w:pPr>
      <w:r>
        <w:rPr>
          <w:rFonts w:ascii="Calibri" w:hAnsi="Calibri"/>
          <w:b/>
          <w:color w:val="C75A3A"/>
          <w:sz w:val="19"/>
        </w:rPr>
        <w:t xml:space="preserve">Note on licensing: </w:t>
      </w:r>
      <w:r>
        <w:rPr>
          <w:rFonts w:ascii="Calibri" w:hAnsi="Calibri"/>
          <w:color w:val="3D3D3D"/>
          <w:sz w:val="19"/>
        </w:rPr>
        <w:t>The CC-BY-NC constraint on the teacher model applies transitively to distilled weights. Plan for an academic release path. Commercial deployment would require either a license agreement with Cohere or a re-distillation from a permissively licensed teacher.</w:t>
      </w:r>
    </w:p>
    <w:p>
      <w:pPr>
        <w:pBdr>
          <w:left w:val="single" w:sz="16" w:space="8" w:color="39594D"/>
        </w:pBdr>
        <w:shd w:fill="F4F7F5" w:val="clear"/>
      </w:pPr>
      <w:r>
        <w:rPr>
          <w:rFonts w:ascii="Calibri" w:hAnsi="Calibri"/>
          <w:b/>
          <w:color w:val="39594D"/>
          <w:sz w:val="19"/>
        </w:rPr>
        <w:t xml:space="preserve">From Cohere Labs: </w:t>
      </w:r>
      <w:r>
        <w:rPr>
          <w:rFonts w:ascii="Calibri" w:hAnsi="Calibri"/>
          <w:color w:val="3D3D3D"/>
          <w:sz w:val="19"/>
        </w:rPr>
        <w:t xml:space="preserve">Tiny Aya was built with the conviction that language technology should serve everyone, not just English speakers. This collaboration extends that mission — making multilingual AI not just capable, but </w:t>
      </w:r>
      <w:r>
        <w:rPr>
          <w:rFonts w:ascii="Calibri" w:hAnsi="Calibri"/>
          <w:i/>
          <w:color w:val="3D3D3D"/>
          <w:sz w:val="19"/>
        </w:rPr>
        <w:t>runnable</w:t>
      </w:r>
      <w:r>
        <w:rPr>
          <w:rFonts w:ascii="Calibri" w:hAnsi="Calibri"/>
          <w:color w:val="3D3D3D"/>
          <w:sz w:val="19"/>
        </w:rPr>
        <w:t xml:space="preserve"> on the hardware people actually have.</w:t>
      </w:r>
    </w:p>
    <w:p>
      <w:pPr>
        <w:pBdr>
          <w:bottom w:val="single" w:sz="8" w:space="1" w:color="1A1A1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39594D"/>
                <w:sz w:val="15"/>
              </w:rPr>
              <w:t>COHERE LABS — FOR THE BUILDER</w:t>
            </w:r>
          </w:p>
        </w:tc>
        <w:tc>
          <w:tcPr>
            <w:tcW w:type="dxa" w:w="43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5B6ABF"/>
                <w:sz w:val="15"/>
              </w:rPr>
              <w:t>WAYY RESEARCH — BUFFALO, NY</w:t>
            </w:r>
          </w:p>
        </w:tc>
      </w:tr>
    </w:tbl>
    <w:p>
      <w:pPr>
        <w:jc w:val="center"/>
      </w:pPr>
      <w:r>
        <w:rPr>
          <w:rFonts w:ascii="Georgia" w:hAnsi="Georgia"/>
          <w:i/>
          <w:color w:val="6B6B7A"/>
          <w:sz w:val="19"/>
        </w:rPr>
        <w:t>“People for research, research for people.”</w:t>
      </w:r>
    </w:p>
    <w:sectPr w:rsidR="00FC693F" w:rsidRPr="0006063C" w:rsidSect="00034616">
      <w:pgSz w:w="12240" w:h="15840"/>
      <w:pgMar w:top="1152" w:right="1728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