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4E5C"/>
          <w:sz w:val="72"/>
          <w:szCs w:val="72"/>
        </w:rPr>
        <w:t xml:space="preserve">SAFECITY</w:t>
      </w:r>
    </w:p>
    <w:p>
      <w:pPr>
        <w:spacing w:after="600"/>
        <w:jc w:val="center"/>
      </w:pPr>
      <w:r>
        <w:rPr>
          <w:color w:val="555555"/>
          <w:sz w:val="32"/>
          <w:szCs w:val="32"/>
        </w:rPr>
        <w:t xml:space="preserve">Red Inteligente y Colaborativa de Seguridad Ciudadana</w:t>
      </w:r>
    </w:p>
    <w:p>
      <w:pPr>
        <w:spacing w:before="1200"/>
        <w:jc w:val="center"/>
      </w:pPr>
      <w:r>
        <w:rPr>
          <w:b/>
          <w:bCs/>
          <w:sz w:val="28"/>
          <w:szCs w:val="28"/>
        </w:rPr>
        <w:t xml:space="preserve">Documento de Análisis y Diseño — Bloque A</w:t>
      </w:r>
    </w:p>
    <w:p>
      <w:pPr>
        <w:spacing w:after="200"/>
        <w:jc w:val="center"/>
      </w:pPr>
      <w:r>
        <w:rPr>
          <w:i/>
          <w:iCs/>
          <w:sz w:val="24"/>
          <w:szCs w:val="24"/>
        </w:rPr>
        <w:t xml:space="preserve">Análisis del problema, alcance, actores y requisitos</w:t>
      </w:r>
    </w:p>
    <w:p>
      <w:pPr>
        <w:spacing w:before="2000"/>
        <w:jc w:val="center"/>
      </w:pPr>
      <w:r>
        <w:rPr>
          <w:sz w:val="22"/>
          <w:szCs w:val="22"/>
        </w:rPr>
        <w:t xml:space="preserve">Alejandro — Universidad Nacional de Colombia</w:t>
      </w:r>
    </w:p>
    <w:p>
      <w:pPr>
        <w:jc w:val="center"/>
      </w:pPr>
      <w:r>
        <w:rPr>
          <w:color w:val="777777"/>
          <w:sz w:val="22"/>
          <w:szCs w:val="22"/>
        </w:rPr>
        <w:t xml:space="preserve">Junio de 2026</w:t>
      </w:r>
    </w:p>
    <w:p>
      <w:r>
        <w:br w:type="page"/>
      </w:r>
    </w:p>
    <w:p>
      <w:pPr>
        <w:pStyle w:val="Heading1"/>
      </w:pPr>
      <w:r>
        <w:t xml:space="preserve">Tabla de Contenido</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Análisis del problema y justificación de la solución</w:t>
      </w:r>
    </w:p>
    <w:p>
      <w:pPr>
        <w:pStyle w:val="Heading2"/>
      </w:pPr>
      <w:r>
        <w:t xml:space="preserve">1.1 El problema: cifra negra de criminalidad en Bogotá D.C.</w:t>
      </w:r>
    </w:p>
    <w:p>
      <w:pPr>
        <w:spacing w:after="160"/>
      </w:pPr>
      <w:r>
        <w:rPr>
          <w:i w:val="false"/>
          <w:iCs w:val="false"/>
          <w:sz w:val="22"/>
          <w:szCs w:val="22"/>
        </w:rPr>
        <w:t xml:space="preserve">El punto de partida de SAFECITY no es una hipótesis especulativa, sino una base empírica ya documentada: entre 2021 y 2024, las denuncias de hurto común en Bogotá pasaron de 136.371 a 157.247 casos, con un pico de 188.453 en 2023 (incremento del 38,1% en el período 2021-2023) y una reducción del 16,6% en 2024 (SIEDCO-PONAL). Estas cifras, sin embargo, solo capturan delitos formalmente denunciados ante el sistema policial: el problema real es la </w:t>
      </w:r>
      <w:r>
        <w:rPr>
          <w:b/>
          <w:bCs/>
          <w:i w:val="false"/>
          <w:iCs w:val="false"/>
          <w:sz w:val="22"/>
          <w:szCs w:val="22"/>
        </w:rPr>
        <w:t xml:space="preserve">cifra negra</w:t>
      </w:r>
      <w:r>
        <w:rPr>
          <w:i w:val="false"/>
          <w:iCs w:val="false"/>
          <w:sz w:val="22"/>
          <w:szCs w:val="22"/>
        </w:rPr>
        <w:t xml:space="preserve">. Riascos Villegas et al. (2023) cuantificaron una tasa de victimización del 17% en Bogotá frente a solo un 27% de reporte efectivo, con heterogeneidad geográfica significativa entre las 19 localidades del Distrito.</w:t>
      </w:r>
    </w:p>
    <w:p>
      <w:pPr>
        <w:spacing w:after="160"/>
      </w:pPr>
      <w:r>
        <w:rPr>
          <w:i w:val="false"/>
          <w:iCs w:val="false"/>
          <w:sz w:val="22"/>
          <w:szCs w:val="22"/>
        </w:rPr>
        <w:t xml:space="preserve">Esta heterogeneidad no es uniforme. Las cifras SIEDCO-PONAL muestran que Kennedy, Suba y Engativá concentraron el 27,3% de las denuncias de hurto a personas en 2023, manteniendo el liderazgo del ranking en los cuatro años del período analizado: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750"/>
        <w:gridCol w:w="1750"/>
        <w:gridCol w:w="1750"/>
        <w:gridCol w:w="1750"/>
      </w:tblGrid>
      <w:tr>
        <w:trPr>
          <w:cantSplit w:val="false"/>
          <w:tblHeader/>
        </w:trPr>
        <w:tc>
          <w:tcPr>
            <w:tcW w:type="dxa" w:w="2360"/>
            <w:tcBorders>
              <w:top w:val="single" w:color="CCCCCC" w:sz="1"/>
              <w:left w:val="single" w:color="CCCCCC" w:sz="1"/>
              <w:bottom w:val="single" w:color="CCCCCC" w:sz="1"/>
              <w:right w:val="single" w:color="CCCCCC" w:sz="1"/>
            </w:tcBorders>
            <w:shd w:fill="1F4E5C" w:val="clear"/>
            <w:tcMar>
              <w:top w:type="dxa" w:w="80"/>
              <w:left w:type="dxa" w:w="120"/>
              <w:bottom w:type="dxa" w:w="80"/>
              <w:right w:type="dxa" w:w="120"/>
            </w:tcMar>
            <w:vAlign w:val="center"/>
          </w:tcPr>
          <w:p>
            <w:r>
              <w:rPr>
                <w:b/>
                <w:bCs/>
                <w:color w:val="FFFFFF"/>
                <w:sz w:val="20"/>
                <w:szCs w:val="20"/>
              </w:rPr>
              <w:t xml:space="preserve">Localidad</w:t>
            </w:r>
          </w:p>
        </w:tc>
        <w:tc>
          <w:tcPr>
            <w:tcW w:type="dxa" w:w="1750"/>
            <w:tcBorders>
              <w:top w:val="single" w:color="CCCCCC" w:sz="1"/>
              <w:left w:val="single" w:color="CCCCCC" w:sz="1"/>
              <w:bottom w:val="single" w:color="CCCCCC" w:sz="1"/>
              <w:right w:val="single" w:color="CCCCCC" w:sz="1"/>
            </w:tcBorders>
            <w:shd w:fill="1F4E5C" w:val="clear"/>
            <w:tcMar>
              <w:top w:type="dxa" w:w="80"/>
              <w:left w:type="dxa" w:w="120"/>
              <w:bottom w:type="dxa" w:w="80"/>
              <w:right w:type="dxa" w:w="120"/>
            </w:tcMar>
            <w:vAlign w:val="center"/>
          </w:tcPr>
          <w:p>
            <w:r>
              <w:rPr>
                <w:b/>
                <w:bCs/>
                <w:color w:val="FFFFFF"/>
                <w:sz w:val="20"/>
                <w:szCs w:val="20"/>
              </w:rPr>
              <w:t xml:space="preserve">2021</w:t>
            </w:r>
          </w:p>
        </w:tc>
        <w:tc>
          <w:tcPr>
            <w:tcW w:type="dxa" w:w="1750"/>
            <w:tcBorders>
              <w:top w:val="single" w:color="CCCCCC" w:sz="1"/>
              <w:left w:val="single" w:color="CCCCCC" w:sz="1"/>
              <w:bottom w:val="single" w:color="CCCCCC" w:sz="1"/>
              <w:right w:val="single" w:color="CCCCCC" w:sz="1"/>
            </w:tcBorders>
            <w:shd w:fill="1F4E5C" w:val="clear"/>
            <w:tcMar>
              <w:top w:type="dxa" w:w="80"/>
              <w:left w:type="dxa" w:w="120"/>
              <w:bottom w:type="dxa" w:w="80"/>
              <w:right w:type="dxa" w:w="120"/>
            </w:tcMar>
            <w:vAlign w:val="center"/>
          </w:tcPr>
          <w:p>
            <w:r>
              <w:rPr>
                <w:b/>
                <w:bCs/>
                <w:color w:val="FFFFFF"/>
                <w:sz w:val="20"/>
                <w:szCs w:val="20"/>
              </w:rPr>
              <w:t xml:space="preserve">2022</w:t>
            </w:r>
          </w:p>
        </w:tc>
        <w:tc>
          <w:tcPr>
            <w:tcW w:type="dxa" w:w="1750"/>
            <w:tcBorders>
              <w:top w:val="single" w:color="CCCCCC" w:sz="1"/>
              <w:left w:val="single" w:color="CCCCCC" w:sz="1"/>
              <w:bottom w:val="single" w:color="CCCCCC" w:sz="1"/>
              <w:right w:val="single" w:color="CCCCCC" w:sz="1"/>
            </w:tcBorders>
            <w:shd w:fill="1F4E5C" w:val="clear"/>
            <w:tcMar>
              <w:top w:type="dxa" w:w="80"/>
              <w:left w:type="dxa" w:w="120"/>
              <w:bottom w:type="dxa" w:w="80"/>
              <w:right w:type="dxa" w:w="120"/>
            </w:tcMar>
            <w:vAlign w:val="center"/>
          </w:tcPr>
          <w:p>
            <w:r>
              <w:rPr>
                <w:b/>
                <w:bCs/>
                <w:color w:val="FFFFFF"/>
                <w:sz w:val="20"/>
                <w:szCs w:val="20"/>
              </w:rPr>
              <w:t xml:space="preserve">2023</w:t>
            </w:r>
          </w:p>
        </w:tc>
        <w:tc>
          <w:tcPr>
            <w:tcW w:type="dxa" w:w="1750"/>
            <w:tcBorders>
              <w:top w:val="single" w:color="CCCCCC" w:sz="1"/>
              <w:left w:val="single" w:color="CCCCCC" w:sz="1"/>
              <w:bottom w:val="single" w:color="CCCCCC" w:sz="1"/>
              <w:right w:val="single" w:color="CCCCCC" w:sz="1"/>
            </w:tcBorders>
            <w:shd w:fill="1F4E5C" w:val="clear"/>
            <w:tcMar>
              <w:top w:type="dxa" w:w="80"/>
              <w:left w:type="dxa" w:w="120"/>
              <w:bottom w:type="dxa" w:w="80"/>
              <w:right w:type="dxa" w:w="120"/>
            </w:tcMar>
            <w:vAlign w:val="center"/>
          </w:tcPr>
          <w:p>
            <w:r>
              <w:rPr>
                <w:b/>
                <w:bCs/>
                <w:color w:val="FFFFFF"/>
                <w:sz w:val="20"/>
                <w:szCs w:val="20"/>
              </w:rPr>
              <w:t xml:space="preserve">2024*</w:t>
            </w:r>
          </w:p>
        </w:tc>
      </w:tr>
      <w:tr>
        <w:trPr>
          <w:cantSplit w:val="false"/>
        </w:trPr>
        <w:tc>
          <w:tcPr>
            <w:tcW w:type="dxa" w:w="2360"/>
            <w:tcBorders>
              <w:top w:val="single" w:color="CCCCCC" w:sz="1"/>
              <w:left w:val="single" w:color="CCCCCC" w:sz="1"/>
              <w:bottom w:val="single" w:color="CCCCCC" w:sz="1"/>
              <w:right w:val="single" w:color="CCCCCC" w:sz="1"/>
            </w:tcBorders>
            <w:shd w:fill="DCEAEE" w:val="clear"/>
            <w:tcMar>
              <w:top w:type="dxa" w:w="80"/>
              <w:left w:type="dxa" w:w="120"/>
              <w:bottom w:type="dxa" w:w="80"/>
              <w:right w:type="dxa" w:w="120"/>
            </w:tcMar>
            <w:vAlign w:val="center"/>
          </w:tcPr>
          <w:p>
            <w:r>
              <w:rPr>
                <w:b w:val="false"/>
                <w:bCs w:val="false"/>
                <w:i w:val="false"/>
                <w:iCs w:val="false"/>
                <w:sz w:val="20"/>
                <w:szCs w:val="20"/>
              </w:rPr>
              <w:t xml:space="preserve">Kennedy</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25.840</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31.120</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33.210</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27.234</w:t>
            </w:r>
          </w:p>
        </w:tc>
      </w:tr>
      <w:tr>
        <w:trPr>
          <w:cantSplit w:val="false"/>
        </w:trPr>
        <w:tc>
          <w:tcPr>
            <w:tcW w:type="dxa" w:w="2360"/>
            <w:tcBorders>
              <w:top w:val="single" w:color="CCCCCC" w:sz="1"/>
              <w:left w:val="single" w:color="CCCCCC" w:sz="1"/>
              <w:bottom w:val="single" w:color="CCCCCC" w:sz="1"/>
              <w:right w:val="single" w:color="CCCCCC" w:sz="1"/>
            </w:tcBorders>
            <w:shd w:fill="DCEAEE" w:val="clear"/>
            <w:tcMar>
              <w:top w:type="dxa" w:w="80"/>
              <w:left w:type="dxa" w:w="120"/>
              <w:bottom w:type="dxa" w:w="80"/>
              <w:right w:type="dxa" w:w="120"/>
            </w:tcMar>
            <w:vAlign w:val="center"/>
          </w:tcPr>
          <w:p>
            <w:r>
              <w:rPr>
                <w:b w:val="false"/>
                <w:bCs w:val="false"/>
                <w:i w:val="false"/>
                <w:iCs w:val="false"/>
                <w:sz w:val="20"/>
                <w:szCs w:val="20"/>
              </w:rPr>
              <w:t xml:space="preserve">Suba</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23.100</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27.890</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28.760</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23.584</w:t>
            </w:r>
          </w:p>
        </w:tc>
      </w:tr>
      <w:tr>
        <w:trPr>
          <w:cantSplit w:val="false"/>
        </w:trPr>
        <w:tc>
          <w:tcPr>
            <w:tcW w:type="dxa" w:w="2360"/>
            <w:tcBorders>
              <w:top w:val="single" w:color="CCCCCC" w:sz="1"/>
              <w:left w:val="single" w:color="CCCCCC" w:sz="1"/>
              <w:bottom w:val="single" w:color="CCCCCC" w:sz="1"/>
              <w:right w:val="single" w:color="CCCCCC" w:sz="1"/>
            </w:tcBorders>
            <w:shd w:fill="DCEAEE" w:val="clear"/>
            <w:tcMar>
              <w:top w:type="dxa" w:w="80"/>
              <w:left w:type="dxa" w:w="120"/>
              <w:bottom w:type="dxa" w:w="80"/>
              <w:right w:type="dxa" w:w="120"/>
            </w:tcMar>
            <w:vAlign w:val="center"/>
          </w:tcPr>
          <w:p>
            <w:r>
              <w:rPr>
                <w:b w:val="false"/>
                <w:bCs w:val="false"/>
                <w:i w:val="false"/>
                <w:iCs w:val="false"/>
                <w:sz w:val="20"/>
                <w:szCs w:val="20"/>
              </w:rPr>
              <w:t xml:space="preserve">Engativá</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20.720</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24.970</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25.840</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21.189</w:t>
            </w:r>
          </w:p>
        </w:tc>
      </w:tr>
      <w:tr>
        <w:trPr>
          <w:cantSplit w:val="false"/>
        </w:trPr>
        <w:tc>
          <w:tcPr>
            <w:tcW w:type="dxa" w:w="2360"/>
            <w:tcBorders>
              <w:top w:val="single" w:color="CCCCCC" w:sz="1"/>
              <w:left w:val="single" w:color="CCCCCC" w:sz="1"/>
              <w:bottom w:val="single" w:color="CCCCCC" w:sz="1"/>
              <w:right w:val="single" w:color="CCCCCC" w:sz="1"/>
            </w:tcBorders>
            <w:shd w:fill="DCEAEE" w:val="clear"/>
            <w:tcMar>
              <w:top w:type="dxa" w:w="80"/>
              <w:left w:type="dxa" w:w="120"/>
              <w:bottom w:type="dxa" w:w="80"/>
              <w:right w:type="dxa" w:w="120"/>
            </w:tcMar>
            <w:vAlign w:val="center"/>
          </w:tcPr>
          <w:p>
            <w:r>
              <w:rPr>
                <w:b w:val="false"/>
                <w:bCs w:val="false"/>
                <w:i w:val="false"/>
                <w:iCs w:val="false"/>
                <w:sz w:val="20"/>
                <w:szCs w:val="20"/>
              </w:rPr>
              <w:t xml:space="preserve">Chapinero</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18.050</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21.340</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22.180</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18.188</w:t>
            </w:r>
          </w:p>
        </w:tc>
      </w:tr>
      <w:tr>
        <w:trPr>
          <w:cantSplit w:val="false"/>
        </w:trPr>
        <w:tc>
          <w:tcPr>
            <w:tcW w:type="dxa" w:w="2360"/>
            <w:tcBorders>
              <w:top w:val="single" w:color="CCCCCC" w:sz="1"/>
              <w:left w:val="single" w:color="CCCCCC" w:sz="1"/>
              <w:bottom w:val="single" w:color="CCCCCC" w:sz="1"/>
              <w:right w:val="single" w:color="CCCCCC" w:sz="1"/>
            </w:tcBorders>
            <w:shd w:fill="DCEAEE" w:val="clear"/>
            <w:tcMar>
              <w:top w:type="dxa" w:w="80"/>
              <w:left w:type="dxa" w:w="120"/>
              <w:bottom w:type="dxa" w:w="80"/>
              <w:right w:type="dxa" w:w="120"/>
            </w:tcMar>
            <w:vAlign w:val="center"/>
          </w:tcPr>
          <w:p>
            <w:r>
              <w:rPr>
                <w:b w:val="false"/>
                <w:bCs w:val="false"/>
                <w:i w:val="false"/>
                <w:iCs w:val="false"/>
                <w:sz w:val="20"/>
                <w:szCs w:val="20"/>
              </w:rPr>
              <w:t xml:space="preserve">Usaquén</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15.940</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19.100</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19.820</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16.253</w:t>
            </w:r>
          </w:p>
        </w:tc>
      </w:tr>
    </w:tbl>
    <w:p>
      <w:pPr>
        <w:spacing w:after="240" w:before="120"/>
      </w:pPr>
      <w:r>
        <w:rPr>
          <w:i/>
          <w:iCs/>
          <w:color w:val="666666"/>
          <w:sz w:val="18"/>
          <w:szCs w:val="18"/>
        </w:rPr>
        <w:t xml:space="preserve">Fuente: SIEDCO, Policía Nacional. *2024: cifras preliminares. Kennedy, Suba y Engativá concentran el 27,3% de denuncias en 2023.</w:t>
      </w:r>
    </w:p>
    <w:p>
      <w:pPr>
        <w:spacing w:after="160"/>
      </w:pPr>
      <w:r>
        <w:rPr>
          <w:i w:val="false"/>
          <w:iCs w:val="false"/>
          <w:sz w:val="22"/>
          <w:szCs w:val="22"/>
        </w:rPr>
        <w:t xml:space="preserve">El subregistro tiene un costo concreto: distorsiona la asignación de recursos policiales, porque la planeación se basa en denuncias formalizadas, no en incidencia real. Además, delitos donde el reporte depende casi enteramente de la decisión de la víctima, como extorsión (+64% en 2024) y delitos sexuales (+58,8%), muestran cómo la percepción de impunidad suprime aún más el reporte.</w:t>
      </w:r>
    </w:p>
    <w:p>
      <w:pPr>
        <w:pStyle w:val="Heading2"/>
      </w:pPr>
      <w:r>
        <w:t xml:space="preserve">1.2 Por qué un sistema colaborativo ciudadano es una respuesta válida</w:t>
      </w:r>
    </w:p>
    <w:p>
      <w:pPr>
        <w:spacing w:after="160"/>
      </w:pPr>
      <w:r>
        <w:rPr>
          <w:i w:val="false"/>
          <w:iCs w:val="false"/>
          <w:sz w:val="22"/>
          <w:szCs w:val="22"/>
        </w:rPr>
        <w:t xml:space="preserve">La literatura respalda que sistemas digitales de reporte reducen la fricción de denunciar y pueden complementar, nunca sustituir, los canales oficiales:</w:t>
      </w:r>
    </w:p>
    <w:p>
      <w:pPr>
        <w:pStyle w:val="ListParagraph"/>
        <w:numPr>
          <w:ilvl w:val="0"/>
          <w:numId w:val="2"/>
        </w:numPr>
        <w:spacing w:after="80"/>
      </w:pPr>
      <w:r>
        <w:rPr>
          <w:i w:val="false"/>
          <w:iCs w:val="false"/>
          <w:sz w:val="22"/>
          <w:szCs w:val="22"/>
        </w:rPr>
        <w:t xml:space="preserve">Alameri et al. (2022) documentaron en Irak una reducción medible en el tiempo de respuesta policial tras desplegar un sistema móvil de reporte ciudadano.</w:t>
      </w:r>
    </w:p>
    <w:p>
      <w:pPr>
        <w:pStyle w:val="ListParagraph"/>
        <w:numPr>
          <w:ilvl w:val="0"/>
          <w:numId w:val="2"/>
        </w:numPr>
        <w:spacing w:after="80"/>
      </w:pPr>
      <w:r>
        <w:rPr>
          <w:i w:val="false"/>
          <w:iCs w:val="false"/>
          <w:sz w:val="22"/>
          <w:szCs w:val="22"/>
        </w:rPr>
        <w:t xml:space="preserve">Plataformas con geolocalización GPS y autenticación segura superan consistentemente al reporte telefónico tradicional en cobertura y trazabilidad (Waiyawuththanapoom et al., 2015; Shetty et al., 2024).</w:t>
      </w:r>
    </w:p>
    <w:p>
      <w:pPr>
        <w:pStyle w:val="ListParagraph"/>
        <w:numPr>
          <w:ilvl w:val="0"/>
          <w:numId w:val="2"/>
        </w:numPr>
        <w:spacing w:after="80"/>
      </w:pPr>
      <w:r>
        <w:rPr>
          <w:i w:val="false"/>
          <w:iCs w:val="false"/>
          <w:sz w:val="22"/>
          <w:szCs w:val="22"/>
        </w:rPr>
        <w:t xml:space="preserve">En el contexto colombiano, ya existe evidencia de que modelos de machine learning aplicados a series espaciales pueden predecir patrones delictivos con buena precisión (Gelvez Ferreira et al., 2022, sobre Bucaramanga), y que modelos LSTM superan a enfoques estadísticos clásicos como ARIMA en este dominio (RMSE 2,875 vs 3,428).</w:t>
      </w:r>
    </w:p>
    <w:p>
      <w:pPr>
        <w:spacing w:after="160"/>
      </w:pPr>
      <w:r>
        <w:rPr>
          <w:i w:val="false"/>
          <w:iCs w:val="false"/>
          <w:sz w:val="22"/>
          <w:szCs w:val="22"/>
        </w:rPr>
        <w:t xml:space="preserve">SAFECITY no pretende “resolver” la inseguridad ni sustituir al SIEDCO o a la Línea 123. Su rol es estructuralmente distinto y complementario: generar una capa de datos georreferenciados, casi en tiempo real, alimentada por la ciudadanía, útil para tres audiencias con necesidades diferentes:</w:t>
      </w:r>
    </w:p>
    <w:p>
      <w:pPr>
        <w:pStyle w:val="ListParagraph"/>
        <w:numPr>
          <w:ilvl w:val="0"/>
          <w:numId w:val="3"/>
        </w:numPr>
        <w:spacing w:after="80"/>
      </w:pPr>
      <w:r>
        <w:rPr>
          <w:b/>
          <w:bCs/>
          <w:i w:val="false"/>
          <w:iCs w:val="false"/>
          <w:sz w:val="22"/>
          <w:szCs w:val="22"/>
        </w:rPr>
        <w:t xml:space="preserve">Ciudadanos</w:t>
      </w:r>
      <w:r>
        <w:rPr>
          <w:i w:val="false"/>
          <w:iCs w:val="false"/>
          <w:sz w:val="22"/>
          <w:szCs w:val="22"/>
        </w:rPr>
        <w:t xml:space="preserve">: saber qué está pasando cerca de ellos ahora, no seis meses después en un informe estadístico.</w:t>
      </w:r>
    </w:p>
    <w:p>
      <w:pPr>
        <w:pStyle w:val="ListParagraph"/>
        <w:numPr>
          <w:ilvl w:val="0"/>
          <w:numId w:val="3"/>
        </w:numPr>
        <w:spacing w:after="80"/>
      </w:pPr>
      <w:r>
        <w:rPr>
          <w:b/>
          <w:bCs/>
          <w:i w:val="false"/>
          <w:iCs w:val="false"/>
          <w:sz w:val="22"/>
          <w:szCs w:val="22"/>
        </w:rPr>
        <w:t xml:space="preserve">Investigadores y analistas</w:t>
      </w:r>
      <w:r>
        <w:rPr>
          <w:i w:val="false"/>
          <w:iCs w:val="false"/>
          <w:sz w:val="22"/>
          <w:szCs w:val="22"/>
        </w:rPr>
        <w:t xml:space="preserve">: cruzar percepción ciudadana con cifra oficial para detectar brechas de subregistro por zona.</w:t>
      </w:r>
    </w:p>
    <w:p>
      <w:pPr>
        <w:pStyle w:val="ListParagraph"/>
        <w:numPr>
          <w:ilvl w:val="0"/>
          <w:numId w:val="3"/>
        </w:numPr>
        <w:spacing w:after="80"/>
      </w:pPr>
      <w:r>
        <w:rPr>
          <w:b/>
          <w:bCs/>
          <w:i w:val="false"/>
          <w:iCs w:val="false"/>
          <w:sz w:val="22"/>
          <w:szCs w:val="22"/>
        </w:rPr>
        <w:t xml:space="preserve">Autoridades</w:t>
      </w:r>
      <w:r>
        <w:rPr>
          <w:i w:val="false"/>
          <w:iCs w:val="false"/>
          <w:sz w:val="22"/>
          <w:szCs w:val="22"/>
        </w:rPr>
        <w:t xml:space="preserve"> (en fases posteriores, mediante mecanismos formalmente autorizados): una fuente adicional de inteligencia situacional, no un canal de denuncia formal.</w:t>
      </w:r>
    </w:p>
    <w:p>
      <w:pPr>
        <w:pStyle w:val="Heading2"/>
      </w:pPr>
      <w:r>
        <w:t xml:space="preserve">1.3 Por qué Kennedy, Suba y Engativá como piloto</w:t>
      </w:r>
    </w:p>
    <w:p>
      <w:pPr>
        <w:spacing w:after="160"/>
      </w:pPr>
      <w:r>
        <w:rPr>
          <w:i w:val="false"/>
          <w:iCs w:val="false"/>
          <w:sz w:val="22"/>
          <w:szCs w:val="22"/>
        </w:rPr>
        <w:t xml:space="preserve">Esta no es una elección arbitraria de alcance geográfico: responde directamente a la evidencia cuantitativa presentada en la sección 1.1. Estas tres localidades:</w:t>
      </w:r>
    </w:p>
    <w:p>
      <w:pPr>
        <w:pStyle w:val="ListParagraph"/>
        <w:numPr>
          <w:ilvl w:val="0"/>
          <w:numId w:val="2"/>
        </w:numPr>
        <w:spacing w:after="80"/>
      </w:pPr>
      <w:r>
        <w:rPr>
          <w:i w:val="false"/>
          <w:iCs w:val="false"/>
          <w:sz w:val="22"/>
          <w:szCs w:val="22"/>
        </w:rPr>
        <w:t xml:space="preserve">Concentran más de una cuarta parte del hurto a personas reportado en la ciudad.</w:t>
      </w:r>
    </w:p>
    <w:p>
      <w:pPr>
        <w:pStyle w:val="ListParagraph"/>
        <w:numPr>
          <w:ilvl w:val="0"/>
          <w:numId w:val="2"/>
        </w:numPr>
        <w:spacing w:after="80"/>
      </w:pPr>
      <w:r>
        <w:rPr>
          <w:i w:val="false"/>
          <w:iCs w:val="false"/>
          <w:sz w:val="22"/>
          <w:szCs w:val="22"/>
        </w:rPr>
        <w:t xml:space="preserve">Mantienen el liderazgo en el ranking de forma consistente entre 2021 y 2024, lo que sugiere un problema estructural y no un pico aislado.</w:t>
      </w:r>
    </w:p>
    <w:p>
      <w:pPr>
        <w:pStyle w:val="ListParagraph"/>
        <w:numPr>
          <w:ilvl w:val="0"/>
          <w:numId w:val="2"/>
        </w:numPr>
        <w:spacing w:after="80"/>
      </w:pPr>
      <w:r>
        <w:rPr>
          <w:i w:val="false"/>
          <w:iCs w:val="false"/>
          <w:sz w:val="22"/>
          <w:szCs w:val="22"/>
        </w:rPr>
        <w:t xml:space="preserve">Ofrecen, por su alto volumen, una masa crítica de incidentes esperada que permite que el sistema de validación colaborativa (confirmaciones cruzadas) funcione desde el primer día.</w:t>
      </w:r>
    </w:p>
    <w:p>
      <w:pPr>
        <w:pStyle w:val="Heading2"/>
      </w:pPr>
      <w:r>
        <w:t xml:space="preserve">1.4 Honestidad sobre los límites del enfoque</w:t>
      </w:r>
    </w:p>
    <w:p>
      <w:pPr>
        <w:spacing w:after="160"/>
      </w:pPr>
      <w:r>
        <w:rPr>
          <w:i w:val="false"/>
          <w:iCs w:val="false"/>
          <w:sz w:val="22"/>
          <w:szCs w:val="22"/>
        </w:rPr>
        <w:t xml:space="preserve">Para que el diseño sea técnicamente honesto, el sistema debe reconocer desde la arquitectura, no solo en el texto legal, tres limitaciones:</w:t>
      </w:r>
    </w:p>
    <w:p>
      <w:pPr>
        <w:pStyle w:val="ListParagraph"/>
        <w:numPr>
          <w:ilvl w:val="0"/>
          <w:numId w:val="2"/>
        </w:numPr>
        <w:spacing w:after="80"/>
      </w:pPr>
      <w:r>
        <w:rPr>
          <w:b/>
          <w:bCs/>
          <w:i w:val="false"/>
          <w:iCs w:val="false"/>
          <w:sz w:val="22"/>
          <w:szCs w:val="22"/>
        </w:rPr>
        <w:t xml:space="preserve">Sesgo de autoselección</w:t>
      </w:r>
      <w:r>
        <w:rPr>
          <w:i w:val="false"/>
          <w:iCs w:val="false"/>
          <w:sz w:val="22"/>
          <w:szCs w:val="22"/>
        </w:rPr>
        <w:t xml:space="preserve">: quienes reportan no son una muestra aleatoria de víctimas; probablemente sobrerrepresenta a usuarios con smartphone, alfabetización digital y disposición a usar la app. El futuro “Índice de Riesgo” nunca debe presentarse como medición objetiva de criminalidad real, sino como percepción reportada.</w:t>
      </w:r>
    </w:p>
    <w:p>
      <w:pPr>
        <w:pStyle w:val="ListParagraph"/>
        <w:numPr>
          <w:ilvl w:val="0"/>
          <w:numId w:val="2"/>
        </w:numPr>
        <w:spacing w:after="80"/>
      </w:pPr>
      <w:r>
        <w:rPr>
          <w:b/>
          <w:bCs/>
          <w:i w:val="false"/>
          <w:iCs w:val="false"/>
          <w:sz w:val="22"/>
          <w:szCs w:val="22"/>
        </w:rPr>
        <w:t xml:space="preserve">Riesgo de estigmatización de zonas</w:t>
      </w:r>
      <w:r>
        <w:rPr>
          <w:i w:val="false"/>
          <w:iCs w:val="false"/>
          <w:sz w:val="22"/>
          <w:szCs w:val="22"/>
        </w:rPr>
        <w:t xml:space="preserve">: un mapa de calor mal comunicado puede generar percepción de inseguridad desproporcionada a la realidad. Se aborda en el Bloque E con mecanismos de mitigación de UX y moderación.</w:t>
      </w:r>
    </w:p>
    <w:p>
      <w:pPr>
        <w:pStyle w:val="ListParagraph"/>
        <w:numPr>
          <w:ilvl w:val="0"/>
          <w:numId w:val="2"/>
        </w:numPr>
        <w:spacing w:after="80"/>
      </w:pPr>
      <w:r>
        <w:rPr>
          <w:b/>
          <w:bCs/>
          <w:i w:val="false"/>
          <w:iCs w:val="false"/>
          <w:sz w:val="22"/>
          <w:szCs w:val="22"/>
        </w:rPr>
        <w:t xml:space="preserve">El sistema complementa, no sustituye, la denuncia formal</w:t>
      </w:r>
      <w:r>
        <w:rPr>
          <w:i w:val="false"/>
          <w:iCs w:val="false"/>
          <w:sz w:val="22"/>
          <w:szCs w:val="22"/>
        </w:rPr>
        <w:t xml:space="preserve">: este principio debe quedar visible para el usuario en el momento mismo de reportar, no solo en términos y condiciones.</w:t>
      </w:r>
    </w:p>
    <w:p>
      <w:pPr>
        <w:pStyle w:val="Heading1"/>
      </w:pPr>
      <w:r>
        <w:t xml:space="preserve">2. Alcance del proyecto</w:t>
      </w:r>
    </w:p>
    <w:p>
      <w:pPr>
        <w:pStyle w:val="Heading2"/>
      </w:pPr>
      <w:r>
        <w:t xml:space="preserve">2.1 MVP (Producto Mínimo Viable)</w:t>
      </w:r>
    </w:p>
    <w:p>
      <w:pPr>
        <w:spacing w:after="160"/>
      </w:pPr>
      <w:r>
        <w:rPr>
          <w:b/>
          <w:bCs/>
          <w:i w:val="false"/>
          <w:iCs w:val="false"/>
          <w:sz w:val="22"/>
          <w:szCs w:val="22"/>
        </w:rPr>
        <w:t xml:space="preserve">Alcance geográfico:</w:t>
      </w:r>
      <w:r>
        <w:rPr>
          <w:i w:val="false"/>
          <w:iCs w:val="false"/>
          <w:sz w:val="22"/>
          <w:szCs w:val="22"/>
        </w:rPr>
        <w:t xml:space="preserve"> Bogotá D.C., piloto en las localidades de Kennedy, Suba y Engativá. </w:t>
      </w:r>
      <w:r>
        <w:rPr>
          <w:b/>
          <w:bCs/>
          <w:i w:val="false"/>
          <w:iCs w:val="false"/>
          <w:sz w:val="22"/>
          <w:szCs w:val="22"/>
        </w:rPr>
        <w:t xml:space="preserve">Alcance funcional incluido:</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4200"/>
        <w:gridCol w:w="4600"/>
      </w:tblGrid>
      <w:tr>
        <w:trPr>
          <w:cantSplit w:val="false"/>
          <w:tblHeader/>
        </w:trPr>
        <w:tc>
          <w:tcPr>
            <w:tcW w:type="dxa" w:w="560"/>
            <w:tcBorders>
              <w:top w:val="single" w:color="CCCCCC" w:sz="1"/>
              <w:left w:val="single" w:color="CCCCCC" w:sz="1"/>
              <w:bottom w:val="single" w:color="CCCCCC" w:sz="1"/>
              <w:right w:val="single" w:color="CCCCCC" w:sz="1"/>
            </w:tcBorders>
            <w:shd w:fill="1F4E5C" w:val="clear"/>
            <w:tcMar>
              <w:top w:type="dxa" w:w="80"/>
              <w:left w:type="dxa" w:w="120"/>
              <w:bottom w:type="dxa" w:w="80"/>
              <w:right w:type="dxa" w:w="120"/>
            </w:tcMar>
            <w:vAlign w:val="center"/>
          </w:tcPr>
          <w:p>
            <w:r>
              <w:rPr>
                <w:b/>
                <w:bCs/>
                <w:color w:val="FFFFFF"/>
                <w:sz w:val="20"/>
                <w:szCs w:val="20"/>
              </w:rPr>
              <w:t xml:space="preserve">#</w:t>
            </w:r>
          </w:p>
        </w:tc>
        <w:tc>
          <w:tcPr>
            <w:tcW w:type="dxa" w:w="4200"/>
            <w:tcBorders>
              <w:top w:val="single" w:color="CCCCCC" w:sz="1"/>
              <w:left w:val="single" w:color="CCCCCC" w:sz="1"/>
              <w:bottom w:val="single" w:color="CCCCCC" w:sz="1"/>
              <w:right w:val="single" w:color="CCCCCC" w:sz="1"/>
            </w:tcBorders>
            <w:shd w:fill="1F4E5C" w:val="clear"/>
            <w:tcMar>
              <w:top w:type="dxa" w:w="80"/>
              <w:left w:type="dxa" w:w="120"/>
              <w:bottom w:type="dxa" w:w="80"/>
              <w:right w:type="dxa" w:w="120"/>
            </w:tcMar>
            <w:vAlign w:val="center"/>
          </w:tcPr>
          <w:p>
            <w:r>
              <w:rPr>
                <w:b/>
                <w:bCs/>
                <w:color w:val="FFFFFF"/>
                <w:sz w:val="20"/>
                <w:szCs w:val="20"/>
              </w:rPr>
              <w:t xml:space="preserve">Funcionalidad</w:t>
            </w:r>
          </w:p>
        </w:tc>
        <w:tc>
          <w:tcPr>
            <w:tcW w:type="dxa" w:w="4600"/>
            <w:tcBorders>
              <w:top w:val="single" w:color="CCCCCC" w:sz="1"/>
              <w:left w:val="single" w:color="CCCCCC" w:sz="1"/>
              <w:bottom w:val="single" w:color="CCCCCC" w:sz="1"/>
              <w:right w:val="single" w:color="CCCCCC" w:sz="1"/>
            </w:tcBorders>
            <w:shd w:fill="1F4E5C" w:val="clear"/>
            <w:tcMar>
              <w:top w:type="dxa" w:w="80"/>
              <w:left w:type="dxa" w:w="120"/>
              <w:bottom w:type="dxa" w:w="80"/>
              <w:right w:type="dxa" w:w="120"/>
            </w:tcMar>
            <w:vAlign w:val="center"/>
          </w:tcPr>
          <w:p>
            <w:r>
              <w:rPr>
                <w:b/>
                <w:bCs/>
                <w:color w:val="FFFFFF"/>
                <w:sz w:val="20"/>
                <w:szCs w:val="20"/>
              </w:rPr>
              <w:t xml:space="preserve">Justificación de inclusión en el MVP</w:t>
            </w:r>
          </w:p>
        </w:tc>
      </w:tr>
      <w:tr>
        <w:trPr>
          <w:cantSplit w:val="false"/>
        </w:trP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Registro e inicio de sesión</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Requisito base para cualquier funcionalidad con identidad de usuario</w:t>
            </w:r>
          </w:p>
        </w:tc>
      </w:tr>
      <w:tr>
        <w:trPr>
          <w:cantSplit w:val="false"/>
        </w:trP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2</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Gestión de perfil (datos básicos, privacidad de ubicación)</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Necesario para reputación y control de exposición del usuario</w:t>
            </w:r>
          </w:p>
        </w:tc>
      </w:tr>
      <w:tr>
        <w:trPr>
          <w:cantSplit w:val="false"/>
        </w:trP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3</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Reporte de incidentes con geolocalización</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Núcleo funcional del producto</w:t>
            </w:r>
          </w:p>
        </w:tc>
      </w:tr>
      <w:tr>
        <w:trPr>
          <w:cantSplit w:val="false"/>
        </w:trP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4</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Carga de fotografías en el reporte</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Evidencia mínima viable; video/audio se posponen por complejidad de almacenamiento y moderación</w:t>
            </w:r>
          </w:p>
        </w:tc>
      </w:tr>
      <w:tr>
        <w:trPr>
          <w:cantSplit w:val="false"/>
        </w:trP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5</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Visualización de reportes en mapa</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Sin esto, el reporte no genera valor visible inmediato</w:t>
            </w:r>
          </w:p>
        </w:tc>
      </w:tr>
      <w:tr>
        <w:trPr>
          <w:cantSplit w:val="false"/>
        </w:trP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6</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Confirmación de reportes por usuarios cercanos</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Mecanismo base de validación social, previo a IA</w:t>
            </w:r>
          </w:p>
        </w:tc>
      </w:tr>
      <w:tr>
        <w:trPr>
          <w:cantSplit w:val="false"/>
        </w:trP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7</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Sistema básico de reputación</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Necesario desde el día uno para ponderar confirmaciones y mitigar spam</w:t>
            </w:r>
          </w:p>
        </w:tc>
      </w:tr>
      <w:tr>
        <w:trPr>
          <w:cantSplit w:val="false"/>
        </w:trP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8</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Notificaciones push por radio configurable</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Propuesta de valor inmediata: “avísame si algo pasa cerca”</w:t>
            </w:r>
          </w:p>
        </w:tc>
      </w:tr>
      <w:tr>
        <w:trPr>
          <w:cantSplit w:val="false"/>
        </w:trP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9</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Dashboard Administrativo (reportes en tiempo real, mapa, estadísticas, moderación, gestión de usuarios)</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Representa, dentro del MVP, el futuro panel institucional, sin comprometer integraciones externas aún no autorizadas legalmente</w:t>
            </w:r>
          </w:p>
        </w:tc>
      </w:tr>
      <w:tr>
        <w:trPr>
          <w:cantSplit w:val="false"/>
        </w:trP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10</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Estadísticas generales (conteos por zona/tipo/tiempo)</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Valor analítico mínimo sin requerir IA</w:t>
            </w:r>
          </w:p>
        </w:tc>
      </w:tr>
      <w:tr>
        <w:trPr>
          <w:cantSplit w:val="false"/>
        </w:trP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11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API REST documentada con Swagger</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Estándar profesional; habilita futura app móvil e integraciones</w:t>
            </w:r>
          </w:p>
        </w:tc>
      </w:tr>
      <w:tr>
        <w:trPr>
          <w:cantSplit w:val="false"/>
        </w:trP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12</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Arquitectura modular preparada para evolucionar a microservicios</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Decisión estructural, ver Bloque C</w:t>
            </w:r>
          </w:p>
        </w:tc>
      </w:tr>
      <w:tr>
        <w:trPr>
          <w:cantSplit w:val="false"/>
        </w:trP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13</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Recuperación de contraseña por correo</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Requisito básico de autenticación propia; evita soporte manual desde el día uno</w:t>
            </w:r>
          </w:p>
        </w:tc>
      </w:tr>
      <w:tr>
        <w:trPr>
          <w:cantSplit w:val="false"/>
        </w:trP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14</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Eliminación de cuenta autogestionada</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Requisito de privacidad mínimo y buena práctica de cumplimiento</w:t>
            </w:r>
          </w:p>
        </w:tc>
      </w:tr>
      <w:tr>
        <w:trPr>
          <w:cantSplit w:val="false"/>
        </w:trP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15</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Gestión de notificaciones (activar/desactivar, ajustar radio)</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Control del usuario sobre la propuesta de valor central; el opt-out evita fatiga de notificación</w:t>
            </w:r>
          </w:p>
        </w:tc>
      </w:tr>
    </w:tbl>
    <w:p>
      <w:pPr>
        <w:spacing w:before="240"/>
      </w:pPr>
      <w:r>
        <w:rPr>
          <w:b/>
          <w:bCs/>
          <w:sz w:val="22"/>
          <w:szCs w:val="22"/>
        </w:rPr>
        <w:t xml:space="preserve">Explícitamente fuera del MVP (pero arquitectónicamente previsto):</w:t>
      </w:r>
    </w:p>
    <w:p>
      <w:pPr>
        <w:pStyle w:val="ListParagraph"/>
        <w:numPr>
          <w:ilvl w:val="0"/>
          <w:numId w:val="2"/>
        </w:numPr>
        <w:spacing w:after="80"/>
      </w:pPr>
      <w:r>
        <w:rPr>
          <w:i w:val="false"/>
          <w:iCs w:val="false"/>
          <w:sz w:val="22"/>
          <w:szCs w:val="22"/>
        </w:rPr>
        <w:t xml:space="preserve">Inteligencia Artificial (clasificación automática, detección de duplicados/spam, priorización)</w:t>
      </w:r>
    </w:p>
    <w:p>
      <w:pPr>
        <w:pStyle w:val="ListParagraph"/>
        <w:numPr>
          <w:ilvl w:val="0"/>
          <w:numId w:val="2"/>
        </w:numPr>
        <w:spacing w:after="80"/>
      </w:pPr>
      <w:r>
        <w:rPr>
          <w:i w:val="false"/>
          <w:iCs w:val="false"/>
          <w:sz w:val="22"/>
          <w:szCs w:val="22"/>
        </w:rPr>
        <w:t xml:space="preserve">Índice de Riesgo en Tiempo Real (IRT)</w:t>
      </w:r>
    </w:p>
    <w:p>
      <w:pPr>
        <w:pStyle w:val="ListParagraph"/>
        <w:numPr>
          <w:ilvl w:val="0"/>
          <w:numId w:val="2"/>
        </w:numPr>
        <w:spacing w:after="80"/>
      </w:pPr>
      <w:r>
        <w:rPr>
          <w:i w:val="false"/>
          <w:iCs w:val="false"/>
          <w:sz w:val="22"/>
          <w:szCs w:val="22"/>
        </w:rPr>
        <w:t xml:space="preserve">Rutas seguras</w:t>
      </w:r>
    </w:p>
    <w:p>
      <w:pPr>
        <w:pStyle w:val="ListParagraph"/>
        <w:numPr>
          <w:ilvl w:val="0"/>
          <w:numId w:val="2"/>
        </w:numPr>
        <w:spacing w:after="80"/>
      </w:pPr>
      <w:r>
        <w:rPr>
          <w:i w:val="false"/>
          <w:iCs w:val="false"/>
          <w:sz w:val="22"/>
          <w:szCs w:val="22"/>
        </w:rPr>
        <w:t xml:space="preserve">Integración con cámaras, sensores IoT, drones e iluminación inteligente (vía MQTT en fase futura)</w:t>
      </w:r>
    </w:p>
    <w:p>
      <w:pPr>
        <w:pStyle w:val="ListParagraph"/>
        <w:numPr>
          <w:ilvl w:val="0"/>
          <w:numId w:val="2"/>
        </w:numPr>
        <w:spacing w:after="80"/>
      </w:pPr>
      <w:r>
        <w:rPr>
          <w:i w:val="false"/>
          <w:iCs w:val="false"/>
          <w:sz w:val="22"/>
          <w:szCs w:val="22"/>
        </w:rPr>
        <w:t xml:space="preserve">Integración con empresas de seguridad y organismos oficiales</w:t>
      </w:r>
    </w:p>
    <w:p>
      <w:pPr>
        <w:pStyle w:val="ListParagraph"/>
        <w:numPr>
          <w:ilvl w:val="0"/>
          <w:numId w:val="2"/>
        </w:numPr>
        <w:spacing w:after="80"/>
      </w:pPr>
      <w:r>
        <w:rPr>
          <w:i w:val="false"/>
          <w:iCs w:val="false"/>
          <w:sz w:val="22"/>
          <w:szCs w:val="22"/>
        </w:rPr>
        <w:t xml:space="preserve">Dashboard avanzado institucional (con acceso real de Policía/Alcaldía)</w:t>
      </w:r>
    </w:p>
    <w:p>
      <w:pPr>
        <w:pStyle w:val="ListParagraph"/>
        <w:numPr>
          <w:ilvl w:val="0"/>
          <w:numId w:val="2"/>
        </w:numPr>
        <w:spacing w:after="80"/>
      </w:pPr>
      <w:r>
        <w:rPr>
          <w:i w:val="false"/>
          <w:iCs w:val="false"/>
          <w:sz w:val="22"/>
          <w:szCs w:val="22"/>
        </w:rPr>
        <w:t xml:space="preserve">Aplicación móvil nativa completa (el MVP es web/PWA; Flutter se evalúa en versión posterior)</w:t>
      </w:r>
    </w:p>
    <w:p>
      <w:pPr>
        <w:pStyle w:val="ListParagraph"/>
        <w:numPr>
          <w:ilvl w:val="0"/>
          <w:numId w:val="2"/>
        </w:numPr>
        <w:spacing w:after="80"/>
      </w:pPr>
      <w:r>
        <w:rPr>
          <w:i w:val="false"/>
          <w:iCs w:val="false"/>
          <w:sz w:val="22"/>
          <w:szCs w:val="22"/>
        </w:rPr>
        <w:t xml:space="preserve">Alertas por SMS</w:t>
      </w:r>
    </w:p>
    <w:p>
      <w:pPr>
        <w:pStyle w:val="ListParagraph"/>
        <w:numPr>
          <w:ilvl w:val="0"/>
          <w:numId w:val="2"/>
        </w:numPr>
        <w:spacing w:after="80"/>
      </w:pPr>
      <w:r>
        <w:rPr>
          <w:i w:val="false"/>
          <w:iCs w:val="false"/>
          <w:sz w:val="22"/>
          <w:szCs w:val="22"/>
        </w:rPr>
        <w:t xml:space="preserve">Modo offline</w:t>
      </w:r>
    </w:p>
    <w:p>
      <w:pPr>
        <w:pStyle w:val="ListParagraph"/>
        <w:numPr>
          <w:ilvl w:val="0"/>
          <w:numId w:val="2"/>
        </w:numPr>
        <w:spacing w:after="80"/>
      </w:pPr>
      <w:r>
        <w:rPr>
          <w:i w:val="false"/>
          <w:iCs w:val="false"/>
          <w:sz w:val="22"/>
          <w:szCs w:val="22"/>
        </w:rPr>
        <w:t xml:space="preserve">Chat comunitario por barrios</w:t>
      </w:r>
    </w:p>
    <w:p>
      <w:pPr>
        <w:pStyle w:val="Heading2"/>
      </w:pPr>
      <w:r>
        <w:t xml:space="preserve">2.2 Versión completa (visión de producto)</w:t>
      </w:r>
    </w:p>
    <w:p>
      <w:pPr>
        <w:spacing w:after="160"/>
      </w:pPr>
      <w:r>
        <w:rPr>
          <w:i w:val="false"/>
          <w:iCs w:val="false"/>
          <w:sz w:val="22"/>
          <w:szCs w:val="22"/>
        </w:rPr>
        <w:t xml:space="preserve">La versión completa materializa la visión original: plataforma nacional, con proyección regional a futuro, de inteligencia colaborativa para seguridad ciudadana, incorporando IA predictiva, IRT, rutas seguras, integración multi-sensor vía MQTT, e interoperabilidad institucional bajo marcos legales formales. El criterio rector para decidir qué migra de la versión completa hacia iteraciones posteriores del MVP es: </w:t>
      </w:r>
      <w:r>
        <w:rPr>
          <w:b/>
          <w:bCs/>
          <w:i w:val="false"/>
          <w:iCs w:val="false"/>
          <w:sz w:val="22"/>
          <w:szCs w:val="22"/>
        </w:rPr>
        <w:t xml:space="preserve">¿esta funcionalidad requiere volumen de datos o validación legal que el MVP aún no tiene?</w:t>
      </w:r>
      <w:r>
        <w:rPr>
          <w:i w:val="false"/>
          <w:iCs w:val="false"/>
          <w:sz w:val="22"/>
          <w:szCs w:val="22"/>
        </w:rPr>
        <w:t xml:space="preserve"> Si la respuesta es sí, se posterga; si no, se evalúa adelantarla.</w:t>
      </w:r>
    </w:p>
    <w:p>
      <w:pPr>
        <w:pStyle w:val="Heading1"/>
      </w:pPr>
      <w:r>
        <w:t xml:space="preserve">3. Actores del sistema</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460"/>
      </w:tblGrid>
      <w:tr>
        <w:trPr>
          <w:cantSplit w:val="false"/>
          <w:tblHeader/>
        </w:trPr>
        <w:tc>
          <w:tcPr>
            <w:tcW w:type="dxa" w:w="2200"/>
            <w:tcBorders>
              <w:top w:val="single" w:color="CCCCCC" w:sz="1"/>
              <w:left w:val="single" w:color="CCCCCC" w:sz="1"/>
              <w:bottom w:val="single" w:color="CCCCCC" w:sz="1"/>
              <w:right w:val="single" w:color="CCCCCC" w:sz="1"/>
            </w:tcBorders>
            <w:shd w:fill="1F4E5C" w:val="clear"/>
            <w:tcMar>
              <w:top w:type="dxa" w:w="80"/>
              <w:left w:type="dxa" w:w="120"/>
              <w:bottom w:type="dxa" w:w="80"/>
              <w:right w:type="dxa" w:w="120"/>
            </w:tcMar>
            <w:vAlign w:val="center"/>
          </w:tcPr>
          <w:p>
            <w:r>
              <w:rPr>
                <w:b/>
                <w:bCs/>
                <w:color w:val="FFFFFF"/>
                <w:sz w:val="20"/>
                <w:szCs w:val="20"/>
              </w:rPr>
              <w:t xml:space="preserve">Actor</w:t>
            </w:r>
          </w:p>
        </w:tc>
        <w:tc>
          <w:tcPr>
            <w:tcW w:type="dxa" w:w="3700"/>
            <w:tcBorders>
              <w:top w:val="single" w:color="CCCCCC" w:sz="1"/>
              <w:left w:val="single" w:color="CCCCCC" w:sz="1"/>
              <w:bottom w:val="single" w:color="CCCCCC" w:sz="1"/>
              <w:right w:val="single" w:color="CCCCCC" w:sz="1"/>
            </w:tcBorders>
            <w:shd w:fill="1F4E5C" w:val="clear"/>
            <w:tcMar>
              <w:top w:type="dxa" w:w="80"/>
              <w:left w:type="dxa" w:w="120"/>
              <w:bottom w:type="dxa" w:w="80"/>
              <w:right w:type="dxa" w:w="120"/>
            </w:tcMar>
            <w:vAlign w:val="center"/>
          </w:tcPr>
          <w:p>
            <w:r>
              <w:rPr>
                <w:b/>
                <w:bCs/>
                <w:color w:val="FFFFFF"/>
                <w:sz w:val="20"/>
                <w:szCs w:val="20"/>
              </w:rPr>
              <w:t xml:space="preserve">Rol en el MVP</w:t>
            </w:r>
          </w:p>
        </w:tc>
        <w:tc>
          <w:tcPr>
            <w:tcW w:type="dxa" w:w="3460"/>
            <w:tcBorders>
              <w:top w:val="single" w:color="CCCCCC" w:sz="1"/>
              <w:left w:val="single" w:color="CCCCCC" w:sz="1"/>
              <w:bottom w:val="single" w:color="CCCCCC" w:sz="1"/>
              <w:right w:val="single" w:color="CCCCCC" w:sz="1"/>
            </w:tcBorders>
            <w:shd w:fill="1F4E5C" w:val="clear"/>
            <w:tcMar>
              <w:top w:type="dxa" w:w="80"/>
              <w:left w:type="dxa" w:w="120"/>
              <w:bottom w:type="dxa" w:w="80"/>
              <w:right w:type="dxa" w:w="120"/>
            </w:tcMar>
            <w:vAlign w:val="center"/>
          </w:tcPr>
          <w:p>
            <w:r>
              <w:rPr>
                <w:b/>
                <w:bCs/>
                <w:color w:val="FFFFFF"/>
                <w:sz w:val="20"/>
                <w:szCs w:val="20"/>
              </w:rPr>
              <w:t xml:space="preserve">Rol en versión completa</w:t>
            </w:r>
          </w:p>
        </w:tc>
      </w:tr>
      <w:tr>
        <w:trPr>
          <w:cantSplit w:val="false"/>
        </w:trPr>
        <w:tc>
          <w:tcPr>
            <w:tcW w:type="dxa" w:w="2200"/>
            <w:tcBorders>
              <w:top w:val="single" w:color="CCCCCC" w:sz="1"/>
              <w:left w:val="single" w:color="CCCCCC" w:sz="1"/>
              <w:bottom w:val="single" w:color="CCCCCC" w:sz="1"/>
              <w:right w:val="single" w:color="CCCCCC" w:sz="1"/>
            </w:tcBorders>
            <w:shd w:fill="DCEAEE" w:val="clear"/>
            <w:tcMar>
              <w:top w:type="dxa" w:w="80"/>
              <w:left w:type="dxa" w:w="120"/>
              <w:bottom w:type="dxa" w:w="80"/>
              <w:right w:type="dxa" w:w="120"/>
            </w:tcMar>
            <w:vAlign w:val="center"/>
          </w:tcPr>
          <w:p>
            <w:r>
              <w:rPr>
                <w:b w:val="false"/>
                <w:bCs w:val="false"/>
                <w:i w:val="false"/>
                <w:iCs w:val="false"/>
                <w:sz w:val="20"/>
                <w:szCs w:val="20"/>
              </w:rPr>
              <w:t xml:space="preserve">Ciudadano</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Se registra, reporta incidentes, confirma reportes de otros, recibe notificaciones, gestiona su privacidad, consulta su historial personal</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Igual, más participación en chat comunitario y rutas seguras</w:t>
            </w:r>
          </w:p>
        </w:tc>
      </w:tr>
      <w:tr>
        <w:trPr>
          <w:cantSplit w:val="false"/>
        </w:trPr>
        <w:tc>
          <w:tcPr>
            <w:tcW w:type="dxa" w:w="2200"/>
            <w:tcBorders>
              <w:top w:val="single" w:color="CCCCCC" w:sz="1"/>
              <w:left w:val="single" w:color="CCCCCC" w:sz="1"/>
              <w:bottom w:val="single" w:color="CCCCCC" w:sz="1"/>
              <w:right w:val="single" w:color="CCCCCC" w:sz="1"/>
            </w:tcBorders>
            <w:shd w:fill="DCEAEE" w:val="clear"/>
            <w:tcMar>
              <w:top w:type="dxa" w:w="80"/>
              <w:left w:type="dxa" w:w="120"/>
              <w:bottom w:type="dxa" w:w="80"/>
              <w:right w:type="dxa" w:w="120"/>
            </w:tcMar>
            <w:vAlign w:val="center"/>
          </w:tcPr>
          <w:p>
            <w:r>
              <w:rPr>
                <w:b w:val="false"/>
                <w:bCs w:val="false"/>
                <w:i w:val="false"/>
                <w:iCs w:val="false"/>
                <w:sz w:val="20"/>
                <w:szCs w:val="20"/>
              </w:rPr>
              <w:t xml:space="preserve">Moderador</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Revisa contenido reportado como ofensivo o falso, gestiona apelaciones, opera desde el Dashboard Administrativo</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Apoyado por IA de pre-clasificación</w:t>
            </w:r>
          </w:p>
        </w:tc>
      </w:tr>
      <w:tr>
        <w:trPr>
          <w:cantSplit w:val="false"/>
        </w:trPr>
        <w:tc>
          <w:tcPr>
            <w:tcW w:type="dxa" w:w="2200"/>
            <w:tcBorders>
              <w:top w:val="single" w:color="CCCCCC" w:sz="1"/>
              <w:left w:val="single" w:color="CCCCCC" w:sz="1"/>
              <w:bottom w:val="single" w:color="CCCCCC" w:sz="1"/>
              <w:right w:val="single" w:color="CCCCCC" w:sz="1"/>
            </w:tcBorders>
            <w:shd w:fill="DCEAEE" w:val="clear"/>
            <w:tcMar>
              <w:top w:type="dxa" w:w="80"/>
              <w:left w:type="dxa" w:w="120"/>
              <w:bottom w:type="dxa" w:w="80"/>
              <w:right w:type="dxa" w:w="120"/>
            </w:tcMar>
            <w:vAlign w:val="center"/>
          </w:tcPr>
          <w:p>
            <w:r>
              <w:rPr>
                <w:b w:val="false"/>
                <w:bCs w:val="false"/>
                <w:i w:val="false"/>
                <w:iCs w:val="false"/>
                <w:sz w:val="20"/>
                <w:szCs w:val="20"/>
              </w:rPr>
              <w:t xml:space="preserve">Administrador</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Gestiona usuarios, opera el Dashboard Administrativo completo (reportes en tiempo real, mapa, estadísticas, moderación), configura parámetros del sistema</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Gestiona integraciones externas y modelos de IA</w:t>
            </w:r>
          </w:p>
        </w:tc>
      </w:tr>
      <w:tr>
        <w:trPr>
          <w:cantSplit w:val="false"/>
        </w:trPr>
        <w:tc>
          <w:tcPr>
            <w:tcW w:type="dxa" w:w="2200"/>
            <w:tcBorders>
              <w:top w:val="single" w:color="CCCCCC" w:sz="1"/>
              <w:left w:val="single" w:color="CCCCCC" w:sz="1"/>
              <w:bottom w:val="single" w:color="CCCCCC" w:sz="1"/>
              <w:right w:val="single" w:color="CCCCCC" w:sz="1"/>
            </w:tcBorders>
            <w:shd w:fill="DCEAEE" w:val="clear"/>
            <w:tcMar>
              <w:top w:type="dxa" w:w="80"/>
              <w:left w:type="dxa" w:w="120"/>
              <w:bottom w:type="dxa" w:w="80"/>
              <w:right w:type="dxa" w:w="120"/>
            </w:tcMar>
            <w:vAlign w:val="center"/>
          </w:tcPr>
          <w:p>
            <w:r>
              <w:rPr>
                <w:b w:val="false"/>
                <w:bCs w:val="false"/>
                <w:i w:val="false"/>
                <w:iCs w:val="false"/>
                <w:sz w:val="20"/>
                <w:szCs w:val="20"/>
              </w:rPr>
              <w:t xml:space="preserve">Sistema de Notificaciones</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Envía notificaciones push según radio y nivel de confianza</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Incorpora canal SMS adicional</w:t>
            </w:r>
          </w:p>
        </w:tc>
      </w:tr>
      <w:tr>
        <w:trPr>
          <w:cantSplit w:val="false"/>
        </w:trPr>
        <w:tc>
          <w:tcPr>
            <w:tcW w:type="dxa" w:w="2200"/>
            <w:tcBorders>
              <w:top w:val="single" w:color="CCCCCC" w:sz="1"/>
              <w:left w:val="single" w:color="CCCCCC" w:sz="1"/>
              <w:bottom w:val="single" w:color="CCCCCC" w:sz="1"/>
              <w:right w:val="single" w:color="CCCCCC" w:sz="1"/>
            </w:tcBorders>
            <w:shd w:fill="DCEAEE" w:val="clear"/>
            <w:tcMar>
              <w:top w:type="dxa" w:w="80"/>
              <w:left w:type="dxa" w:w="120"/>
              <w:bottom w:type="dxa" w:w="80"/>
              <w:right w:type="dxa" w:w="120"/>
            </w:tcMar>
            <w:vAlign w:val="center"/>
          </w:tcPr>
          <w:p>
            <w:r>
              <w:rPr>
                <w:b w:val="false"/>
                <w:bCs w:val="false"/>
                <w:i w:val="false"/>
                <w:iCs w:val="false"/>
                <w:sz w:val="20"/>
                <w:szCs w:val="20"/>
              </w:rPr>
              <w:t xml:space="preserve">Policía / Alcaldía / Empresa de Seguridad</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Sin acceso directo al sistema. El Dashboard Administrativo es de uso exclusivo de administradores internos, y funciona como prototipo del futuro panel institucional</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Acceso bajo convenio formal, con marco legal y de protección de datos resuelto</w:t>
            </w:r>
          </w:p>
        </w:tc>
      </w:tr>
    </w:tbl>
    <w:p>
      <w:pPr>
        <w:pBdr>
          <w:left w:val="single" w:color="1F4E5C" w:sz="18" w:space="8"/>
        </w:pBdr>
        <w:spacing w:after="200" w:before="100"/>
      </w:pPr>
      <w:r>
        <w:rPr>
          <w:i/>
          <w:iCs/>
          <w:sz w:val="22"/>
          <w:szCs w:val="22"/>
        </w:rPr>
        <w:t xml:space="preserve">Decisión de diseño — Dashboard Administrativo como puente hacia el panel institucional. En lugar de excluir por completo la perspectiva institucional del MVP, se incorpora un Dashboard Administrativo operado únicamente por administradores del sistema. Esto entrega valor real desde el día uno (moderación, visibilidad de reportes, estadísticas) y construye, sin costo arquitectónico adicional, el cimiento técnico del futuro dashboard institucional: los mismos endpoints de agregación y visualización se extenderán con capas de autorización adicionales cuando exista un convenio formal con una entidad oficial. No hay ninguna cuenta de Policía, Alcaldía o empresa de seguridad en el MVP; su ausencia es una decisión de cumplimiento (ver Bloque E), no una limitación técnica del dashboard.</w:t>
      </w:r>
    </w:p>
    <w:p>
      <w:pPr>
        <w:pStyle w:val="Heading1"/>
      </w:pPr>
      <w:r>
        <w:t xml:space="preserve">4. Requisitos</w:t>
      </w:r>
    </w:p>
    <w:p>
      <w:pPr>
        <w:pStyle w:val="Heading2"/>
      </w:pPr>
      <w:r>
        <w:t xml:space="preserve">4.0 Principio rector de experiencia de usuario</w:t>
      </w:r>
    </w:p>
    <w:p>
      <w:pPr>
        <w:spacing w:after="160"/>
      </w:pPr>
      <w:r>
        <w:rPr>
          <w:i w:val="false"/>
          <w:iCs w:val="false"/>
          <w:sz w:val="22"/>
          <w:szCs w:val="22"/>
        </w:rPr>
        <w:t xml:space="preserve">Antes de listar los requisitos, conviene fijar un criterio de diseño que los atraviesa a todos: </w:t>
      </w:r>
      <w:r>
        <w:rPr>
          <w:b/>
          <w:bCs/>
          <w:i w:val="false"/>
          <w:iCs w:val="false"/>
          <w:sz w:val="22"/>
          <w:szCs w:val="22"/>
        </w:rPr>
        <w:t xml:space="preserve">SAFECITY debe sentirse tan simple de usar como Waze o Google Maps al reportar un incidente de tráfico.</w:t>
      </w:r>
      <w:r>
        <w:rPr>
          <w:i w:val="false"/>
          <w:iCs w:val="false"/>
          <w:sz w:val="22"/>
          <w:szCs w:val="22"/>
        </w:rPr>
        <w:t xml:space="preserve"> Esto se traduce en una restricción concreta de producto: el flujo de creación de un reporte debe completarse en, como máximo, estos cinco pasos, sin pantallas intermedias innecesarias:</w:t>
      </w:r>
    </w:p>
    <w:p>
      <w:pPr>
        <w:pStyle w:val="ListParagraph"/>
        <w:numPr>
          <w:ilvl w:val="0"/>
          <w:numId w:val="4"/>
        </w:numPr>
        <w:spacing w:after="80"/>
      </w:pPr>
      <w:r>
        <w:rPr>
          <w:i w:val="false"/>
          <w:iCs w:val="false"/>
          <w:sz w:val="22"/>
          <w:szCs w:val="22"/>
        </w:rPr>
        <w:t xml:space="preserve">Seleccionar tipo de incidente (lista visual, no formulario largo).</w:t>
      </w:r>
    </w:p>
    <w:p>
      <w:pPr>
        <w:pStyle w:val="ListParagraph"/>
        <w:numPr>
          <w:ilvl w:val="0"/>
          <w:numId w:val="4"/>
        </w:numPr>
        <w:spacing w:after="80"/>
      </w:pPr>
      <w:r>
        <w:rPr>
          <w:i w:val="false"/>
          <w:iCs w:val="false"/>
          <w:sz w:val="22"/>
          <w:szCs w:val="22"/>
        </w:rPr>
        <w:t xml:space="preserve">Confirmar ubicación (autodetectada por GPS, con opción de ajuste manual).</w:t>
      </w:r>
    </w:p>
    <w:p>
      <w:pPr>
        <w:pStyle w:val="ListParagraph"/>
        <w:numPr>
          <w:ilvl w:val="0"/>
          <w:numId w:val="4"/>
        </w:numPr>
        <w:spacing w:after="80"/>
      </w:pPr>
      <w:r>
        <w:rPr>
          <w:i w:val="false"/>
          <w:iCs w:val="false"/>
          <w:sz w:val="22"/>
          <w:szCs w:val="22"/>
        </w:rPr>
        <w:t xml:space="preserve">Agregar descripción breve (texto corto, opcional más allá de lo esencial).</w:t>
      </w:r>
    </w:p>
    <w:p>
      <w:pPr>
        <w:pStyle w:val="ListParagraph"/>
        <w:numPr>
          <w:ilvl w:val="0"/>
          <w:numId w:val="4"/>
        </w:numPr>
        <w:spacing w:after="80"/>
      </w:pPr>
      <w:r>
        <w:rPr>
          <w:i w:val="false"/>
          <w:iCs w:val="false"/>
          <w:sz w:val="22"/>
          <w:szCs w:val="22"/>
        </w:rPr>
        <w:t xml:space="preserve">Adjuntar evidencia fotográfica (opcional, no bloqueante).</w:t>
      </w:r>
    </w:p>
    <w:p>
      <w:pPr>
        <w:pStyle w:val="ListParagraph"/>
        <w:numPr>
          <w:ilvl w:val="0"/>
          <w:numId w:val="4"/>
        </w:numPr>
        <w:spacing w:after="80"/>
      </w:pPr>
      <w:r>
        <w:rPr>
          <w:i w:val="false"/>
          <w:iCs w:val="false"/>
          <w:sz w:val="22"/>
          <w:szCs w:val="22"/>
        </w:rPr>
        <w:t xml:space="preserve">Enviar.</w:t>
      </w:r>
    </w:p>
    <w:p>
      <w:pPr>
        <w:spacing w:after="160"/>
      </w:pPr>
      <w:r>
        <w:rPr>
          <w:i w:val="false"/>
          <w:iCs w:val="false"/>
          <w:sz w:val="22"/>
          <w:szCs w:val="22"/>
        </w:rPr>
        <w:t xml:space="preserve">Esta restricción de UX tiene implicaciones directas en RF-07 (estructura del formulario de reporte) y en el diseño de la API REST: el endpoint de creación de reporte debe aceptar payloads mínimos válidos (tipo + ubicación) y tratar descripción y foto como campos opcionales, no obligatorios.</w:t>
      </w:r>
    </w:p>
    <w:p>
      <w:pPr>
        <w:pStyle w:val="Heading2"/>
      </w:pPr>
      <w:r>
        <w:t xml:space="preserve">4.1 Requisitos funcionales (MVP)</w:t>
      </w:r>
    </w:p>
    <w:p>
      <w:pPr>
        <w:spacing w:after="160"/>
      </w:pPr>
      <w:r>
        <w:rPr>
          <w:i w:val="false"/>
          <w:iCs w:val="false"/>
          <w:sz w:val="22"/>
          <w:szCs w:val="22"/>
        </w:rPr>
        <w:t xml:space="preserve">Cada requisito incluye una columna de </w:t>
      </w:r>
      <w:r>
        <w:rPr>
          <w:b/>
          <w:bCs/>
          <w:i w:val="false"/>
          <w:iCs w:val="false"/>
          <w:sz w:val="22"/>
          <w:szCs w:val="22"/>
        </w:rPr>
        <w:t xml:space="preserve">trazabilidad</w:t>
      </w:r>
      <w:r>
        <w:rPr>
          <w:i w:val="false"/>
          <w:iCs w:val="false"/>
          <w:sz w:val="22"/>
          <w:szCs w:val="22"/>
        </w:rPr>
        <w:t xml:space="preserve"> que lo ancla a su módulo del sistema (ver Bloque C) y al caso de uso correspondiente del Bloque B. Los identificadores CU-XX se desarrollan en ese bloque y deben leerse como continuación directa de esta tabla.</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5800"/>
        <w:gridCol w:w="1900"/>
        <w:gridCol w:w="880"/>
      </w:tblGrid>
      <w:tr>
        <w:trPr>
          <w:cantSplit w:val="false"/>
          <w:tblHeader/>
        </w:trPr>
        <w:tc>
          <w:tcPr>
            <w:tcW w:type="dxa" w:w="780"/>
            <w:tcBorders>
              <w:top w:val="single" w:color="CCCCCC" w:sz="1"/>
              <w:left w:val="single" w:color="CCCCCC" w:sz="1"/>
              <w:bottom w:val="single" w:color="CCCCCC" w:sz="1"/>
              <w:right w:val="single" w:color="CCCCCC" w:sz="1"/>
            </w:tcBorders>
            <w:shd w:fill="1F4E5C" w:val="clear"/>
            <w:tcMar>
              <w:top w:type="dxa" w:w="80"/>
              <w:left w:type="dxa" w:w="120"/>
              <w:bottom w:type="dxa" w:w="80"/>
              <w:right w:type="dxa" w:w="120"/>
            </w:tcMar>
            <w:vAlign w:val="center"/>
          </w:tcPr>
          <w:p>
            <w:r>
              <w:rPr>
                <w:b/>
                <w:bCs/>
                <w:color w:val="FFFFFF"/>
                <w:sz w:val="20"/>
                <w:szCs w:val="20"/>
              </w:rPr>
              <w:t xml:space="preserve">ID</w:t>
            </w:r>
          </w:p>
        </w:tc>
        <w:tc>
          <w:tcPr>
            <w:tcW w:type="dxa" w:w="5800"/>
            <w:tcBorders>
              <w:top w:val="single" w:color="CCCCCC" w:sz="1"/>
              <w:left w:val="single" w:color="CCCCCC" w:sz="1"/>
              <w:bottom w:val="single" w:color="CCCCCC" w:sz="1"/>
              <w:right w:val="single" w:color="CCCCCC" w:sz="1"/>
            </w:tcBorders>
            <w:shd w:fill="1F4E5C" w:val="clear"/>
            <w:tcMar>
              <w:top w:type="dxa" w:w="80"/>
              <w:left w:type="dxa" w:w="120"/>
              <w:bottom w:type="dxa" w:w="80"/>
              <w:right w:type="dxa" w:w="120"/>
            </w:tcMar>
            <w:vAlign w:val="center"/>
          </w:tcPr>
          <w:p>
            <w:r>
              <w:rPr>
                <w:b/>
                <w:bCs/>
                <w:color w:val="FFFFFF"/>
                <w:sz w:val="20"/>
                <w:szCs w:val="20"/>
              </w:rPr>
              <w:t xml:space="preserve">Requisito</w:t>
            </w:r>
          </w:p>
        </w:tc>
        <w:tc>
          <w:tcPr>
            <w:tcW w:type="dxa" w:w="1900"/>
            <w:tcBorders>
              <w:top w:val="single" w:color="CCCCCC" w:sz="1"/>
              <w:left w:val="single" w:color="CCCCCC" w:sz="1"/>
              <w:bottom w:val="single" w:color="CCCCCC" w:sz="1"/>
              <w:right w:val="single" w:color="CCCCCC" w:sz="1"/>
            </w:tcBorders>
            <w:shd w:fill="1F4E5C" w:val="clear"/>
            <w:tcMar>
              <w:top w:type="dxa" w:w="80"/>
              <w:left w:type="dxa" w:w="120"/>
              <w:bottom w:type="dxa" w:w="80"/>
              <w:right w:type="dxa" w:w="120"/>
            </w:tcMar>
            <w:vAlign w:val="center"/>
          </w:tcPr>
          <w:p>
            <w:r>
              <w:rPr>
                <w:b/>
                <w:bCs/>
                <w:color w:val="FFFFFF"/>
                <w:sz w:val="20"/>
                <w:szCs w:val="20"/>
              </w:rPr>
              <w:t xml:space="preserve">Módulo</w:t>
            </w:r>
          </w:p>
        </w:tc>
        <w:tc>
          <w:tcPr>
            <w:tcW w:type="dxa" w:w="880"/>
            <w:tcBorders>
              <w:top w:val="single" w:color="CCCCCC" w:sz="1"/>
              <w:left w:val="single" w:color="CCCCCC" w:sz="1"/>
              <w:bottom w:val="single" w:color="CCCCCC" w:sz="1"/>
              <w:right w:val="single" w:color="CCCCCC" w:sz="1"/>
            </w:tcBorders>
            <w:shd w:fill="1F4E5C" w:val="clear"/>
            <w:tcMar>
              <w:top w:type="dxa" w:w="80"/>
              <w:left w:type="dxa" w:w="120"/>
              <w:bottom w:type="dxa" w:w="80"/>
              <w:right w:type="dxa" w:w="120"/>
            </w:tcMar>
            <w:vAlign w:val="center"/>
          </w:tcPr>
          <w:p>
            <w:r>
              <w:rPr>
                <w:b/>
                <w:bCs/>
                <w:color w:val="FFFFFF"/>
                <w:sz w:val="20"/>
                <w:szCs w:val="20"/>
              </w:rPr>
              <w:t xml:space="preserve">CU</w:t>
            </w:r>
          </w:p>
        </w:tc>
      </w:tr>
      <w:tr>
        <w:trPr>
          <w:cantSplit w:val="false"/>
        </w:trP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RF-01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El sistema debe permitir el registro de usuarios mediante correo electrónico y contraseña</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Usuarios/Auth</w:t>
            </w:r>
          </w:p>
        </w:tc>
        <w:tc>
          <w:tcPr>
            <w:tcW w:type="dxa" w:w="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CU-01</w:t>
            </w:r>
          </w:p>
        </w:tc>
      </w:tr>
      <w:tr>
        <w:trPr>
          <w:cantSplit w:val="false"/>
        </w:trP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RF-02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El sistema debe permitir el inicio de sesión mediante JWT con refresh tokens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Usuarios/Auth</w:t>
            </w:r>
          </w:p>
        </w:tc>
        <w:tc>
          <w:tcPr>
            <w:tcW w:type="dxa" w:w="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CU-02</w:t>
            </w:r>
          </w:p>
        </w:tc>
      </w:tr>
      <w:tr>
        <w:trPr>
          <w:cantSplit w:val="false"/>
        </w:trP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RF-03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El sistema debe permitir la recuperación de contraseña mediante correo electrónico</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Usuarios/Auth</w:t>
            </w:r>
          </w:p>
        </w:tc>
        <w:tc>
          <w:tcPr>
            <w:tcW w:type="dxa" w:w="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CU-03</w:t>
            </w:r>
          </w:p>
        </w:tc>
      </w:tr>
      <w:tr>
        <w:trPr>
          <w:cantSplit w:val="false"/>
        </w:trP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RF-04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El usuario debe poder editar su perfil (nombre, foto, barrio)</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Usuarios</w:t>
            </w:r>
          </w:p>
        </w:tc>
        <w:tc>
          <w:tcPr>
            <w:tcW w:type="dxa" w:w="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CU-04</w:t>
            </w:r>
          </w:p>
        </w:tc>
      </w:tr>
      <w:tr>
        <w:trPr>
          <w:cantSplit w:val="false"/>
        </w:trP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RF-05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El usuario debe poder eliminar su cuenta y solicitar la eliminación de sus datos personales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Usuarios</w:t>
            </w:r>
          </w:p>
        </w:tc>
        <w:tc>
          <w:tcPr>
            <w:tcW w:type="dxa" w:w="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CU-05</w:t>
            </w:r>
          </w:p>
        </w:tc>
      </w:tr>
      <w:tr>
        <w:trPr>
          <w:cantSplit w:val="false"/>
        </w:trP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RF-06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El usuario debe poder configurar su privacidad (visibilidad de ubicación exacta vs. aproximada, visibilidad de perfil)</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Usuarios</w:t>
            </w:r>
          </w:p>
        </w:tc>
        <w:tc>
          <w:tcPr>
            <w:tcW w:type="dxa" w:w="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CU-06</w:t>
            </w:r>
          </w:p>
        </w:tc>
      </w:tr>
      <w:tr>
        <w:trPr>
          <w:cantSplit w:val="false"/>
        </w:trP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RF-07</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El sistema debe permitir crear un reporte de incidente en máximo 5 pasos: tipo, ubicación, descripción opcional, evidencia fotográfica opcional</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Reportes</w:t>
            </w:r>
          </w:p>
        </w:tc>
        <w:tc>
          <w:tcPr>
            <w:tcW w:type="dxa" w:w="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CU-07</w:t>
            </w:r>
          </w:p>
        </w:tc>
      </w:tr>
      <w:tr>
        <w:trPr>
          <w:cantSplit w:val="false"/>
        </w:trP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RF-08</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El sistema debe asignar un UUID único a cada reporte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Reportes</w:t>
            </w:r>
          </w:p>
        </w:tc>
        <w:tc>
          <w:tcPr>
            <w:tcW w:type="dxa" w:w="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CU-07</w:t>
            </w:r>
          </w:p>
        </w:tc>
      </w:tr>
      <w:tr>
        <w:trPr>
          <w:cantSplit w:val="false"/>
        </w:trP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RF-09</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El usuario debe poder consultar su historial personal de reportes creados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Reportes</w:t>
            </w:r>
          </w:p>
        </w:tc>
        <w:tc>
          <w:tcPr>
            <w:tcW w:type="dxa" w:w="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CU-08</w:t>
            </w:r>
          </w:p>
        </w:tc>
      </w:tr>
      <w:tr>
        <w:trPr>
          <w:cantSplit w:val="false"/>
        </w:trP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RF-10</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El sistema debe permitir que otros usuarios confirmen un reporte existente cercano a su ubicación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Confirmaciones</w:t>
            </w:r>
          </w:p>
        </w:tc>
        <w:tc>
          <w:tcPr>
            <w:tcW w:type="dxa" w:w="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CU-09</w:t>
            </w:r>
          </w:p>
        </w:tc>
      </w:tr>
      <w:tr>
        <w:trPr>
          <w:cantSplit w:val="false"/>
        </w:trP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RF-11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El sistema debe calcular un puntaje de reputación por usuario, actualizado según reportes confirmados o descartados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Reputación</w:t>
            </w:r>
          </w:p>
        </w:tc>
        <w:tc>
          <w:tcPr>
            <w:tcW w:type="dxa" w:w="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CU-10</w:t>
            </w:r>
          </w:p>
        </w:tc>
      </w:tr>
      <w:tr>
        <w:trPr>
          <w:cantSplit w:val="false"/>
        </w:trP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RF-12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El sistema debe mostrar los reportes activos en un mapa interactivo con filtros por tipo, fecha y estado</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Mapas</w:t>
            </w:r>
          </w:p>
        </w:tc>
        <w:tc>
          <w:tcPr>
            <w:tcW w:type="dxa" w:w="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CU-11</w:t>
            </w:r>
          </w:p>
        </w:tc>
      </w:tr>
      <w:tr>
        <w:trPr>
          <w:cantSplit w:val="false"/>
        </w:trP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RF-13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El sistema debe permitir al usuario gestionar sus notificaciones (activar/desactivar, ajustar radio entre 100 m y 1 km)</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Notificaciones</w:t>
            </w:r>
          </w:p>
        </w:tc>
        <w:tc>
          <w:tcPr>
            <w:tcW w:type="dxa" w:w="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CU-12</w:t>
            </w:r>
          </w:p>
        </w:tc>
      </w:tr>
      <w:tr>
        <w:trPr>
          <w:cantSplit w:val="false"/>
        </w:trP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RF-14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El sistema debe enviar notificaciones push a usuarios dentro del radio configurado, sujeto a un umbral mínimo de confianza</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Notificaciones</w:t>
            </w:r>
          </w:p>
        </w:tc>
        <w:tc>
          <w:tcPr>
            <w:tcW w:type="dxa" w:w="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CU-13</w:t>
            </w:r>
          </w:p>
        </w:tc>
      </w:tr>
      <w:tr>
        <w:trPr>
          <w:cantSplit w:val="false"/>
        </w:trP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RF-15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El sistema debe permitir a un administrador o moderador cambiar el estado de un reporte desde el Dashboard Administrativo</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Dashboard Admin</w:t>
            </w:r>
          </w:p>
        </w:tc>
        <w:tc>
          <w:tcPr>
            <w:tcW w:type="dxa" w:w="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CU-14</w:t>
            </w:r>
          </w:p>
        </w:tc>
      </w:tr>
      <w:tr>
        <w:trPr>
          <w:cantSplit w:val="false"/>
        </w:trP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RF-16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El sistema debe permitir a un administrador gestionar usuarios (suspender, revisar reputación) desde el Dashboard Administrativo</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Dashboard Admin</w:t>
            </w:r>
          </w:p>
        </w:tc>
        <w:tc>
          <w:tcPr>
            <w:tcW w:type="dxa" w:w="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CU-15</w:t>
            </w:r>
          </w:p>
        </w:tc>
      </w:tr>
      <w:tr>
        <w:trPr>
          <w:cantSplit w:val="false"/>
        </w:trP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RF-17</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El sistema debe permitir apelar la marcación de un reporte como falso</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Reportes / Dashboard Admin</w:t>
            </w:r>
          </w:p>
        </w:tc>
        <w:tc>
          <w:tcPr>
            <w:tcW w:type="dxa" w:w="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CU-16</w:t>
            </w:r>
          </w:p>
        </w:tc>
      </w:tr>
      <w:tr>
        <w:trPr>
          <w:cantSplit w:val="false"/>
        </w:trP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RF-18</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El sistema debe exponer estadísticas agregadas (conteo por tipo, zona y periodo) en el Dashboard Administrativo</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Analítica</w:t>
            </w:r>
          </w:p>
        </w:tc>
        <w:tc>
          <w:tcPr>
            <w:tcW w:type="dxa" w:w="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CU-17</w:t>
            </w:r>
          </w:p>
        </w:tc>
      </w:tr>
      <w:tr>
        <w:trPr>
          <w:cantSplit w:val="false"/>
        </w:trP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RF-19</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El sistema debe documentar su API REST mediante OpenAPI/Swagger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Transversal</w:t>
            </w:r>
          </w:p>
        </w:tc>
        <w:tc>
          <w:tcPr>
            <w:tcW w:type="dxa" w:w="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w:t>
            </w:r>
          </w:p>
        </w:tc>
      </w:tr>
      <w:tr>
        <w:trPr>
          <w:cantSplit w:val="false"/>
        </w:trP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RF-20</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El sistema debe mostrar, al crear un reporte, un aviso de que este no constituye una denuncia formal</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Reportes</w:t>
            </w:r>
          </w:p>
        </w:tc>
        <w:tc>
          <w:tcPr>
            <w:tcW w:type="dxa" w:w="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CU-07</w:t>
            </w:r>
          </w:p>
        </w:tc>
      </w:tr>
      <w:tr>
        <w:trPr>
          <w:cantSplit w:val="false"/>
        </w:trP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RF-21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El modelo de datos de localización (ciudad, localidad/distrito, zona) debe ser genérico y configurable, sin ninguna referencia codificada a Bogotá ni a las localidades piloto</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Geolocalización / Transversal</w:t>
            </w:r>
          </w:p>
        </w:tc>
        <w:tc>
          <w:tcPr>
            <w:tcW w:type="dxa" w:w="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w:t>
            </w:r>
          </w:p>
        </w:tc>
      </w:tr>
      <w:tr>
        <w:trPr>
          <w:cantSplit w:val="false"/>
        </w:trP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RF-22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La aplicación debe funcionar como Progressive Web App (PWA), instalable en dispositivos móviles y de escritorio</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Transversal / Frontend</w:t>
            </w:r>
          </w:p>
        </w:tc>
        <w:tc>
          <w:tcPr>
            <w:tcW w:type="dxa" w:w="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CU-18</w:t>
            </w:r>
          </w:p>
        </w:tc>
      </w:tr>
      <w:tr>
        <w:trPr>
          <w:cantSplit w:val="false"/>
        </w:trP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RF-23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El usuario podrá compartir su ubicación de forma temporal y bajo consentimiento explícito, únicamente mientras usa la aplicación, para ver su posición en el mapa, calcular distancia a incidentes y recibir notificaciones por radio; la ubicación no se persiste salvo cuando forma parte de un reporte enviado</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Geolocalización</w:t>
            </w:r>
          </w:p>
        </w:tc>
        <w:tc>
          <w:tcPr>
            <w:tcW w:type="dxa" w:w="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CU-19</w:t>
            </w:r>
          </w:p>
        </w:tc>
      </w:tr>
      <w:tr>
        <w:trPr>
          <w:cantSplit w:val="false"/>
        </w:trP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RF-24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El sistema permitirá buscar y filtrar reportes por localidad, barrio, tipo de incidente y rango de fecha</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Reportes / Mapas</w:t>
            </w:r>
          </w:p>
        </w:tc>
        <w:tc>
          <w:tcPr>
            <w:tcW w:type="dxa" w:w="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CU-20</w:t>
            </w:r>
          </w:p>
        </w:tc>
      </w:tr>
      <w:tr>
        <w:trPr>
          <w:cantSplit w:val="false"/>
        </w:trP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RF-25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El usuario podrá configurar zonas favoritas para recibir notificaciones de esas zonas, independientemente de su ubicación actual</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Notificaciones</w:t>
            </w:r>
          </w:p>
        </w:tc>
        <w:tc>
          <w:tcPr>
            <w:tcW w:type="dxa" w:w="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CU-21</w:t>
            </w:r>
          </w:p>
        </w:tc>
      </w:tr>
      <w:tr>
        <w:trPr>
          <w:cantSplit w:val="false"/>
        </w:trP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RF-26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Los reportes deben pasar automáticamente al historial al expirar su tiempo de vigencia (definido por tipo de incidente en una tabla de configuración, no en código); permanecen almacenados para consultas y estadísticas, nunca se eliminan físicamente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Reportes</w:t>
            </w:r>
          </w:p>
        </w:tc>
        <w:tc>
          <w:tcPr>
            <w:tcW w:type="dxa" w:w="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CU-22</w:t>
            </w:r>
          </w:p>
        </w:tc>
      </w:tr>
      <w:tr>
        <w:trPr>
          <w:cantSplit w:val="false"/>
        </w:trP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RF-27</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El perfil del usuario debe mostrar estadísticas personales: historial de reportes, puntaje de reputación y nivel de colaboración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Usuarios / Reputación</w:t>
            </w:r>
          </w:p>
        </w:tc>
        <w:tc>
          <w:tcPr>
            <w:tcW w:type="dxa" w:w="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CU-23</w:t>
            </w:r>
          </w:p>
        </w:tc>
      </w:tr>
      <w:tr>
        <w:trPr>
          <w:cantSplit w:val="false"/>
        </w:trP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RF-28</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El sistema debe permitir consulta pública sin autenticación del mapa de reportes, búsqueda/filtros y estadísticas generales, mostrando siempre ubicación aproximada y nunca datos del usuario que reportó</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Mapas / Analítica / Transversal</w:t>
            </w:r>
          </w:p>
        </w:tc>
        <w:tc>
          <w:tcPr>
            <w:tcW w:type="dxa" w:w="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CU-11, CU-20, CU-24</w:t>
            </w:r>
          </w:p>
        </w:tc>
      </w:tr>
      <w:tr>
        <w:trPr>
          <w:cantSplit w:val="false"/>
        </w:trP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RF-29</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El sistema debe calcular y exponer públicamente un nivel de riesgo básico por zona (bajo/medio/alto), derivado de la cantidad y vigencia de reportes visibles, distinto y más simple que el futuro Índice de Riesgo en Tiempo Real (IRT)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Analítica</w:t>
            </w:r>
          </w:p>
        </w:tc>
        <w:tc>
          <w:tcPr>
            <w:tcW w:type="dxa" w:w="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CU-24</w:t>
            </w:r>
          </w:p>
        </w:tc>
      </w:tr>
    </w:tbl>
    <w:p>
      <w:pPr>
        <w:pStyle w:val="Heading2"/>
      </w:pPr>
      <w:r>
        <w:t xml:space="preserve">4.2 Requisitos no funcionales (MVP)</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1800"/>
        <w:gridCol w:w="6780"/>
      </w:tblGrid>
      <w:tr>
        <w:trPr>
          <w:cantSplit w:val="false"/>
          <w:tblHeader/>
        </w:trPr>
        <w:tc>
          <w:tcPr>
            <w:tcW w:type="dxa" w:w="780"/>
            <w:tcBorders>
              <w:top w:val="single" w:color="CCCCCC" w:sz="1"/>
              <w:left w:val="single" w:color="CCCCCC" w:sz="1"/>
              <w:bottom w:val="single" w:color="CCCCCC" w:sz="1"/>
              <w:right w:val="single" w:color="CCCCCC" w:sz="1"/>
            </w:tcBorders>
            <w:shd w:fill="1F4E5C" w:val="clear"/>
            <w:tcMar>
              <w:top w:type="dxa" w:w="80"/>
              <w:left w:type="dxa" w:w="120"/>
              <w:bottom w:type="dxa" w:w="80"/>
              <w:right w:type="dxa" w:w="120"/>
            </w:tcMar>
            <w:vAlign w:val="center"/>
          </w:tcPr>
          <w:p>
            <w:r>
              <w:rPr>
                <w:b/>
                <w:bCs/>
                <w:color w:val="FFFFFF"/>
                <w:sz w:val="20"/>
                <w:szCs w:val="20"/>
              </w:rPr>
              <w:t xml:space="preserve">ID</w:t>
            </w:r>
          </w:p>
        </w:tc>
        <w:tc>
          <w:tcPr>
            <w:tcW w:type="dxa" w:w="1800"/>
            <w:tcBorders>
              <w:top w:val="single" w:color="CCCCCC" w:sz="1"/>
              <w:left w:val="single" w:color="CCCCCC" w:sz="1"/>
              <w:bottom w:val="single" w:color="CCCCCC" w:sz="1"/>
              <w:right w:val="single" w:color="CCCCCC" w:sz="1"/>
            </w:tcBorders>
            <w:shd w:fill="1F4E5C" w:val="clear"/>
            <w:tcMar>
              <w:top w:type="dxa" w:w="80"/>
              <w:left w:type="dxa" w:w="120"/>
              <w:bottom w:type="dxa" w:w="80"/>
              <w:right w:type="dxa" w:w="120"/>
            </w:tcMar>
            <w:vAlign w:val="center"/>
          </w:tcPr>
          <w:p>
            <w:r>
              <w:rPr>
                <w:b/>
                <w:bCs/>
                <w:color w:val="FFFFFF"/>
                <w:sz w:val="20"/>
                <w:szCs w:val="20"/>
              </w:rPr>
              <w:t xml:space="preserve">Categoría</w:t>
            </w:r>
          </w:p>
        </w:tc>
        <w:tc>
          <w:tcPr>
            <w:tcW w:type="dxa" w:w="6780"/>
            <w:tcBorders>
              <w:top w:val="single" w:color="CCCCCC" w:sz="1"/>
              <w:left w:val="single" w:color="CCCCCC" w:sz="1"/>
              <w:bottom w:val="single" w:color="CCCCCC" w:sz="1"/>
              <w:right w:val="single" w:color="CCCCCC" w:sz="1"/>
            </w:tcBorders>
            <w:shd w:fill="1F4E5C" w:val="clear"/>
            <w:tcMar>
              <w:top w:type="dxa" w:w="80"/>
              <w:left w:type="dxa" w:w="120"/>
              <w:bottom w:type="dxa" w:w="80"/>
              <w:right w:type="dxa" w:w="120"/>
            </w:tcMar>
            <w:vAlign w:val="center"/>
          </w:tcPr>
          <w:p>
            <w:r>
              <w:rPr>
                <w:b/>
                <w:bCs/>
                <w:color w:val="FFFFFF"/>
                <w:sz w:val="20"/>
                <w:szCs w:val="20"/>
              </w:rPr>
              <w:t xml:space="preserve">Requisito</w:t>
            </w:r>
          </w:p>
        </w:tc>
      </w:tr>
      <w:tr>
        <w:trPr>
          <w:cantSplit w:val="false"/>
        </w:trP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RNF-01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Rendimiento</w:t>
            </w:r>
          </w:p>
        </w:tc>
        <w:tc>
          <w:tcPr>
            <w:tcW w:type="dxa" w:w="6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Latencia P95 de API REST &lt; 300 ms bajo carga nominal (la cota de &lt;200 ms del paper original se mantiene como meta aspiracional de diseño)</w:t>
            </w:r>
          </w:p>
        </w:tc>
      </w:tr>
      <w:tr>
        <w:trPr>
          <w:cantSplit w:val="false"/>
        </w:trP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RNF-02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Disponibilidad</w:t>
            </w:r>
          </w:p>
        </w:tc>
        <w:tc>
          <w:tcPr>
            <w:tcW w:type="dxa" w:w="6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Disponibilidad objetivo de 99,5% para el MVP</w:t>
            </w:r>
          </w:p>
        </w:tc>
      </w:tr>
      <w:tr>
        <w:trPr>
          <w:cantSplit w:val="false"/>
        </w:trP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RNF-03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Escalabilidad</w:t>
            </w:r>
          </w:p>
        </w:tc>
        <w:tc>
          <w:tcPr>
            <w:tcW w:type="dxa" w:w="6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La arquitectura y el modelo de datos no deben tener ninguna dependencia fija a Bogotá ni a las localidades piloto: ciudad, localidad y zona deben ser entidades configurables (tablas, no constantes de código)</w:t>
            </w:r>
          </w:p>
        </w:tc>
      </w:tr>
      <w:tr>
        <w:trPr>
          <w:cantSplit w:val="false"/>
        </w:trP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RNF-04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Seguridad</w:t>
            </w:r>
          </w:p>
        </w:tc>
        <w:tc>
          <w:tcPr>
            <w:tcW w:type="dxa" w:w="6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Cumplimiento de OWASP Top 10; TLS 1.3 en todas las comunicaciones externas</w:t>
            </w:r>
          </w:p>
        </w:tc>
      </w:tr>
      <w:tr>
        <w:trPr>
          <w:cantSplit w:val="false"/>
        </w:trP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RNF-05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Seguridad</w:t>
            </w:r>
          </w:p>
        </w:tc>
        <w:tc>
          <w:tcPr>
            <w:tcW w:type="dxa" w:w="6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Autenticación JWT con expiración corta y refresh tokens, validada de forma centralizada mediante un Guard transversal de NestJS aplicado a todos los módulos</w:t>
            </w:r>
          </w:p>
        </w:tc>
      </w:tr>
      <w:tr>
        <w:trPr>
          <w:cantSplit w:val="false"/>
        </w:trP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RNF-06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Privacidad</w:t>
            </w:r>
          </w:p>
        </w:tc>
        <w:tc>
          <w:tcPr>
            <w:tcW w:type="dxa" w:w="6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Datos de ubicación exacta y datos personales del usuario que reportó (nombre, correo, ID) nunca se exponen en endpoints públicos ni en mapas visibles para terceros; solo ubicación aproximada y datos del reporte en sí</w:t>
            </w:r>
          </w:p>
        </w:tc>
      </w:tr>
      <w:tr>
        <w:trPr>
          <w:cantSplit w:val="false"/>
        </w:trP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RNF-07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Privacidad</w:t>
            </w:r>
          </w:p>
        </w:tc>
        <w:tc>
          <w:tcPr>
            <w:tcW w:type="dxa" w:w="6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Cumplimiento de principios de protección de datos personales aplicables en Colombia (Ley 1581 de 2012 y normativa relacionada); ver detalle en Bloque E</w:t>
            </w:r>
          </w:p>
        </w:tc>
      </w:tr>
      <w:tr>
        <w:trPr>
          <w:cantSplit w:val="false"/>
        </w:trP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RNF-08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Mantenibilidad</w:t>
            </w:r>
          </w:p>
        </w:tc>
        <w:tc>
          <w:tcPr>
            <w:tcW w:type="dxa" w:w="6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Arquitectura modular (monolito modular) con límites de dominio claros (DDD) y bajo acoplamiento entre módulos, preparada para evolucionar a microservicios sin reescritura — ver justificación en Bloque C</w:t>
            </w:r>
          </w:p>
        </w:tc>
      </w:tr>
      <w:tr>
        <w:trPr>
          <w:cantSplit w:val="false"/>
        </w:trP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RNF-09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Usabilidad</w:t>
            </w:r>
          </w:p>
        </w:tc>
        <w:tc>
          <w:tcPr>
            <w:tcW w:type="dxa" w:w="6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El flujo de creación de reporte no debe exceder 5 pasos ni 60 segundos en condiciones normales de red</w:t>
            </w:r>
          </w:p>
        </w:tc>
      </w:tr>
      <w:tr>
        <w:trPr>
          <w:cantSplit w:val="false"/>
        </w:trP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RNF-10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Observabilidad</w:t>
            </w:r>
          </w:p>
        </w:tc>
        <w:tc>
          <w:tcPr>
            <w:tcW w:type="dxa" w:w="6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Todos los módulos del backend deben exponer métricas (Prometheus) y logs estructurados desde el MVP</w:t>
            </w:r>
          </w:p>
        </w:tc>
      </w:tr>
      <w:tr>
        <w:trPr>
          <w:cantSplit w:val="false"/>
        </w:trP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RNF-11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Portabilidad</w:t>
            </w:r>
          </w:p>
        </w:tc>
        <w:tc>
          <w:tcPr>
            <w:tcW w:type="dxa" w:w="6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Toda la infraestructura debe ser desplegable vía contenedores Docker, evitando atadura a un proveedor cloud específico</w:t>
            </w:r>
          </w:p>
        </w:tc>
      </w:tr>
      <w:tr>
        <w:trPr>
          <w:cantSplit w:val="false"/>
        </w:trP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RNF-12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Resiliencia de datos</w:t>
            </w:r>
          </w:p>
        </w:tc>
        <w:tc>
          <w:tcPr>
            <w:tcW w:type="dxa" w:w="6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PostgreSQL/PostGIS debe contar con respaldo automatizado diario como mínimo; la replicación multi-nodo se evalúa como mejora en Bloque E</w:t>
            </w:r>
          </w:p>
        </w:tc>
      </w:tr>
      <w:tr>
        <w:trPr>
          <w:cantSplit w:val="false"/>
        </w:trP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RNF-13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Accesibilidad</w:t>
            </w:r>
          </w:p>
        </w:tc>
        <w:tc>
          <w:tcPr>
            <w:tcW w:type="dxa" w:w="6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i w:val="false"/>
                <w:iCs w:val="false"/>
                <w:sz w:val="20"/>
                <w:szCs w:val="20"/>
              </w:rPr>
              <w:t xml:space="preserve">La interfaz debe cumplir principios básicos de accesibilidad (WCAG 2.1 nivel AA) y soportar modo oscuro</w:t>
            </w:r>
          </w:p>
        </w:tc>
      </w:tr>
    </w:tbl>
    <w:p>
      <w:pPr>
        <w:pBdr>
          <w:left w:val="single" w:color="1F4E5C" w:sz="18" w:space="8"/>
        </w:pBdr>
        <w:spacing w:after="200" w:before="100"/>
      </w:pPr>
      <w:r>
        <w:rPr>
          <w:i/>
          <w:iCs/>
          <w:sz w:val="22"/>
          <w:szCs w:val="22"/>
        </w:rPr>
        <w:t xml:space="preserve">Nota de transparencia técnica: algunas métricas del documento técnico preliminar (10.000 req/s, 3 nodos de réplica activa) corresponden a una simulación, no a un sistema en producción con tráfico real. Se mantienen como metas de diseño a futuro, pero el MVP se dimensiona con métricas realistas para el tráfico esperado de un piloto en 3 localidades.</w:t>
      </w:r>
    </w:p>
    <w:sectPr>
      <w:headerReference w:type="default" r:id="rId7"/>
      <w:footerReference w:type="default" r:id="rId8"/>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Página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SAFECITY — Bloque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5C" w:sz="6" w:space="4"/>
      </w:pBdr>
      <w:spacing w:after="240" w:before="480"/>
      <w:outlineLvl w:val="0"/>
    </w:pPr>
    <w:rPr>
      <w:rFonts w:ascii="Calibri" w:cs="Calibri" w:eastAsia="Calibri" w:hAnsi="Calibri"/>
      <w:b/>
      <w:bCs/>
      <w:color w:val="1F4E5C"/>
      <w:sz w:val="32"/>
      <w:szCs w:val="32"/>
    </w:rPr>
  </w:style>
  <w:style w:type="paragraph" w:styleId="Heading2">
    <w:name w:val="Heading 2"/>
    <w:basedOn w:val="Normal"/>
    <w:next w:val="Normal"/>
    <w:qFormat/>
    <w:pPr>
      <w:spacing w:after="160" w:before="320"/>
      <w:outlineLvl w:val="1"/>
    </w:pPr>
    <w:rPr>
      <w:rFonts w:ascii="Calibri" w:cs="Calibri" w:eastAsia="Calibri" w:hAnsi="Calibri"/>
      <w:b/>
      <w:bCs/>
      <w:color w:val="333333"/>
      <w:sz w:val="26"/>
      <w:szCs w:val="26"/>
    </w:rPr>
  </w:style>
  <w:style w:type="paragraph" w:styleId="Heading3">
    <w:name w:val="Heading 3"/>
    <w:basedOn w:val="Normal"/>
    <w:next w:val="Normal"/>
    <w:qFormat/>
    <w:pPr>
      <w:spacing w:after="120" w:before="240"/>
      <w:outlineLvl w:val="2"/>
    </w:pPr>
    <w:rPr>
      <w:rFonts w:ascii="Calibri" w:cs="Calibri" w:eastAsia="Calibri" w:hAnsi="Calibri"/>
      <w:b/>
      <w:bCs/>
      <w:color w:val="55555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2026-06-26T02:26:07.834Z</dcterms:created>
  <dcterms:modified xsi:type="dcterms:W3CDTF">2026-06-26T02:26:07.835Z</dcterms:modified>
</cp:coreProperties>
</file>

<file path=docProps/custom.xml><?xml version="1.0" encoding="utf-8"?>
<Properties xmlns="http://schemas.openxmlformats.org/officeDocument/2006/custom-properties" xmlns:vt="http://schemas.openxmlformats.org/officeDocument/2006/docPropsVTypes"/>
</file>