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5C"/>
          <w:sz w:val="72"/>
          <w:szCs w:val="72"/>
        </w:rPr>
        <w:t xml:space="preserve">SAFECITY</w:t>
      </w:r>
    </w:p>
    <w:p>
      <w:pPr>
        <w:spacing w:after="600"/>
        <w:jc w:val="center"/>
      </w:pPr>
      <w:r>
        <w:rPr>
          <w:color w:val="555555"/>
          <w:sz w:val="32"/>
          <w:szCs w:val="32"/>
        </w:rPr>
        <w:t xml:space="preserve">Red Inteligente y Colaborativa de Seguridad Ciudadana</w:t>
      </w:r>
    </w:p>
    <w:p>
      <w:pPr>
        <w:spacing w:before="1200"/>
        <w:jc w:val="center"/>
      </w:pPr>
      <w:r>
        <w:rPr>
          <w:b/>
          <w:bCs/>
          <w:sz w:val="28"/>
          <w:szCs w:val="28"/>
        </w:rPr>
        <w:t xml:space="preserve">Documento de Análisis y Diseño — Bloque C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Arquitectura, Modelo C4 y Modelo de Dominio</w:t>
      </w:r>
    </w:p>
    <w:p>
      <w:pPr>
        <w:spacing w:before="2000"/>
        <w:jc w:val="center"/>
      </w:pPr>
      <w:r>
        <w:rPr>
          <w:sz w:val="22"/>
          <w:szCs w:val="22"/>
        </w:rPr>
        <w:t xml:space="preserve">Alejandro — Universidad Nacional de Colombia</w:t>
      </w:r>
    </w:p>
    <w:p>
      <w:pPr>
        <w:jc w:val="center"/>
      </w:pPr>
      <w:r>
        <w:rPr>
          <w:color w:val="777777"/>
          <w:sz w:val="22"/>
          <w:szCs w:val="22"/>
        </w:rPr>
        <w:t xml:space="preserve">Junio de 2026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Decisión arquitectónica: monolito modular vs. microservicios</w:t>
      </w:r>
    </w:p>
    <w:p>
      <w:pPr>
        <w:pStyle w:val="Heading2"/>
      </w:pPr>
      <w:r>
        <w:t xml:space="preserve">1.1 Contexto de la decisión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documento técnico preliminar (paper base) y el primer borrador de alcance de este proyecto proponían una arquitectura de microservicios desde el inicio. Tras desarrollar el Bloque B con el detalle de los 24 casos de uso, se tomó la decisión de migrar a un </w:t>
      </w:r>
      <w:r>
        <w:rPr>
          <w:b/>
          <w:bCs/>
          <w:sz w:val="22"/>
          <w:szCs w:val="22"/>
        </w:rPr>
        <w:t xml:space="preserve">monolito modular</w:t>
      </w:r>
      <w:r>
        <w:rPr>
          <w:i w:val="false"/>
          <w:iCs w:val="false"/>
          <w:sz w:val="22"/>
          <w:szCs w:val="22"/>
        </w:rPr>
        <w:t xml:space="preserve"> como arquitectura del MVP. Esta sección documenta esa decisión de forma definitiva: no como una nota histórica, sino como la arquitectura vigente de todo el proyecto.</w:t>
      </w:r>
    </w:p>
    <w:p>
      <w:pPr>
        <w:pStyle w:val="Heading2"/>
      </w:pPr>
      <w:r>
        <w:t xml:space="preserve">1.2 Comparación de alternativas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cantSplit w:val="false"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Microservicios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Monolito modular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Complejidad de desarrollo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Alta: cada servicio requiere repositorio, pipeline y manejo de comunicación entre servicios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Baja: un solo proyecto NestJS, comunicación por inyección de dependencias en memoria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Complejidad de despliegue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Alta: orquestación (Kubernetes), descubrimiento de servicios, múltiples pipelines CI/CD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Baja: un solo contenedor Docker, un solo pipeline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Depuración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Difícil: rastrear logs distribuidos entre varios servicios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Sencilla: stack trace único, breakpoints locales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Consumo de recursos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Alto: runtime y overhead de red por cada servicio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Bajo: un solo proceso Node.js, sin overhead de red interna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Velocidad de desarrollo (equipo pequeño)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Lenta al inicio: hay que resolver infraestructura distribuida antes de la lógica de negocio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Rápida: NestJS provee estructura modular lista desde el primer commit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Escalabilidad independiente por módulo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Nativa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disponible en el MVP, pero no es un requisito real con el volumen del piloto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Preparación para evolución futura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 distribuido, pero sobre-construido para las necesidades actuales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 límites de dominio claros, cualquier módulo puede extraerse a microservicio más adelante sin reescribir lógica de negocio</w:t>
            </w:r>
          </w:p>
        </w:tc>
      </w:tr>
    </w:tbl>
    <w:p>
      <w:pPr>
        <w:pStyle w:val="Heading2"/>
      </w:pPr>
      <w:r>
        <w:t xml:space="preserve">1.3 Decisión y justificación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Se adopta un monolito modular construido en NestJS</w:t>
      </w:r>
      <w:r>
        <w:rPr>
          <w:i w:val="false"/>
          <w:iCs w:val="false"/>
          <w:sz w:val="22"/>
          <w:szCs w:val="22"/>
        </w:rPr>
        <w:t xml:space="preserve"> como arquitectura del MVP, organizado en los mismos módulos de dominio ya definidos en el Bloque B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AuthModule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UsersModule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ReportsModule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ConfirmationsModule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ReputationModule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NotificationsModule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MapsModule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AdminModule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AnalyticsModule</w:t>
      </w:r>
      <w:r>
        <w:rPr>
          <w:i w:val="false"/>
          <w:iCs w:val="false"/>
          <w:sz w:val="22"/>
          <w:szCs w:val="22"/>
        </w:rPr>
        <w:t xml:space="preserve">), aplicando Clean Architecture, principios SOLID y Domain Driven Design dentro de cada módulo.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La justificación se apoya en cinco factores concretos, todos relevantes para el contexto real de este proyecto: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Menor complejidad de desarrollo y despliegue.</w:t>
      </w:r>
      <w:r>
        <w:rPr>
          <w:i w:val="false"/>
          <w:iCs w:val="false"/>
          <w:sz w:val="22"/>
          <w:szCs w:val="22"/>
        </w:rPr>
        <w:t xml:space="preserve"> No hay justificación técnica para pagar el costo de orquestación distribuida cuando el tráfico del piloto no lo demanda. RNF-01/RNF-02 (latencia &lt;300ms, disponibilidad 99,5%) se cumplen con un monolito bien diseñado.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Depuración y velocidad de desarrollo.</w:t>
      </w:r>
      <w:r>
        <w:rPr>
          <w:i w:val="false"/>
          <w:iCs w:val="false"/>
          <w:sz w:val="22"/>
          <w:szCs w:val="22"/>
        </w:rPr>
        <w:t xml:space="preserve"> Poder depurar con un único stack trace y ejecutar todo el sistema localmente con un comando acelera radicalmente las iteraciones, comparado con levantar 9 servicios y su infraestructura de mensajería.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Menor consumo de recursos.</w:t>
      </w:r>
      <w:r>
        <w:rPr>
          <w:i w:val="false"/>
          <w:iCs w:val="false"/>
          <w:sz w:val="22"/>
          <w:szCs w:val="22"/>
        </w:rPr>
        <w:t xml:space="preserve"> Un único proceso Node.js, sin overhead de red entre servicios ni duplicación de runtime.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NestJS está diseñado para este patrón.</w:t>
      </w:r>
      <w:r>
        <w:rPr>
          <w:i w:val="false"/>
          <w:iCs w:val="false"/>
          <w:sz w:val="22"/>
          <w:szCs w:val="22"/>
        </w:rPr>
        <w:t xml:space="preserve"> Su sistema de módulos, inyección de dependencias y separación de capas hace que el monolito modular ya tenga la disciplina arquitectónica que en otros frameworks habría que imponer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 cierra la puerta a microservicios — la deja entreabierta a propósito.</w:t>
      </w:r>
      <w:r>
        <w:rPr>
          <w:i w:val="false"/>
          <w:iCs w:val="false"/>
          <w:sz w:val="22"/>
          <w:szCs w:val="22"/>
        </w:rPr>
        <w:t xml:space="preserve"> Cada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Module</w:t>
      </w:r>
      <w:r>
        <w:rPr>
          <w:i w:val="false"/>
          <w:iCs w:val="false"/>
          <w:sz w:val="22"/>
          <w:szCs w:val="22"/>
        </w:rPr>
        <w:t xml:space="preserve"> expone una interfaz pública explícita, y la comunicación entre módulos para operaciones que en una arquitectura distribuida serían eventos (ej. "reporte creado" disparando una notificación) se implementa mediante un </w:t>
      </w:r>
      <w:r>
        <w:rPr>
          <w:b/>
          <w:bCs/>
          <w:sz w:val="22"/>
          <w:szCs w:val="22"/>
        </w:rPr>
        <w:t xml:space="preserve">Event Emitter interno</w:t>
      </w:r>
      <w:r>
        <w:rPr>
          <w:i w:val="false"/>
          <w:i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@nestjs/event-emitter</w:t>
      </w:r>
      <w:r>
        <w:rPr>
          <w:i w:val="false"/>
          <w:iCs w:val="false"/>
          <w:sz w:val="22"/>
          <w:szCs w:val="22"/>
        </w:rPr>
        <w:t xml:space="preserve">). El día que un módulo necesite escalar independientemente, la migración consiste en sustituir el Event Emitter por un bus de eventos real (RabbitMQ/Redis Pub-Sub) y desplegar ese módulo por separado, sin tocar su lógica de dominio interna.</w:t>
      </w:r>
    </w:p>
    <w:p>
      <w:pPr>
        <w:pStyle w:val="Heading2"/>
      </w:pPr>
      <w:r>
        <w:t xml:space="preserve">1.4 Regla de diseño que garantiza la migración futura</w:t>
      </w:r>
    </w:p>
    <w:p>
      <w:pPr>
        <w:pBdr>
          <w:left w:val="single" w:color="1F4E5C" w:sz="18" w:space="8"/>
        </w:pBdr>
        <w:spacing w:after="200" w:before="100"/>
      </w:pPr>
      <w:r>
        <w:rPr>
          <w:i/>
          <w:iCs/>
          <w:sz w:val="22"/>
          <w:szCs w:val="22"/>
        </w:rPr>
        <w:t xml:space="preserve">Ningún módulo importa directamente una entidad, repositorio o servicio interno de otro módulo. Toda comunicación entre módulos ocurre a través de (a) la interfaz pública exportada explícitamente por el módulo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exports</w:t>
      </w:r>
      <w:r>
        <w:rPr>
          <w:i/>
          <w:iCs/>
          <w:sz w:val="22"/>
          <w:szCs w:val="22"/>
        </w:rPr>
        <w:t xml:space="preserve"> en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@Module()</w:t>
      </w:r>
      <w:r>
        <w:rPr>
          <w:i/>
          <w:iCs/>
          <w:sz w:val="22"/>
          <w:szCs w:val="22"/>
        </w:rPr>
        <w:t xml:space="preserve">), o (b) eventos de dominio emitidos vía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EventEmitter2</w:t>
      </w:r>
      <w:r>
        <w:rPr>
          <w:i/>
          <w:iCs/>
          <w:sz w:val="22"/>
          <w:szCs w:val="22"/>
        </w:rPr>
        <w:t xml:space="preserve">. Esta regla es la que en arquitectura de microservicios sería la frontera de red entre dos servicios; en el monolito modular es una frontera de código, pero debe respetarse con la misma disciplina.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Esta regla es la justificación técnica concreta de RNF-08 del Bloque A ("arquitectura modular preparada para evolucionar a microservicios sin reescritura").</w:t>
      </w:r>
    </w:p>
    <w:p>
      <w:pPr>
        <w:pStyle w:val="Heading1"/>
      </w:pPr>
      <w:r>
        <w:t xml:space="preserve">2. Stack tecnológico confirmado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cantSplit w:val="false"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+ 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Monolito modular, Clean Architecture, DDD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Migraciones tipadas, generación automática de tipos TS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Persistencia relacional + capacidades geoespaciales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+ Refresh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Guard transversal de NestJS (@nestjs/jwt, @nestjs/passport)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Documentación de API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@nestjs/swagger, generado desde decoradores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WebSockets (Socket.IO)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Admin (CU-11, CU-17) y notificaciones en vivo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 geoespaciales frecuentes, rate limiting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Contenedores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Empaquetado único del monolito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+ React + 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PWA (RF-22)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Estilos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Consistente con RNF-13 (modo oscuro, accesibilidad)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Leaflet + OpenStreetMap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Visualización geoespacial en el frontend</w:t>
            </w:r>
          </w:p>
        </w:tc>
      </w:tr>
    </w:tbl>
    <w:p>
      <w:pPr>
        <w:pBdr>
          <w:left w:val="single" w:color="1F4E5C" w:sz="18" w:space="8"/>
        </w:pBdr>
        <w:spacing w:after="200" w:before="100"/>
      </w:pPr>
      <w:r>
        <w:rPr>
          <w:i/>
          <w:iCs/>
          <w:sz w:val="22"/>
          <w:szCs w:val="22"/>
        </w:rPr>
        <w:t xml:space="preserve">Este stack es el estándar del proyecto — los Bloques D y E lo heredan sin redefinirlo.</w:t>
      </w:r>
    </w:p>
    <w:p>
      <w:pPr>
        <w:pStyle w:val="Heading1"/>
      </w:pPr>
      <w:r>
        <w:t xml:space="preserve">3. Modelo C4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Se presentan los cuatro niveles del modelo C4 con un nivel de detalle orientado a la implementación, no solo a la documentación. El Nivel 3 incluye los tres módulos solicitados como representativos (Reports, Auth, Notifications); el Nivel 4 cubre las cinco entidades de dominio principales del MVP.</w:t>
      </w:r>
    </w:p>
    <w:p>
      <w:pPr>
        <w:pStyle w:val="Heading2"/>
      </w:pPr>
      <w:r>
        <w:t xml:space="preserve">3.1 Nivel 1 — Diagrama de Contexto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Muestra cómo interactúa cada actor con el sistema: el ciudadano reporta y consulta (con acceso público parcial vía RF-28), el moderador y el administrador operan el Dashboard Administrativo, y las autoridades permanecen como actor futuro sin acceso en el MVP. Los sistemas externos (correo, Web Push, almacenamiento) completan el panorama; los dispositivos IoT quedan marcados explícitamente como integración futura vía MQTT.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4267200"/>
            <wp:effectExtent t="0" r="0" b="0" l="0"/>
            <wp:docPr id="1" name="c4_nivel1_contexto.png" descr="Figura 1 — C4 Nivel 1: Diagrama de Contexto" title="Figura 1 — C4 Nivel 1: Diagrama de Con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1 — C4 Nivel 1: Diagrama de Contexto</w:t>
      </w:r>
    </w:p>
    <w:p>
      <w:pPr>
        <w:pStyle w:val="Heading2"/>
      </w:pPr>
      <w:r>
        <w:t xml:space="preserve">3.2 Nivel 2 — Diagrama de Contenedores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Detalla los contenedores del MVP: el frontend PWA y el Dashboard Admin (ambos Next.js), la API NestJS con sus nueve módulos internos, y la infraestructura de datos (PostgreSQL/PostGIS, Redis, almacenamiento de archivos, Web Push). El recuadro punteado "Guard JWT transversal + EventEmitter2" representa la frontera de comunicación entre módulos descrita en la sección 1.4 — es, deliberadamente, la única "costura" visible en todo el monolito.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4791075"/>
            <wp:effectExtent t="0" r="0" b="0" l="0"/>
            <wp:docPr id="1" name="c4_nivel2_contenedores.png" descr="Figura 2 — C4 Nivel 2: Diagrama de Contenedores" title="Figura 2 — C4 Nivel 2: Diagrama de Contene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2 — C4 Nivel 2: Diagrama de Contenedores</w:t>
      </w:r>
    </w:p>
    <w:p>
      <w:pPr>
        <w:pStyle w:val="Heading2"/>
      </w:pPr>
      <w:r>
        <w:t xml:space="preserve">3.3 Nivel 3 — Diagrama de Componentes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Se desarrollan tres módulos representativos, cada uno mostrando las tres capas de Clean Architecture (presentación, aplicación/dominio, infraestructura) y cómo la regla de dependencia siempre apunta hacia el dominio.</w:t>
      </w:r>
    </w:p>
    <w:p>
      <w:pPr>
        <w:pStyle w:val="Heading3"/>
      </w:pPr>
      <w:r>
        <w:t xml:space="preserve">ReportsModule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módulo núcleo del sistema. Muestra el patrón completo: Controller → UseCase → Entidad/Interfaz ← Implementación con Prisma, más el Scheduler interno que dispara la expiración automática (CU-22).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4324350"/>
            <wp:effectExtent t="0" r="0" b="0" l="0"/>
            <wp:docPr id="1" name="c4_nivel3_reports.png" descr="Figura 3 — C4 Nivel 3: Componentes de ReportsModule" title="Figura 3 — C4 Nivel 3: Componentes de Reports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3 — C4 Nivel 3: Componentes de ReportsModule</w:t>
      </w:r>
    </w:p>
    <w:p>
      <w:pPr>
        <w:pStyle w:val="Heading3"/>
      </w:pPr>
      <w:r>
        <w:t xml:space="preserve">AuthModule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Incluye la única excepción documentada a la regla de no-importación cruzada: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IUsersRepository</w:t>
      </w:r>
      <w:r>
        <w:rPr>
          <w:i w:val="false"/>
          <w:iCs w:val="false"/>
          <w:sz w:val="22"/>
          <w:szCs w:val="22"/>
        </w:rPr>
        <w:t xml:space="preserve"> se comparte con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UsersModule</w:t>
      </w:r>
      <w:r>
        <w:rPr>
          <w:i w:val="false"/>
          <w:iCs w:val="false"/>
          <w:sz w:val="22"/>
          <w:szCs w:val="22"/>
        </w:rPr>
        <w:t xml:space="preserve"> a través de un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SharedKernel</w:t>
      </w:r>
      <w:r>
        <w:rPr>
          <w:i w:val="false"/>
          <w:iCs w:val="false"/>
          <w:sz w:val="22"/>
          <w:szCs w:val="22"/>
        </w:rPr>
        <w:t xml:space="preserve"> de interfaces, no por importación directa.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543300"/>
            <wp:effectExtent t="0" r="0" b="0" l="0"/>
            <wp:docPr id="1" name="c4_nivel3_auth.png" descr="Figura 4 — C4 Nivel 3: Componentes de AuthModule" title="Figura 4 — C4 Nivel 3: Componentes de Auth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4 — C4 Nivel 3: Componentes de AuthModule</w:t>
      </w:r>
    </w:p>
    <w:p>
      <w:pPr>
        <w:pStyle w:val="Heading3"/>
      </w:pPr>
      <w:r>
        <w:t xml:space="preserve">NotificationsModule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El ejemplo más claro de comunicación entre módulos vía eventos: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ReportCreatedListener</w:t>
      </w:r>
      <w:r>
        <w:rPr>
          <w:i w:val="false"/>
          <w:iCs w:val="false"/>
          <w:sz w:val="22"/>
          <w:szCs w:val="22"/>
        </w:rPr>
        <w:t xml:space="preserve"> reacciona a un evento emitido por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ReportsModule</w:t>
      </w:r>
      <w:r>
        <w:rPr>
          <w:i w:val="false"/>
          <w:iCs w:val="false"/>
          <w:sz w:val="22"/>
          <w:szCs w:val="22"/>
        </w:rPr>
        <w:t xml:space="preserve"> sin importar nada de ese módulo directamente.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543300"/>
            <wp:effectExtent t="0" r="0" b="0" l="0"/>
            <wp:docPr id="1" name="c4_nivel3_notifications.png" descr="Figura 5 — C4 Nivel 3: Componentes de NotificationsModule" title="Figura 5 — C4 Nivel 3: Componentes de Notifications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5 — C4 Nivel 3: Componentes de NotificationsModule</w:t>
      </w:r>
    </w:p>
    <w:p>
      <w:pPr>
        <w:pStyle w:val="Heading2"/>
      </w:pPr>
      <w:r>
        <w:t xml:space="preserve">3.4 Nivel 4 — Diagrama de clases (entidades de dominio)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Representativo de los cinco dominios principales del MVP, con correspondencia explícita a modelos de Prisma, DTOs y servicios — el objetivo es que la transición de este documento al código sea prácticamente directa.</w:t>
      </w:r>
    </w:p>
    <w:p>
      <w:pPr>
        <w:pStyle w:val="Heading3"/>
      </w:pPr>
      <w:r>
        <w:t xml:space="preserve">Report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La entidad núcleo del sistema. Su máquina de estados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ReportStatus</w:t>
      </w:r>
      <w:r>
        <w:rPr>
          <w:i w:val="false"/>
          <w:iCs w:val="false"/>
          <w:sz w:val="22"/>
          <w:szCs w:val="22"/>
        </w:rPr>
        <w:t xml:space="preserve">) se desarrolla en detalle en la sección 4.5 de este documento.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4572000"/>
            <wp:effectExtent t="0" r="0" b="0" l="0"/>
            <wp:docPr id="1" name="c4_nivel4_report.png" descr="Figura 6 — Nivel 4: Clase de dominio Report" title="Figura 6 — Nivel 4: Clase de dominio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6 — Nivel 4: Clase de dominio Report</w:t>
      </w:r>
    </w:p>
    <w:p>
      <w:pPr>
        <w:pStyle w:val="Heading3"/>
      </w:pPr>
      <w:r>
        <w:t xml:space="preserve">User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Autenticación y gestión de usuarios. Nótese la cardinalidad 0..1 entre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User</w:t>
      </w:r>
      <w:r>
        <w:rPr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Report</w:t>
      </w:r>
      <w:r>
        <w:rPr>
          <w:i w:val="false"/>
          <w:iCs w:val="false"/>
          <w:sz w:val="22"/>
          <w:szCs w:val="22"/>
        </w:rPr>
        <w:t xml:space="preserve">: el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userId</w:t>
      </w:r>
      <w:r>
        <w:rPr>
          <w:i w:val="false"/>
          <w:iCs w:val="false"/>
          <w:sz w:val="22"/>
          <w:szCs w:val="22"/>
        </w:rPr>
        <w:t xml:space="preserve"> es nullable porque, tras la eliminación de cuenta (CU-05), el reporte se conserva anonimizado en lugar de eliminarse.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4371975"/>
            <wp:effectExtent t="0" r="0" b="0" l="0"/>
            <wp:docPr id="1" name="c4_nivel4_user.png" descr="Figura 7 — Nivel 4: Clase de dominio User" title="Figura 7 — Nivel 4: Clase de dominio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7 — Nivel 4: Clase de dominio User</w:t>
      </w:r>
    </w:p>
    <w:p>
      <w:pPr>
        <w:pStyle w:val="Heading3"/>
      </w:pPr>
      <w:r>
        <w:t xml:space="preserve">Notification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Incluye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NotificationSettings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FavoriteZone</w:t>
      </w:r>
      <w:r>
        <w:rPr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NotificationsLog</w:t>
      </w:r>
      <w:r>
        <w:rPr>
          <w:i w:val="false"/>
          <w:iCs w:val="false"/>
          <w:sz w:val="22"/>
          <w:szCs w:val="22"/>
        </w:rPr>
        <w:t xml:space="preserve">. El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ReportCreatedListener</w:t>
      </w:r>
      <w:r>
        <w:rPr>
          <w:i w:val="false"/>
          <w:iCs w:val="false"/>
          <w:sz w:val="22"/>
          <w:szCs w:val="22"/>
        </w:rPr>
        <w:t xml:space="preserve"> que consume el evento de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ReportsModule</w:t>
      </w:r>
      <w:r>
        <w:rPr>
          <w:i w:val="false"/>
          <w:iCs w:val="false"/>
          <w:sz w:val="22"/>
          <w:szCs w:val="22"/>
        </w:rPr>
        <w:t xml:space="preserve"> es el componente que materializa la frontera de comunicación entre módulos en código real.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4371975"/>
            <wp:effectExtent t="0" r="0" b="0" l="0"/>
            <wp:docPr id="1" name="c4_nivel4_notification.png" descr="Figura 8 — Nivel 4: Clases de NotificationsModule" title="Figura 8 — Nivel 4: Clases de Notifications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8 — Nivel 4: Clases de NotificationsModule</w:t>
      </w:r>
    </w:p>
    <w:p>
      <w:pPr>
        <w:pStyle w:val="Heading3"/>
      </w:pPr>
      <w:r>
        <w:t xml:space="preserve">ReportConfirmation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Confirmaciones de la comunidad y su efecto en la reputación del usuario. El constraint de unicidad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reportId+userId</w:t>
      </w:r>
      <w:r>
        <w:rPr>
          <w:i w:val="false"/>
          <w:iCs w:val="false"/>
          <w:sz w:val="22"/>
          <w:szCs w:val="22"/>
        </w:rPr>
        <w:t xml:space="preserve"> en la base de datos es la garantía real, a nivel de esquema, de que un usuario no puede confirmar el mismo reporte dos veces (CU-09).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4162425"/>
            <wp:effectExtent t="0" r="0" b="0" l="0"/>
            <wp:docPr id="1" name="c4_nivel4_confirmation.png" descr="Figura 9 — Nivel 4: Clase de dominio ReportConfirmation" title="Figura 9 — Nivel 4: Clase de dominio ReportConfi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9 — Nivel 4: Clase de dominio ReportConfirmation</w:t>
      </w:r>
    </w:p>
    <w:p>
      <w:pPr>
        <w:pStyle w:val="Heading3"/>
      </w:pPr>
      <w:r>
        <w:t xml:space="preserve">IncidentType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Tipos de incidente y configuración de vigencia, junto con la jerarquía geográfica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City</w:t>
      </w:r>
      <w:r>
        <w:rPr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Locality</w:t>
      </w:r>
      <w:r>
        <w:rPr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Neighborhood</w:t>
      </w:r>
      <w:r>
        <w:rPr>
          <w:i w:val="false"/>
          <w:iCs w:val="false"/>
          <w:sz w:val="22"/>
          <w:szCs w:val="22"/>
        </w:rPr>
        <w:t xml:space="preserve">). Este diagrama es la base técnica directa de RF-21 y RNF-03: agregar una ciudad nueva al sistema es un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INSERT</w:t>
      </w:r>
      <w:r>
        <w:rPr>
          <w:i w:val="false"/>
          <w:iCs w:val="false"/>
          <w:sz w:val="22"/>
          <w:szCs w:val="22"/>
        </w:rPr>
        <w:t xml:space="preserve">, nunca una modificación de código.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4162425"/>
            <wp:effectExtent t="0" r="0" b="0" l="0"/>
            <wp:docPr id="1" name="c4_nivel4_incidenttype.png" descr="Figura 10 — Nivel 4: Clase de dominio IncidentType" title="Figura 10 — Nivel 4: Clase de dominio Incident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10 — Nivel 4: Clase de dominio IncidentType</w:t>
      </w:r>
    </w:p>
    <w:p>
      <w:pPr>
        <w:pStyle w:val="Heading1"/>
      </w:pPr>
      <w:r>
        <w:t xml:space="preserve">4. Diagramas complementarios</w:t>
      </w:r>
    </w:p>
    <w:p>
      <w:pPr>
        <w:pStyle w:val="Heading2"/>
      </w:pPr>
      <w:r>
        <w:t xml:space="preserve">4.1 Diagrama de despliegue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La decisión de monolito modular se refleja directamente en la infraestructura: un único nodo de aplicación ejecuta todo el sistema dentro de un solo contenedor Docker, detrás de un reverse proxy que termina TLS. No hay orquestación de múltiples servicios — el escalado futuro, si es necesario, se logra levantando réplicas del mismo contenedor, no desplegando servicios adicionales.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4219575"/>
            <wp:effectExtent t="0" r="0" b="0" l="0"/>
            <wp:docPr id="1" name="despliegue.png" descr="Figura 11 — Diagrama de despliegue del MVP" title="Figura 11 — Diagrama de despliegue del MV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11 — Diagrama de despliegue del MVP</w:t>
      </w:r>
    </w:p>
    <w:p>
      <w:pPr>
        <w:pStyle w:val="Heading2"/>
      </w:pPr>
      <w:r>
        <w:t xml:space="preserve">4.2 Flujo: creación de un reporte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Recorre el camino completo de CU-07 desde el formulario de 5 pasos hasta la respuesta 201, incluyendo ambos caminos de error (401 por token inválido, 422 por validación de negocio) y el disparo del evento que activará las notificaciones.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962400"/>
            <wp:effectExtent t="0" r="0" b="0" l="0"/>
            <wp:docPr id="1" name="flujo_creacion_reporte.png" descr="Figura 12 — Flujo de creación de un reporte de incidente" title="Figura 12 — Flujo de creación de un reporte de incid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12 — Flujo de creación de un reporte de incidente</w:t>
      </w:r>
    </w:p>
    <w:p>
      <w:pPr>
        <w:pStyle w:val="Heading2"/>
      </w:pPr>
      <w:r>
        <w:t xml:space="preserve">4.3 Flujo: envío de notificaciones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Muestra cómo el sistema evita generar una alerta masiva a partir de un único reporte (regla ya establecida en el documento base): el filtro de confianza mínima se aplica antes de la costosa consulta geoespacial, no después.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flujo_notificaciones.png" descr="Figura 13 — Flujo de envío de notificaciones por proximidad" title="Figura 13 — Flujo de envío de notificaciones por proxim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13 — Flujo de envío de notificaciones por proximidad</w:t>
      </w:r>
    </w:p>
    <w:p>
      <w:pPr>
        <w:pStyle w:val="Heading2"/>
      </w:pPr>
      <w:r>
        <w:t xml:space="preserve">4.4 Autenticación: JWT + Refresh Token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Diagrama de secuencia completo: login inicial, uso del access token en un endpoint protegido (con los dos casos posibles: válido o expirado), y el flujo de renovación mediante el refresh token.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4572000"/>
            <wp:effectExtent t="0" r="0" b="0" l="0"/>
            <wp:docPr id="1" name="auth_jwt_refresh.png" descr="Figura 14 — Secuencia de autenticación JWT + Refresh Token" title="Figura 14 — Secuencia de autenticación JWT + Refresh T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14 — Secuencia de autenticación JWT + Refresh Token</w:t>
      </w:r>
    </w:p>
    <w:p>
      <w:pPr>
        <w:pStyle w:val="Heading2"/>
      </w:pPr>
      <w:r>
        <w:t xml:space="preserve">4.5 Ciclo de vida de un reporte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La máquina de estados completa de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ReportStatus</w:t>
      </w:r>
      <w:r>
        <w:rPr>
          <w:i w:val="false"/>
          <w:iCs w:val="false"/>
          <w:sz w:val="22"/>
          <w:szCs w:val="22"/>
        </w:rPr>
        <w:t xml:space="preserve">, incluyendo los caminos menos evidentes: expiración sin alcanzar confianza suficiente, apelación aprobada que regresa un reporte descartado a validación, y reactivación manual por un administrador.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152775"/>
            <wp:effectExtent t="0" r="0" b="0" l="0"/>
            <wp:docPr id="1" name="ciclo_vida_reporte.png" descr="Figura 15 — Ciclo de vida de un reporte (máquina de estados)" title="Figura 15 — Ciclo de vida de un reporte (máquina de estad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Figura 15 — Ciclo de vida de un reporte (máquina de estados)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SAFECITY — Bloque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C" w:sz="6" w:space="4"/>
      </w:pBdr>
      <w:spacing w:after="240" w:before="480"/>
      <w:outlineLvl w:val="0"/>
    </w:pPr>
    <w:rPr>
      <w:rFonts w:ascii="Calibri" w:cs="Calibri" w:eastAsia="Calibri" w:hAnsi="Calibri"/>
      <w:b/>
      <w:bCs/>
      <w:color w:val="1F4E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22efeffa490ce9727a1e37f75a6593681e1edd0.png"/><Relationship Id="rId10" Type="http://schemas.openxmlformats.org/officeDocument/2006/relationships/image" Target="media/3bd93153b28892f057ab6f6eda6d52a9d69e28dd.png"/><Relationship Id="rId11" Type="http://schemas.openxmlformats.org/officeDocument/2006/relationships/image" Target="media/7aa2703b0b6f0161cd8c98d478beb79ed98ca28c.png"/><Relationship Id="rId12" Type="http://schemas.openxmlformats.org/officeDocument/2006/relationships/image" Target="media/165c6921faacd5dabdd3edad8fb8cb68d377c972.png"/><Relationship Id="rId13" Type="http://schemas.openxmlformats.org/officeDocument/2006/relationships/image" Target="media/04a169476263e4b27627fedb596dfa98b295259e.png"/><Relationship Id="rId14" Type="http://schemas.openxmlformats.org/officeDocument/2006/relationships/image" Target="media/72f7aa4c2e9f8840bedba7fc6d91a203886205fd.png"/><Relationship Id="rId15" Type="http://schemas.openxmlformats.org/officeDocument/2006/relationships/image" Target="media/0453a0938e68d42752a15fe004e64a081bd1b10b.png"/><Relationship Id="rId16" Type="http://schemas.openxmlformats.org/officeDocument/2006/relationships/image" Target="media/bc4f88df4a3e49ab971a68b21f21e91523bcb550.png"/><Relationship Id="rId17" Type="http://schemas.openxmlformats.org/officeDocument/2006/relationships/image" Target="media/4c9b872fa619021a3c98199028750a07f7d17b6b.png"/><Relationship Id="rId18" Type="http://schemas.openxmlformats.org/officeDocument/2006/relationships/image" Target="media/6ce5fe8f7cbfda018b67e50da71877ca706772a7.png"/><Relationship Id="rId19" Type="http://schemas.openxmlformats.org/officeDocument/2006/relationships/image" Target="media/d6b958251401d560081752602780a8c1f18e5cb5.png"/><Relationship Id="rId20" Type="http://schemas.openxmlformats.org/officeDocument/2006/relationships/image" Target="media/f74bd8fb77a148d11370ee092ffaff39a669cd39.png"/><Relationship Id="rId21" Type="http://schemas.openxmlformats.org/officeDocument/2006/relationships/image" Target="media/78a5747ceac0b70bc106c759ae8e0c718e68fa74.png"/><Relationship Id="rId22" Type="http://schemas.openxmlformats.org/officeDocument/2006/relationships/image" Target="media/fc20154b97781807e12497055fdad1c92c771d06.png"/><Relationship Id="rId23" Type="http://schemas.openxmlformats.org/officeDocument/2006/relationships/image" Target="media/28d1e521a540da86af005febe9c9ee2bf8b8c9d0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2026-06-26T03:20:38.433Z</dcterms:created>
  <dcterms:modified xsi:type="dcterms:W3CDTF">2026-06-26T03:20:38.447Z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