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星海软件支付平台接口规范 V1.0</w:t>
      </w:r>
    </w:p>
    <w:p>
      <w:pPr>
        <w:pStyle w:val="Heading2"/>
      </w:pPr>
      <w:r>
        <w:t>接口定义</w:t>
      </w:r>
    </w:p>
    <w:p>
      <w:r>
        <w:t>API-008 面向 REQ-023：POST /batches 同步返回处理结果，默认超时 30 秒。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路径</w:t>
            </w:r>
          </w:p>
        </w:tc>
        <w:tc>
          <w:tcPr>
            <w:tcW w:type="dxa" w:w="4320"/>
          </w:tcPr>
          <w:p>
            <w:r>
              <w:t>/batches</w:t>
            </w:r>
          </w:p>
        </w:tc>
      </w:tr>
      <w:tr>
        <w:tc>
          <w:tcPr>
            <w:tcW w:type="dxa" w:w="4320"/>
          </w:tcPr>
          <w:p>
            <w:r>
              <w:t>响应</w:t>
            </w:r>
          </w:p>
        </w:tc>
        <w:tc>
          <w:tcPr>
            <w:tcW w:type="dxa" w:w="4320"/>
          </w:tcPr>
          <w:p>
            <w:r>
              <w:t>最终处理结果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