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星海软件支付平台需求规格说明书 V2.0</w:t>
      </w:r>
    </w:p>
    <w:p>
      <w:pPr>
        <w:pStyle w:val="Heading2"/>
      </w:pPr>
      <w:r>
        <w:t>功能需求</w:t>
      </w:r>
    </w:p>
    <w:p>
      <w:r>
        <w:t>REQ-023 支付批处理最大并发由 500 提升到 1000，吞吐量目标为 200 MB/s，并改为异步任务接口。</w:t>
      </w:r>
    </w:p>
    <w:p>
      <w:r>
        <w:t>REQ-024 所有批次必须生成审计流水。</w:t>
      </w:r>
    </w:p>
    <w:p>
      <w:r>
        <w:t>REQ-025 异步任务完成后必须保留可查询状态。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关联测试</w:t>
            </w:r>
          </w:p>
        </w:tc>
        <w:tc>
          <w:tcPr>
            <w:tcW w:type="dxa" w:w="4320"/>
          </w:tcPr>
          <w:p>
            <w:r>
              <w:t>TC-102</w:t>
            </w:r>
          </w:p>
        </w:tc>
      </w:tr>
      <w:tr>
        <w:tc>
          <w:tcPr>
            <w:tcW w:type="dxa" w:w="4320"/>
          </w:tcPr>
          <w:p>
            <w:r>
              <w:t>关联设计</w:t>
            </w:r>
          </w:p>
        </w:tc>
        <w:tc>
          <w:tcPr>
            <w:tcW w:type="dxa" w:w="4320"/>
          </w:tcPr>
          <w:p>
            <w:r>
              <w:t>DES-014</w:t>
            </w:r>
          </w:p>
        </w:tc>
      </w:tr>
      <w:tr>
        <w:tc>
          <w:tcPr>
            <w:tcW w:type="dxa" w:w="4320"/>
          </w:tcPr>
          <w:p>
            <w:r>
              <w:t>关联接口</w:t>
            </w:r>
          </w:p>
        </w:tc>
        <w:tc>
          <w:tcPr>
            <w:tcW w:type="dxa" w:w="4320"/>
          </w:tcPr>
          <w:p>
            <w:r>
              <w:t>API-008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