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远岚审计平台需求规格说明书 V1.0</w:t>
      </w:r>
    </w:p>
    <w:p>
      <w:pPr>
        <w:pStyle w:val="Heading2"/>
      </w:pPr>
      <w:r>
        <w:t>数据留存要求</w:t>
      </w:r>
    </w:p>
    <w:p>
      <w:r>
        <w:t>REQ-071 审计日志在线可检索保存 7 天，超过周期后进入归档。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