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远岚审计平台需求规格说明书 V2.0</w:t>
      </w:r>
    </w:p>
    <w:p>
      <w:pPr>
        <w:pStyle w:val="Heading2"/>
      </w:pPr>
      <w:r>
        <w:t>合规与留存</w:t>
      </w:r>
    </w:p>
    <w:p>
      <w:r>
        <w:t>REQ-071 审计日志在线可检索保存周期由 7 天调整为 30 天，并按日期分区。</w:t>
      </w:r>
    </w:p>
    <w:p>
      <w:r>
        <w:t>REQ-072 第 31 天起转入低成本归档并保留完整性校验。</w:t>
      </w:r>
    </w:p>
    <w:p>
      <w:r>
        <w:t>关联设计 DES-031，关联测试 TC-207。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