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需求变更影响分析报告</w:t>
      </w:r>
    </w:p>
    <w:p>
      <w:pPr>
        <w:pStyle w:val="Heading1"/>
      </w:pPr>
      <w:r>
        <w:t>1 变更概述</w:t>
      </w:r>
    </w:p>
    <w:p>
      <w:r>
        <w:t>变更内容:最大并发由500提升到1000,并增加峰值保护。；设计影响:连接池和限流器需要按1000并发重新配置。 [1][4]</w:t>
      </w:r>
    </w:p>
    <w:p>
      <w:pPr>
        <w:pStyle w:val="Heading1"/>
      </w:pPr>
      <w:r>
        <w:t>2 影响分析</w:t>
      </w:r>
    </w:p>
    <w:p>
      <w:r>
        <w:t>影响接口网关、连接池、容量测试和上线监控。 [2]</w:t>
      </w:r>
    </w:p>
    <w:p>
      <w:pPr>
        <w:pStyle w:val="Heading1"/>
      </w:pPr>
      <w:r>
        <w:t>3 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验证项目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容量与稳定性</w:t>
            </w:r>
          </w:p>
        </w:tc>
        <w:tc>
          <w:tcPr>
            <w:tcW w:type="dxa" w:w="4320"/>
          </w:tcPr>
          <w:p>
            <w:r>
              <w:t>验证结果:1000并发持续30分钟,错误率低于0.1%。 [3]</w:t>
            </w:r>
          </w:p>
        </w:tc>
      </w:tr>
    </w:tbl>
    <w:p>
      <w:pPr>
        <w:pStyle w:val="Heading1"/>
      </w:pPr>
      <w:r>
        <w:t>4 回退方案</w:t>
      </w:r>
    </w:p>
    <w:p>
      <w:r>
        <w:t>异常时回退上一稳定版本，并恢复原限流参数。</w:t>
      </w:r>
    </w:p>
    <w:p>
      <w:pPr>
        <w:pStyle w:val="Heading1"/>
      </w:pPr>
      <w:r>
        <w:t>引用来源</w:t>
      </w:r>
    </w:p>
    <w:p>
      <w:r>
        <w:t>[1] 文档：REQ-001；版本：V2.0；状态：ACTIVE；章节：变更内容；页码：12；Evidence ID：ev_95654b24f20bc407e5d5</w:t>
      </w:r>
    </w:p>
    <w:p>
      <w:r>
        <w:t>[2] 文档：REQ-001；版本：V2.0；状态：ACTIVE；章节：影响范围；页码：13；Evidence ID：ev_9d877f70bf1a151bf9c6</w:t>
      </w:r>
    </w:p>
    <w:p>
      <w:r>
        <w:t>[3] 文档：TEST-001；版本：V1.0；状态：ACTIVE；章节：验证结果；页码：21；Evidence ID：ev_d6250dc9f076d036213d</w:t>
      </w:r>
    </w:p>
    <w:p>
      <w:r>
        <w:t>[4] 文档：DESIGN-001；版本：V1.0；状态：ACTIVE；章节：变更内容；页码：8；Evidence ID：ev_f234220457e607d7f05f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