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Fixture Notice - Office Formats</w:t>
      </w:r>
    </w:p>
    <w:p>
      <w:r>
        <w:t>Fixture only. Not a real institution document.</w:t>
      </w:r>
    </w:p>
    <w:p>
      <w:pPr>
        <w:pStyle w:val="Heading2"/>
      </w:pPr>
      <w:r>
        <w:t>Scope</w:t>
      </w:r>
    </w:p>
    <w:p>
      <w:pPr>
        <w:pStyle w:val="ListBullet"/>
      </w:pPr>
      <w:r>
        <w:t>Applies to fixture tests only.</w:t>
      </w:r>
    </w:p>
    <w:p>
      <w:pPr>
        <w:pStyle w:val="ListNumber"/>
      </w:pPr>
      <w:r>
        <w:t>Second fixture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Widgets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340.00</w:t>
            </w:r>
          </w:p>
        </w:tc>
      </w:tr>
      <w:tr>
        <w:tc>
          <w:tcPr>
            <w:tcW w:type="dxa" w:w="2880"/>
          </w:tcPr>
          <w:p>
            <w:r>
              <w:t>Gadgets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125.50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