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Clinical Data Handling Decisions - Quick Reference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table provides a concise reference of the decisions regarding clinical data handling.</w:t>
      </w:r>
    </w:p>
    <w:tbl>
      <w:tblPr>
        <w:tblStyle w:val="Table1"/>
        <w:tblW w:w="8640.0" w:type="dxa"/>
        <w:jc w:val="center"/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Issue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Concern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Decision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Samples without matching respiratory cultures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Samples collected may lack a corresponding culture; duplicating older data risks misrepresentation.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Leave blank (null). Preserve true record; alignment handled downstream.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AFB timepoint column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AFB reported separately; timing and results may not align, creating inconsistency.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Omit column for now. Revisit later if needed with proper validation.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Preliminary AFB results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Cultures incubate 8 weeks with preliminary reports; risk of treating prelim as final.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Include, but add a column (e.g., AFB_status) marking 'preliminary' vs 'final'.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Uncertain swab type (throat vs sputum)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Some records are unclear on specimen type; incorrect labeling could confound analyses.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Allow blank or 'uncertain/draft' until clarified by the clinical team.</w:t>
            </w:r>
          </w:p>
        </w:tc>
      </w:tr>
    </w:tbl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L8gGbENbayvFb+XVhjKca8usXw==">CgMxLjA4AHIhMXVzODBlaWdJblhiRE5LV1dJRnJIRHM5NHVuenFIZGdS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