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Clinical Data Handling Decisions</w:t>
      </w:r>
    </w:p>
    <w:p>
      <w:r>
        <w:t>This document summarizes decisions regarding how to handle specific clinical data issues raised during dataset preparation. The goal is to maintain biological accuracy, data integrity, and downstream usability while ensuring provenance is clear.</w:t>
      </w:r>
    </w:p>
    <w:p>
      <w:pPr>
        <w:pStyle w:val="Heading2"/>
      </w:pPr>
      <w:r>
        <w:t>1. Samples without matching respiratory cultures</w:t>
      </w:r>
    </w:p>
    <w:p>
      <w:r>
        <w:t>• What it means: Some patient samples (e.g., sputum) may not have a corresponding clinical respiratory culture performed at the same timepoint.</w:t>
        <w:br/>
        <w:t>• Why it matters: Forcing a match would require duplicating or reusing older culture results, which inflates or misrepresents the clinical record.</w:t>
        <w:br/>
        <w:t>• Decision: Leave these fields blank (null). This ensures the dataset faithfully represents what was collected. Alignment or imputation can be handled downstream during analysis.</w:t>
      </w:r>
    </w:p>
    <w:p>
      <w:pPr>
        <w:pStyle w:val="Heading2"/>
      </w:pPr>
      <w:r>
        <w:t>2. AFB timepoint column</w:t>
      </w:r>
    </w:p>
    <w:p>
      <w:r>
        <w:t>• What it means: Acid-Fast Bacillus (AFB) cultures are reported separately from Gram stain and fungal cultures, and timing/results may not align.</w:t>
        <w:br/>
        <w:t>• Why it matters: Including an 'AFB timepoint' column introduces risk of partial or inconsistent data, creating confusion and requiring extensive validation.</w:t>
        <w:br/>
        <w:t>• Decision: Omit the AFB timepoint column for now. If future analyses require it, we can revisit with proper validation.</w:t>
      </w:r>
    </w:p>
    <w:p>
      <w:pPr>
        <w:pStyle w:val="Heading2"/>
      </w:pPr>
      <w:r>
        <w:t>3. Preliminary AFB results</w:t>
      </w:r>
    </w:p>
    <w:p>
      <w:r>
        <w:t>• What it means: AFB cultures incubate for up to 8 weeks, with preliminary results reported at intervals (e.g., 'no growth at 2 weeks').</w:t>
        <w:br/>
        <w:t>• Why it matters: Final-only results lose temporal information, but unmarked preliminary results risk being treated as definitive.</w:t>
        <w:br/>
        <w:t>• Decision: Include preliminary results but clearly flag them. Request that Jenna add a dedicated column (e.g., 'AFB_status') with controlled values such as 'preliminary' or 'final'. This ensures downstream pipelines can filter or update results as needed.</w:t>
      </w:r>
    </w:p>
    <w:p>
      <w:pPr>
        <w:pStyle w:val="Heading2"/>
      </w:pPr>
      <w:r>
        <w:t>4. Uncertain swab type (throat vs sputum)</w:t>
      </w:r>
    </w:p>
    <w:p>
      <w:r>
        <w:t>• What it means: In some cases, the record does not clearly indicate whether a specimen was a throat swab or expectorated sputum.</w:t>
        <w:br/>
        <w:t>• Why it matters: Specimen type affects clinical interpretation (sputum = lower airway, throat = upper airway). Incorrectly labeling risks confounding analyses.</w:t>
        <w:br/>
        <w:t>• Decision: Allow this field to remain blank or marked as 'uncertain/draft' until clarified by the clinical team. Avoid guessing.</w:t>
      </w:r>
    </w:p>
    <w:p>
      <w:pPr>
        <w:pStyle w:val="Heading2"/>
      </w:pPr>
      <w:r>
        <w:t>5. Handling duplicates &amp; pairing microbiology results</w:t>
      </w:r>
    </w:p>
    <w:p>
      <w:r>
        <w:t>• What it means: In the current template, microbiology results are embedded alongside sample metadata, creating duplicates when multiple organisms are reported per sample.</w:t>
        <w:br/>
        <w:t>• Why it matters: Mixing sample metadata and clinical results can inflate the dataset, make QC harder, and obscure provenance.</w:t>
        <w:br/>
        <w:t>• Decision: Split into two related datasets:</w:t>
        <w:br/>
        <w:t xml:space="preserve">   1. Samples sheet – specimen-level metadata.</w:t>
        <w:br/>
        <w:t xml:space="preserve">   2. Microbiology sheet – one row per organism per sample.</w:t>
        <w:br/>
        <w:t>• Rationale: Keeps both datasets clean, avoids duplication, and allows explicit downstream linking on Sample ID.</w:t>
      </w:r>
    </w:p>
    <w:p>
      <w:pPr>
        <w:pStyle w:val="Heading1"/>
      </w:pPr>
      <w:r>
        <w:t>Clinical Data Handling Decisions - Quick Reference</w:t>
      </w:r>
    </w:p>
    <w:tbl>
      <w:tblPr>
        <w:tblW w:type="auto" w:w="0"/>
        <w:tblLook w:firstColumn="1" w:firstRow="1" w:lastColumn="0" w:lastRow="0" w:noHBand="0" w:noVBand="1" w:val="04A0"/>
      </w:tblPr>
      <w:tblGrid>
        <w:gridCol w:w="2880"/>
        <w:gridCol w:w="2880"/>
        <w:gridCol w:w="2880"/>
      </w:tblGrid>
      <w:tr>
        <w:tc>
          <w:tcPr>
            <w:tcW w:type="dxa" w:w="2880"/>
          </w:tcPr>
          <w:p>
            <w:r>
              <w:t>Issue</w:t>
            </w:r>
          </w:p>
        </w:tc>
        <w:tc>
          <w:tcPr>
            <w:tcW w:type="dxa" w:w="2880"/>
          </w:tcPr>
          <w:p>
            <w:r>
              <w:t>Concern</w:t>
            </w:r>
          </w:p>
        </w:tc>
        <w:tc>
          <w:tcPr>
            <w:tcW w:type="dxa" w:w="2880"/>
          </w:tcPr>
          <w:p>
            <w:r>
              <w:t>Decision</w:t>
            </w:r>
          </w:p>
        </w:tc>
      </w:tr>
      <w:tr>
        <w:tc>
          <w:tcPr>
            <w:tcW w:type="dxa" w:w="2880"/>
          </w:tcPr>
          <w:p>
            <w:r>
              <w:t>Samples without matching respiratory cultures</w:t>
            </w:r>
          </w:p>
        </w:tc>
        <w:tc>
          <w:tcPr>
            <w:tcW w:type="dxa" w:w="2880"/>
          </w:tcPr>
          <w:p>
            <w:r>
              <w:t>Samples collected may lack a corresponding culture; duplicating older data risks misrepresentation.</w:t>
            </w:r>
          </w:p>
        </w:tc>
        <w:tc>
          <w:tcPr>
            <w:tcW w:type="dxa" w:w="2880"/>
          </w:tcPr>
          <w:p>
            <w:r>
              <w:t>Leave blank (null). Preserve true record; alignment handled downstream.</w:t>
            </w:r>
          </w:p>
        </w:tc>
      </w:tr>
      <w:tr>
        <w:tc>
          <w:tcPr>
            <w:tcW w:type="dxa" w:w="2880"/>
          </w:tcPr>
          <w:p>
            <w:r>
              <w:t>AFB timepoint column</w:t>
            </w:r>
          </w:p>
        </w:tc>
        <w:tc>
          <w:tcPr>
            <w:tcW w:type="dxa" w:w="2880"/>
          </w:tcPr>
          <w:p>
            <w:r>
              <w:t>AFB reported separately; timing and results may not align, creating inconsistency.</w:t>
            </w:r>
          </w:p>
        </w:tc>
        <w:tc>
          <w:tcPr>
            <w:tcW w:type="dxa" w:w="2880"/>
          </w:tcPr>
          <w:p>
            <w:r>
              <w:t>Omit column for now. Revisit later if needed with proper validation.</w:t>
            </w:r>
          </w:p>
        </w:tc>
      </w:tr>
      <w:tr>
        <w:tc>
          <w:tcPr>
            <w:tcW w:type="dxa" w:w="2880"/>
          </w:tcPr>
          <w:p>
            <w:r>
              <w:t>Preliminary AFB results</w:t>
            </w:r>
          </w:p>
        </w:tc>
        <w:tc>
          <w:tcPr>
            <w:tcW w:type="dxa" w:w="2880"/>
          </w:tcPr>
          <w:p>
            <w:r>
              <w:t>Cultures incubate 8 weeks with preliminary reports; risk of treating prelim as final.</w:t>
            </w:r>
          </w:p>
        </w:tc>
        <w:tc>
          <w:tcPr>
            <w:tcW w:type="dxa" w:w="2880"/>
          </w:tcPr>
          <w:p>
            <w:r>
              <w:t>Include, but add a column (e.g., AFB_status) marking 'preliminary' vs 'final'.</w:t>
            </w:r>
          </w:p>
        </w:tc>
      </w:tr>
      <w:tr>
        <w:tc>
          <w:tcPr>
            <w:tcW w:type="dxa" w:w="2880"/>
          </w:tcPr>
          <w:p>
            <w:r>
              <w:t>Uncertain swab type (throat vs sputum)</w:t>
            </w:r>
          </w:p>
        </w:tc>
        <w:tc>
          <w:tcPr>
            <w:tcW w:type="dxa" w:w="2880"/>
          </w:tcPr>
          <w:p>
            <w:r>
              <w:t>Some records are unclear on specimen type; incorrect labeling could confound analyses.</w:t>
            </w:r>
          </w:p>
        </w:tc>
        <w:tc>
          <w:tcPr>
            <w:tcW w:type="dxa" w:w="2880"/>
          </w:tcPr>
          <w:p>
            <w:r>
              <w:t>Allow blank or 'uncertain/draft' until clarified by the clinical team.</w:t>
            </w:r>
          </w:p>
        </w:tc>
      </w:tr>
      <w:tr>
        <w:tc>
          <w:tcPr>
            <w:tcW w:type="dxa" w:w="2880"/>
          </w:tcPr>
          <w:p>
            <w:r>
              <w:t>Handling duplicates &amp; pairing microbiology results</w:t>
            </w:r>
          </w:p>
        </w:tc>
        <w:tc>
          <w:tcPr>
            <w:tcW w:type="dxa" w:w="2880"/>
          </w:tcPr>
          <w:p>
            <w:r>
              <w:t>Current template mixes metadata + micro results, causing duplicates.</w:t>
            </w:r>
          </w:p>
        </w:tc>
        <w:tc>
          <w:tcPr>
            <w:tcW w:type="dxa" w:w="2880"/>
          </w:tcPr>
          <w:p>
            <w:r>
              <w:t>Split into two sheets: (1) Samples metadata, (2) Microbiology results; link by Sample ID.</w:t>
            </w:r>
          </w:p>
        </w:tc>
      </w:tr>
    </w:tbl>
    <w:p>
      <w:pPr>
        <w:pStyle w:val="Heading1"/>
      </w:pPr>
      <w:r>
        <w:t>Jenna Original Email:</w:t>
      </w:r>
    </w:p>
    <w:p>
      <w:r>
        <w:t>Hi Spencer,</w:t>
        <w:br/>
        <w:br/>
        <w:t>Just checking in to say I have made substantial progress today, but getting the data ready to send is taking a bit longer than expected. I need to switch gears, but I can work on this more tonight to attempt to finish this today to stick to my word.</w:t>
        <w:br/>
        <w:br/>
        <w:t>There's a few things I would like to run by you as I am working through this. Please let me know if you want to set up a time to discuss either tomorrow or next week.</w:t>
        <w:br/>
        <w:br/>
        <w:t>• I would like to be on the same page for how to manage the instances in which there is not a clinical respiratory culture that lines up exactly with the sample collected. In general, do you want us to duplicate data, or leave blanks? If there are multiple samples that don't line up with clinical data, I would like to discuss the plan for what data to enter. I anticipate you want the most data points as possible rather than reverting to listing the clinical data closest to each sample when this may result in duplicates.</w:t>
        <w:br/>
        <w:br/>
        <w:t>• May we remove the AFB timepoint column? Essentially respiratory culture with Gram stain, fungal culture and AFB are all reported separately, though often but not 100% of the time come from the same sample and date. If we want to include the AFB timepoint column, I will need to go back through and check these in the instance where there was no growth.</w:t>
        <w:br/>
        <w:br/>
        <w:t>• There are also some instances where AFB results are still pending because they culture for 8 weeks, reporting preliminary results incrementally. We are keeping track of preliminary results to go back and check, as we send over data, do you want preliminary data included and is there a way you best want this noted?</w:t>
        <w:br/>
        <w:br/>
        <w:t>No action item from you, but we need to check with our clinical team about a few instances where it is not 100% clear from the description if it was a throat swab or expectorated sputum. If I send over a preliminary data set before this is clarified, I might not yet be able to include this column, or it will be draft data.</w:t>
        <w:br/>
        <w:br/>
        <w:t>Thanks!</w:t>
        <w:br/>
        <w:t>Jenna</w:t>
      </w:r>
    </w:p>
    <w:p>
      <w:pPr>
        <w:pStyle w:val="Heading1"/>
      </w:pPr>
      <w:r>
        <w:t>Jenna Follow-up Email:</w:t>
      </w:r>
    </w:p>
    <w:p>
      <w:r>
        <w:t>Good morning, Spencer,</w:t>
        <w:br/>
        <w:br/>
        <w:t>Thanks so much for the thoughtful response and these clarifications.</w:t>
        <w:br/>
        <w:br/>
        <w:t>As you have likely noticed, the data we shared will need cleaning up to remove duplicates of respiratory culture results. I think the final clarification will be how to manage picking which clinical microbiology result to pair with the sample, or alternatively, would you prefer that we provide the micro results in a separate sheet, not necessarily paired with the sample as we had worked out with the extended medidata arrangement. I think we inadvertently reverted back to the initial data template when the decision was made to pause extended medidata collection.</w:t>
        <w:br/>
        <w:br/>
        <w:t>We may not even need to meet based on what you've advised here, but happy to do so tomorrow or Thursday if needed. With limited bandwidth, I was not planning to attend the team meeting this evening as to devote focused effort to getting data set to you, unless you feel like meeting with the group would be valuable to sorting this out.</w:t>
        <w:br/>
        <w:br/>
        <w:t>Thank you!</w:t>
        <w:br/>
        <w:t>Jenna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