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Content Generation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BeigeScore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total: 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personalization: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engagement: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tone: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details: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userStories: number;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audienceMatch: 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roleRelevance: 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hookStrength: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trendingTopics: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uniqueInsights: 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voiceConsistency: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languageQuality: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ContentGenerationService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async generateContent(userId: string, type: string): Promise&lt;{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content: string;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score: BeigeScore;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Check exercise completion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exercises = await this.checkExercises(userId);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// Generate content based on exercise completion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const content = await this.getContent(exercises, type);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// Calculate Beige score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const score = await this.calculateBeigeScore(content, exercises);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// Log generation attempt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await this.logGeneration(userId, content, score);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return { content, score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// Handle failure and use fallback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const fallback = await this.getFallbackContent(type);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await this.logError(userId, error);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return fallback;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private async calculateBeigeScore(content: string, exercises: any): Promise&lt;BeigeScore&gt;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Calculate component scores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const personalization = await this.scorePersonalization(content, exercises);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const engagement = await this.scoreEngagement(content);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const tone = await this.scoreTone(content, exercises);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Calculate weighted total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const total =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personalization * 0.4 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engagement * 0.35 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tone * 0.25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total,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personalization,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engagement,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tone,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details: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... detailed scoring breakdown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