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21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As a case study we process the </w:t>
      </w:r>
      <w:r>
        <w:rPr>
          <w:i/>
          <w:iCs/>
        </w:rPr>
        <w:t xml:space="preserve">Praise to the Twenty-One Tārās</w:t>
      </w:r>
      <w:r>
        <w:t xml:space="preserve"> with sixteen Tibetan commentaries, producing 2,975 typed, source-anchored claims, 67 consolidated topic pages, and 69 drafted articles, with native-speaker review feeding style rules back into the drafting step. In the audited pilot, all 81 quotations across three articles verify character-for-character against their cited sources, and an independent cross-model audit caught five blocking errors a same-model audit had passed; across the corpus-wide batch, 861 of 882 quotations (97.6%) verify character-for-character.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the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matches neither fact.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roughly four times as expensive to process as Chinese (Petrov et al. 2023). A commercial AI assistant fails a basic question about Tibetan culture asked </w:t>
      </w:r>
      <w:r>
        <w:rPr>
          <w:i/>
          <w:iCs/>
        </w:rPr>
        <w:t xml:space="preserve">in Tibetan</w:t>
      </w:r>
      <w:r>
        <w:t xml:space="preserve">, not because the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a language without one is locked out of the loop. The cycle can be entered deliberately: Wales did so as government policy from 2017, growing the Welsh Wikipedia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the Greenlandic Wikipedia closed. Our claim is not that automation helps small languages, but that </w:t>
      </w:r>
      <w:r>
        <w:rPr>
          <w:i/>
          <w:iCs/>
        </w:rPr>
        <w:t xml:space="preserve">the sign of the feedback loop is determined by verification</w:t>
      </w:r>
      <w:r>
        <w:t xml:space="preserve">. The evidence: a complete pipeline; a deeply audited three-article pilot; 2,975 claims, 67 consolidated pages, a 418-citation adversarial audit; a 66-article corpus-wide batch; a native-speaker review loop whose findings became executable rules;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against the verified cycle (cited articles → digital footprint → better tools → faster articles).]</w:t>
      </w:r>
    </w:p>
    <w:p>
      <w:pPr>
        <w:spacing w:after="120" w:line="252"/>
        <w:jc w:val="both"/>
      </w:pPr>
      <w:r>
        <w:rPr>
          <w:b/>
          <w:bCs/>
        </w:rPr>
        <w:t xml:space="preserve">Contributions.</w:t>
      </w:r>
      <w:r>
        <w:t xml:space="preserve"> (1) A working end-to-end pipeline: raw OCR →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all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machine side measured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WikiChat (Semnani et al. 2023) demonstrated the grounding filter — generate freely, keep only what retrieved sources support — reaching 97%+ factual accuracy in 25 languages, Tibetan not among them. WikiCrow (FutureHouse 2024) generated cited articles for 15,616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AIS-style protocols and WikiCrow's citation precision measure the last. Our deterministic gate measures something stricter and narrower: character-level identity of the quoted evidence and resolution of its block-level locator. Fidelity and support are complementary, and §8 keeps them separate. And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machine-translation junk, and Shumailov et al. (2024) showed models collapse when trained recursively on synthetic data —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(§3),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English Wikipedia's G15 speedy-deletion criterion (August 2025) now deletes LLM pages with fabricated or unresolvable references on sight; §5 answers each known failure class — hallucination, citation fabrication, close paraphrase —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 and, eighteen years after founding, a total the size of a single English-language WikiProject. Organized effort does not escape the arithmetic: the Dzongkha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with sixteen commentaries totalling ~540,000 characters, from a curated </w:t>
      </w:r>
      <w:r>
        <w:rPr>
          <w:i/>
          <w:iCs/>
        </w:rPr>
        <w:t xml:space="preserve">dkar chag</w:t>
      </w:r>
      <w:r>
        <w:t xml:space="preserve"> supplied by the team (Table 1): Sakya, Geluk, Jonang, Nyingma and Kagyü authors, from Drakpa Gyaltsen to living teachers.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467"/>
        <w:gridCol w:w="4400"/>
        <w:gridCol w:w="3733"/>
      </w:tblGrid>
      <w:tr>
        <w:trPr>
          <w:tblHeader/>
        </w:trPr>
        <w:tc>
          <w:tcPr>
            <w:tcW w:type="dxa" w:w="1467"/>
            <w:shd w:fill="E8E8E8" w:color="auto" w:val="clear"/>
          </w:tcPr>
          <w:p>
            <w:pPr>
              <w:spacing w:after="0" w:line="220"/>
            </w:pPr>
            <w:r>
              <w:rPr>
                <w:b/>
                <w:bCs/>
                <w:sz w:val="18"/>
                <w:szCs w:val="18"/>
              </w:rPr>
              <w:t xml:space="preserve">Siglum</w:t>
            </w:r>
          </w:p>
        </w:tc>
        <w:tc>
          <w:tcPr>
            <w:tcW w:type="dxa" w:w="4400"/>
            <w:shd w:fill="E8E8E8" w:color="auto" w:val="clear"/>
          </w:tcPr>
          <w:p>
            <w:pPr>
              <w:spacing w:after="0" w:line="220"/>
            </w:pPr>
            <w:r>
              <w:rPr>
                <w:b/>
                <w:bCs/>
                <w:sz w:val="18"/>
                <w:szCs w:val="18"/>
              </w:rPr>
              <w:t xml:space="preserve">Author</w:t>
            </w:r>
          </w:p>
        </w:tc>
        <w:tc>
          <w:tcPr>
            <w:tcW w:type="dxa" w:w="3733"/>
            <w:shd w:fill="E8E8E8" w:color="auto" w:val="clear"/>
          </w:tcPr>
          <w:p>
            <w:pPr>
              <w:spacing w:after="0" w:line="220"/>
            </w:pPr>
            <w:r>
              <w:rPr>
                <w:b/>
                <w:bCs/>
                <w:sz w:val="18"/>
                <w:szCs w:val="18"/>
              </w:rPr>
              <w:t xml:space="preserve">School · Genre</w:t>
            </w:r>
          </w:p>
        </w:tc>
      </w:tr>
      <w:tr>
        <w:trPr>
          <w:tblHeader w:val="false"/>
        </w:trPr>
        <w:tc>
          <w:tcPr>
            <w:tcW w:type="dxa" w:w="1467"/>
          </w:tcPr>
          <w:p>
            <w:pPr>
              <w:spacing w:after="0" w:line="220"/>
            </w:pPr>
            <w:r>
              <w:rPr>
                <w:sz w:val="18"/>
                <w:szCs w:val="18"/>
              </w:rPr>
              <w:t xml:space="preserve">TARAC02_DGT</w:t>
            </w:r>
          </w:p>
        </w:tc>
        <w:tc>
          <w:tcPr>
            <w:tcW w:type="dxa" w:w="4400"/>
          </w:tcPr>
          <w:p>
            <w:pPr>
              <w:spacing w:after="0" w:line="220"/>
            </w:pPr>
            <w:r>
              <w:rPr>
                <w:sz w:val="18"/>
                <w:szCs w:val="18"/>
              </w:rPr>
              <w:t xml:space="preserve">Jetsün Drakpa Gyaltsen</w:t>
            </w:r>
          </w:p>
        </w:tc>
        <w:tc>
          <w:tcPr>
            <w:tcW w:type="dxa" w:w="3733"/>
          </w:tcPr>
          <w:p>
            <w:pPr>
              <w:spacing w:after="0" w:line="220"/>
            </w:pPr>
            <w:r>
              <w:rPr>
                <w:sz w:val="18"/>
                <w:szCs w:val="18"/>
              </w:rPr>
              <w:t xml:space="preserve">Sakya · rnam bshad</w:t>
            </w:r>
          </w:p>
        </w:tc>
      </w:tr>
      <w:tr>
        <w:trPr>
          <w:tblHeader w:val="false"/>
        </w:trPr>
        <w:tc>
          <w:tcPr>
            <w:tcW w:type="dxa" w:w="1467"/>
          </w:tcPr>
          <w:p>
            <w:pPr>
              <w:spacing w:after="0" w:line="220"/>
            </w:pPr>
            <w:r>
              <w:rPr>
                <w:sz w:val="18"/>
                <w:szCs w:val="18"/>
              </w:rPr>
              <w:t xml:space="preserve">TARAC03_GDD</w:t>
            </w:r>
          </w:p>
        </w:tc>
        <w:tc>
          <w:tcPr>
            <w:tcW w:type="dxa" w:w="4400"/>
          </w:tcPr>
          <w:p>
            <w:pPr>
              <w:spacing w:after="0" w:line="220"/>
            </w:pPr>
            <w:r>
              <w:rPr>
                <w:sz w:val="18"/>
                <w:szCs w:val="18"/>
              </w:rPr>
              <w:t xml:space="preserve">Gendün Drub (1st Dalai Lama)</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TARAC04_GDG</w:t>
            </w:r>
          </w:p>
        </w:tc>
        <w:tc>
          <w:tcPr>
            <w:tcW w:type="dxa" w:w="4400"/>
          </w:tcPr>
          <w:p>
            <w:pPr>
              <w:spacing w:after="0" w:line="220"/>
            </w:pPr>
            <w:r>
              <w:rPr>
                <w:sz w:val="18"/>
                <w:szCs w:val="18"/>
              </w:rPr>
              <w:t xml:space="preserve">Gendün Gyatso (2nd Dalai Lama)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TARAC05_TRN</w:t>
            </w:r>
          </w:p>
        </w:tc>
        <w:tc>
          <w:tcPr>
            <w:tcW w:type="dxa" w:w="4400"/>
          </w:tcPr>
          <w:p>
            <w:pPr>
              <w:spacing w:after="0" w:line="220"/>
            </w:pPr>
            <w:r>
              <w:rPr>
                <w:sz w:val="18"/>
                <w:szCs w:val="18"/>
              </w:rPr>
              <w:t xml:space="preserve">Tāranātha</w:t>
            </w:r>
          </w:p>
        </w:tc>
        <w:tc>
          <w:tcPr>
            <w:tcW w:type="dxa" w:w="3733"/>
          </w:tcPr>
          <w:p>
            <w:pPr>
              <w:spacing w:after="0" w:line="220"/>
            </w:pPr>
            <w:r>
              <w:rPr>
                <w:sz w:val="18"/>
                <w:szCs w:val="18"/>
              </w:rPr>
              <w:t xml:space="preserve">Jonang · rnam bshad</w:t>
            </w:r>
          </w:p>
        </w:tc>
      </w:tr>
      <w:tr>
        <w:trPr>
          <w:tblHeader w:val="false"/>
        </w:trPr>
        <w:tc>
          <w:tcPr>
            <w:tcW w:type="dxa" w:w="1467"/>
          </w:tcPr>
          <w:p>
            <w:pPr>
              <w:spacing w:after="0" w:line="220"/>
            </w:pPr>
            <w:r>
              <w:rPr>
                <w:sz w:val="18"/>
                <w:szCs w:val="18"/>
              </w:rPr>
              <w:t xml:space="preserve">TARAC06_NDB</w:t>
            </w:r>
          </w:p>
        </w:tc>
        <w:tc>
          <w:tcPr>
            <w:tcW w:type="dxa" w:w="4400"/>
          </w:tcPr>
          <w:p>
            <w:pPr>
              <w:spacing w:after="0" w:line="220"/>
            </w:pPr>
            <w:r>
              <w:rPr>
                <w:sz w:val="18"/>
                <w:szCs w:val="18"/>
              </w:rPr>
              <w:t xml:space="preserve">Ngülchu Dharmabhadra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TARAC07_KTK</w:t>
            </w:r>
          </w:p>
        </w:tc>
        <w:tc>
          <w:tcPr>
            <w:tcW w:type="dxa" w:w="4400"/>
          </w:tcPr>
          <w:p>
            <w:pPr>
              <w:spacing w:after="0" w:line="220"/>
            </w:pPr>
            <w:r>
              <w:rPr>
                <w:sz w:val="18"/>
                <w:szCs w:val="18"/>
              </w:rPr>
              <w:t xml:space="preserve">Könchok Tabkhé</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TARAC08_DTG</w:t>
            </w:r>
          </w:p>
        </w:tc>
        <w:tc>
          <w:tcPr>
            <w:tcW w:type="dxa" w:w="4400"/>
          </w:tcPr>
          <w:p>
            <w:pPr>
              <w:spacing w:after="0" w:line="220"/>
            </w:pPr>
            <w:r>
              <w:rPr>
                <w:sz w:val="18"/>
                <w:szCs w:val="18"/>
              </w:rPr>
              <w:t xml:space="preserve">Dorlop Tenga Tulku</w:t>
            </w:r>
          </w:p>
        </w:tc>
        <w:tc>
          <w:tcPr>
            <w:tcW w:type="dxa" w:w="3733"/>
          </w:tcPr>
          <w:p>
            <w:pPr>
              <w:spacing w:after="0" w:line="220"/>
            </w:pPr>
            <w:r>
              <w:rPr>
                <w:sz w:val="18"/>
                <w:szCs w:val="18"/>
              </w:rPr>
              <w:t xml:space="preserve">Sūryagupta · on the benefits</w:t>
            </w:r>
          </w:p>
        </w:tc>
      </w:tr>
      <w:tr>
        <w:trPr>
          <w:tblHeader w:val="false"/>
        </w:trPr>
        <w:tc>
          <w:tcPr>
            <w:tcW w:type="dxa" w:w="1467"/>
          </w:tcPr>
          <w:p>
            <w:pPr>
              <w:spacing w:after="0" w:line="220"/>
            </w:pPr>
            <w:r>
              <w:rPr>
                <w:sz w:val="18"/>
                <w:szCs w:val="18"/>
              </w:rPr>
              <w:t xml:space="preserve">TARAC09_JYS</w:t>
            </w:r>
          </w:p>
        </w:tc>
        <w:tc>
          <w:tcPr>
            <w:tcW w:type="dxa" w:w="4400"/>
          </w:tcPr>
          <w:p>
            <w:pPr>
              <w:spacing w:after="0" w:line="220"/>
            </w:pPr>
            <w:r>
              <w:rPr>
                <w:sz w:val="18"/>
                <w:szCs w:val="18"/>
              </w:rPr>
              <w:t xml:space="preserve">anonymous (no colophon)</w:t>
            </w:r>
          </w:p>
        </w:tc>
        <w:tc>
          <w:tcPr>
            <w:tcW w:type="dxa" w:w="3733"/>
          </w:tcPr>
          <w:p>
            <w:pPr>
              <w:spacing w:after="0" w:line="220"/>
            </w:pPr>
            <w:r>
              <w:rPr>
                <w:sz w:val="18"/>
                <w:szCs w:val="18"/>
              </w:rPr>
              <w:t xml:space="preserve">Sūryagupta · bstod 'grel</w:t>
            </w:r>
          </w:p>
        </w:tc>
      </w:tr>
      <w:tr>
        <w:trPr>
          <w:tblHeader w:val="false"/>
        </w:trPr>
        <w:tc>
          <w:tcPr>
            <w:tcW w:type="dxa" w:w="1467"/>
          </w:tcPr>
          <w:p>
            <w:pPr>
              <w:spacing w:after="0" w:line="220"/>
            </w:pPr>
            <w:r>
              <w:rPr>
                <w:sz w:val="18"/>
                <w:szCs w:val="18"/>
              </w:rPr>
              <w:t xml:space="preserve">TARAC10_DPN</w:t>
            </w:r>
          </w:p>
        </w:tc>
        <w:tc>
          <w:tcPr>
            <w:tcW w:type="dxa" w:w="4400"/>
          </w:tcPr>
          <w:p>
            <w:pPr>
              <w:spacing w:after="0" w:line="220"/>
            </w:pPr>
            <w:r>
              <w:rPr>
                <w:sz w:val="18"/>
                <w:szCs w:val="18"/>
              </w:rPr>
              <w:t xml:space="preserve">Dombu Pema Namgyal</w:t>
            </w:r>
          </w:p>
        </w:tc>
        <w:tc>
          <w:tcPr>
            <w:tcW w:type="dxa" w:w="3733"/>
          </w:tcPr>
          <w:p>
            <w:pPr>
              <w:spacing w:after="0" w:line="220"/>
            </w:pPr>
            <w:r>
              <w:rPr>
                <w:sz w:val="18"/>
                <w:szCs w:val="18"/>
              </w:rPr>
              <w:t xml:space="preserve">— · commentary</w:t>
            </w:r>
          </w:p>
        </w:tc>
      </w:tr>
      <w:tr>
        <w:trPr>
          <w:tblHeader w:val="false"/>
        </w:trPr>
        <w:tc>
          <w:tcPr>
            <w:tcW w:type="dxa" w:w="1467"/>
          </w:tcPr>
          <w:p>
            <w:pPr>
              <w:spacing w:after="0" w:line="220"/>
            </w:pPr>
            <w:r>
              <w:rPr>
                <w:sz w:val="18"/>
                <w:szCs w:val="18"/>
              </w:rPr>
              <w:t xml:space="preserve">TARAC11_KMT</w:t>
            </w:r>
          </w:p>
        </w:tc>
        <w:tc>
          <w:tcPr>
            <w:tcW w:type="dxa" w:w="4400"/>
          </w:tcPr>
          <w:p>
            <w:pPr>
              <w:spacing w:after="0" w:line="220"/>
            </w:pPr>
            <w:r>
              <w:rPr>
                <w:sz w:val="18"/>
                <w:szCs w:val="18"/>
              </w:rPr>
              <w:t xml:space="preserve">Karma Maitri</w:t>
            </w:r>
          </w:p>
        </w:tc>
        <w:tc>
          <w:tcPr>
            <w:tcW w:type="dxa" w:w="3733"/>
          </w:tcPr>
          <w:p>
            <w:pPr>
              <w:spacing w:after="0" w:line="220"/>
            </w:pPr>
            <w:r>
              <w:rPr>
                <w:sz w:val="18"/>
                <w:szCs w:val="18"/>
              </w:rPr>
              <w:t xml:space="preserve">— · condensed commentary</w:t>
            </w:r>
          </w:p>
        </w:tc>
      </w:tr>
      <w:tr>
        <w:trPr>
          <w:tblHeader w:val="false"/>
        </w:trPr>
        <w:tc>
          <w:tcPr>
            <w:tcW w:type="dxa" w:w="1467"/>
          </w:tcPr>
          <w:p>
            <w:pPr>
              <w:spacing w:after="0" w:line="220"/>
            </w:pPr>
            <w:r>
              <w:rPr>
                <w:sz w:val="18"/>
                <w:szCs w:val="18"/>
              </w:rPr>
              <w:t xml:space="preserve">TARAC12_PDS</w:t>
            </w:r>
          </w:p>
        </w:tc>
        <w:tc>
          <w:tcPr>
            <w:tcW w:type="dxa" w:w="4400"/>
          </w:tcPr>
          <w:p>
            <w:pPr>
              <w:spacing w:after="0" w:line="220"/>
            </w:pPr>
            <w:r>
              <w:rPr>
                <w:sz w:val="18"/>
                <w:szCs w:val="18"/>
              </w:rPr>
              <w:t xml:space="preserve">Khenchen Palden Sherab</w:t>
            </w:r>
          </w:p>
        </w:tc>
        <w:tc>
          <w:tcPr>
            <w:tcW w:type="dxa" w:w="3733"/>
          </w:tcPr>
          <w:p>
            <w:pPr>
              <w:spacing w:after="0" w:line="220"/>
            </w:pPr>
            <w:r>
              <w:rPr>
                <w:sz w:val="18"/>
                <w:szCs w:val="18"/>
              </w:rPr>
              <w:t xml:space="preserve">Nyingma · word commentary</w:t>
            </w:r>
          </w:p>
        </w:tc>
      </w:tr>
      <w:tr>
        <w:trPr>
          <w:tblHeader w:val="false"/>
        </w:trPr>
        <w:tc>
          <w:tcPr>
            <w:tcW w:type="dxa" w:w="1467"/>
          </w:tcPr>
          <w:p>
            <w:pPr>
              <w:spacing w:after="0" w:line="220"/>
            </w:pPr>
            <w:r>
              <w:rPr>
                <w:sz w:val="18"/>
                <w:szCs w:val="18"/>
              </w:rPr>
              <w:t xml:space="preserve">TARAC13_TDZ</w:t>
            </w:r>
          </w:p>
        </w:tc>
        <w:tc>
          <w:tcPr>
            <w:tcW w:type="dxa" w:w="4400"/>
          </w:tcPr>
          <w:p>
            <w:pPr>
              <w:spacing w:after="0" w:line="220"/>
            </w:pPr>
            <w:r>
              <w:rPr>
                <w:sz w:val="18"/>
                <w:szCs w:val="18"/>
              </w:rPr>
              <w:t xml:space="preserve">Sermé Tsang Geshé Tendzin Dönzang</w:t>
            </w:r>
          </w:p>
        </w:tc>
        <w:tc>
          <w:tcPr>
            <w:tcW w:type="dxa" w:w="3733"/>
          </w:tcPr>
          <w:p>
            <w:pPr>
              <w:spacing w:after="0" w:line="220"/>
            </w:pPr>
            <w:r>
              <w:rPr>
                <w:sz w:val="18"/>
                <w:szCs w:val="18"/>
              </w:rPr>
              <w:t xml:space="preserve">Geluk · bstod 'grel</w:t>
            </w:r>
          </w:p>
        </w:tc>
      </w:tr>
      <w:tr>
        <w:trPr>
          <w:tblHeader w:val="false"/>
        </w:trPr>
        <w:tc>
          <w:tcPr>
            <w:tcW w:type="dxa" w:w="1467"/>
          </w:tcPr>
          <w:p>
            <w:pPr>
              <w:spacing w:after="0" w:line="220"/>
            </w:pPr>
            <w:r>
              <w:rPr>
                <w:sz w:val="18"/>
                <w:szCs w:val="18"/>
              </w:rPr>
              <w:t xml:space="preserve">TARAC14_LZD</w:t>
            </w:r>
          </w:p>
        </w:tc>
        <w:tc>
          <w:tcPr>
            <w:tcW w:type="dxa" w:w="4400"/>
          </w:tcPr>
          <w:p>
            <w:pPr>
              <w:spacing w:after="0" w:line="220"/>
            </w:pPr>
            <w:r>
              <w:rPr>
                <w:sz w:val="18"/>
                <w:szCs w:val="18"/>
              </w:rPr>
              <w:t xml:space="preserve">Geshé Lobzang Dawa (ed.)</w:t>
            </w:r>
          </w:p>
        </w:tc>
        <w:tc>
          <w:tcPr>
            <w:tcW w:type="dxa" w:w="3733"/>
          </w:tcPr>
          <w:p>
            <w:pPr>
              <w:spacing w:after="0" w:line="220"/>
            </w:pPr>
            <w:r>
              <w:rPr>
                <w:sz w:val="18"/>
                <w:szCs w:val="18"/>
              </w:rPr>
              <w:t xml:space="preserve">Geluk · interlinear notes</w:t>
            </w:r>
          </w:p>
        </w:tc>
      </w:tr>
      <w:tr>
        <w:trPr>
          <w:tblHeader w:val="false"/>
        </w:trPr>
        <w:tc>
          <w:tcPr>
            <w:tcW w:type="dxa" w:w="1467"/>
          </w:tcPr>
          <w:p>
            <w:pPr>
              <w:spacing w:after="0" w:line="220"/>
            </w:pPr>
            <w:r>
              <w:rPr>
                <w:sz w:val="18"/>
                <w:szCs w:val="18"/>
              </w:rPr>
              <w:t xml:space="preserve">TARAC15_SNT</w:t>
            </w:r>
          </w:p>
        </w:tc>
        <w:tc>
          <w:tcPr>
            <w:tcW w:type="dxa" w:w="4400"/>
          </w:tcPr>
          <w:p>
            <w:pPr>
              <w:spacing w:after="0" w:line="220"/>
            </w:pPr>
            <w:r>
              <w:rPr>
                <w:sz w:val="18"/>
                <w:szCs w:val="18"/>
              </w:rPr>
              <w:t xml:space="preserve">Sangyé Nyentrul</w:t>
            </w:r>
          </w:p>
        </w:tc>
        <w:tc>
          <w:tcPr>
            <w:tcW w:type="dxa" w:w="3733"/>
          </w:tcPr>
          <w:p>
            <w:pPr>
              <w:spacing w:after="0" w:line="220"/>
            </w:pPr>
            <w:r>
              <w:rPr>
                <w:sz w:val="18"/>
                <w:szCs w:val="18"/>
              </w:rPr>
              <w:t xml:space="preserve">— · word commentary</w:t>
            </w:r>
          </w:p>
        </w:tc>
      </w:tr>
      <w:tr>
        <w:trPr>
          <w:tblHeader w:val="false"/>
        </w:trPr>
        <w:tc>
          <w:tcPr>
            <w:tcW w:type="dxa" w:w="1467"/>
          </w:tcPr>
          <w:p>
            <w:pPr>
              <w:spacing w:after="0" w:line="220"/>
            </w:pPr>
            <w:r>
              <w:rPr>
                <w:sz w:val="18"/>
                <w:szCs w:val="18"/>
              </w:rPr>
              <w:t xml:space="preserve">TARAC16_PSR</w:t>
            </w:r>
          </w:p>
        </w:tc>
        <w:tc>
          <w:tcPr>
            <w:tcW w:type="dxa" w:w="4400"/>
          </w:tcPr>
          <w:p>
            <w:pPr>
              <w:spacing w:after="0" w:line="220"/>
            </w:pPr>
            <w:r>
              <w:rPr>
                <w:sz w:val="18"/>
                <w:szCs w:val="18"/>
              </w:rPr>
              <w:t xml:space="preserve">Draphar Dramé Sungrab Tulku</w:t>
            </w:r>
          </w:p>
        </w:tc>
        <w:tc>
          <w:tcPr>
            <w:tcW w:type="dxa" w:w="3733"/>
          </w:tcPr>
          <w:p>
            <w:pPr>
              <w:spacing w:after="0" w:line="220"/>
            </w:pPr>
            <w:r>
              <w:rPr>
                <w:sz w:val="18"/>
                <w:szCs w:val="18"/>
              </w:rPr>
              <w:t xml:space="preserve">Geluk (2023) · rnam bshad</w:t>
            </w:r>
          </w:p>
        </w:tc>
      </w:tr>
      <w:tr>
        <w:trPr>
          <w:tblHeader w:val="false"/>
        </w:trPr>
        <w:tc>
          <w:tcPr>
            <w:tcW w:type="dxa" w:w="1467"/>
          </w:tcPr>
          <w:p>
            <w:pPr>
              <w:spacing w:after="0" w:line="220"/>
            </w:pPr>
            <w:r>
              <w:rPr>
                <w:sz w:val="18"/>
                <w:szCs w:val="18"/>
              </w:rPr>
              <w:t xml:space="preserve">TARAC17_TSN</w:t>
            </w:r>
          </w:p>
        </w:tc>
        <w:tc>
          <w:tcPr>
            <w:tcW w:type="dxa" w:w="4400"/>
          </w:tcPr>
          <w:p>
            <w:pPr>
              <w:spacing w:after="0" w:line="220"/>
            </w:pPr>
            <w:r>
              <w:rPr>
                <w:sz w:val="18"/>
                <w:szCs w:val="18"/>
              </w:rPr>
              <w:t xml:space="preserve">Khenpo Tsültrim Namdak</w:t>
            </w:r>
          </w:p>
        </w:tc>
        <w:tc>
          <w:tcPr>
            <w:tcW w:type="dxa" w:w="3733"/>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and which stopped mid-clause at the twenty-first homage, omitting the benefits section every commentary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re-running it reproduces every source file byte for byte, verified by rebuilding the corpus from the raw upload on a second machine and obtaining identical verification reports (§8). One honesty note stays visible: the corpus currently exists in two annotated copies — rails-side with sa-bcad headings, pipeline-side with flat block IDs — with the citation chain intact in both (§9).</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(§5.1–5.2), choosing the subjects (§5.3), building the claims layer (§5.4–5.7), generating and verifying articles (§5.8–5.9), and publication (§5.10). For every step we state, in plain terms, </w:t>
      </w:r>
      <w:r>
        <w:rPr>
          <w:b/>
          <w:bCs/>
        </w:rPr>
        <w:t xml:space="preserve">what goes in, what comes out, and how it works</w:t>
      </w:r>
      <w:r>
        <w:t xml:space="preserve">, and name the gate the step ends in. Table 2 states the layered defense as failure class against catching layer, with the on-disk evidence that each layer has fired. And because "semi-automatic" is not a mood, the human checkpoints are named: the cleaning profile, segmentation residue, tree QC sign-off, the term list, rails promotion (only a domain specialist sets status: complete), the pre-publication review, and the --execute that publishes (§5.10).</w:t>
      </w:r>
    </w:p>
    <w:p>
      <w:pPr>
        <w:spacing w:after="120" w:line="252"/>
        <w:jc w:val="both"/>
      </w:pPr>
      <w:r>
        <w:rPr>
          <w:i/>
          <w:iCs/>
        </w:rPr>
        <w:t xml:space="preserve">[Figure 2 near here: pipeline diagram — source preparation (5.1–5.2) → subject selection (5.3) → claims, consolidation and audit (5.4–5.7)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kept read-only. </w:t>
      </w:r>
      <w:r>
        <w:rPr>
          <w:i/>
          <w:iCs/>
        </w:rPr>
        <w:t xml:space="preserve">Out:</w:t>
      </w:r>
      <w:r>
        <w:t xml:space="preserve"> a cleaned working copy. </w:t>
      </w:r>
      <w:r>
        <w:rPr>
          <w:i/>
          <w:iCs/>
        </w:rPr>
        <w:t xml:space="preserve">How:</w:t>
      </w:r>
      <w:r>
        <w:t xml:space="preserve"> the script first builds a </w:t>
      </w:r>
      <w:r>
        <w:rPr>
          <w:i/>
          <w:iCs/>
        </w:rPr>
        <w:t xml:space="preserve">profile</w:t>
      </w:r>
      <w:r>
        <w:t xml:space="preserve"> of the mechanical debris it found (page-number lines, running headers, the wrong tsheg character), shows it to the human, and only then runs a cleaner limited to exactly those fixes. It never interprets text: doubtful readings are deferred to the human edition (§4).</w:t>
      </w:r>
    </w:p>
    <w:p>
      <w:pPr>
        <w:spacing w:after="120" w:line="252"/>
        <w:jc w:val="both"/>
      </w:pPr>
      <w:r>
        <w:rPr>
          <w:b/>
          <w:bCs/>
        </w:rPr>
        <w:t xml:space="preserve">Normalisation</w:t>
      </w:r>
      <w:r>
        <w:t xml:space="preserve"> is a shared library every later stage calls, not a stage that edits files — because every guarantee about a quotation is really a claim about </w:t>
      </w:r>
      <w:r>
        <w:rPr>
          <w:i/>
          <w:iCs/>
        </w:rPr>
        <w:t xml:space="preserve">which</w:t>
      </w:r>
      <w:r>
        <w:t xml:space="preserve"> normalisation was compared, and if each stage grew its own, a citation could look checked when it is not. Its four rungs, from the storage form down to a punctuation-stripped fuzzy key, are exactly the verification tiers of §5.9.</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w:t>
      </w:r>
      <w:r>
        <w:rPr>
          <w:i/>
          <w:iCs/>
        </w:rPr>
        <w:t xml:space="preserve">How:</w:t>
      </w:r>
      <w:r>
        <w:t xml:space="preserve"> the root text is formatted one stanza per paragraph by a small grammar of Tibetan punctuation; each commentary is cut into citation-sized blocks by a rule engine over seven lexical boundary cues, with verse stanzas detected by their meter and peeled out whole. The safety is the no-loss gate: if the segmented text differs from the original by one non-whitespace character, the script aborts and writes nothing.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detection is </w:t>
      </w:r>
      <w:r>
        <w:rPr>
          <w:i/>
          <w:iCs/>
        </w:rPr>
        <w:t xml:space="preserve">model-only</w:t>
      </w:r>
      <w:r>
        <w:t xml:space="preserve"> — sa-bcad surface variants defeated regex — and the model's entire job is to </w:t>
      </w:r>
      <w:r>
        <w:rPr>
          <w:i/>
          <w:iCs/>
        </w:rPr>
        <w:t xml:space="preserve">point</w:t>
      </w:r>
      <w:r>
        <w:t xml:space="preserve"> at lines that already exist, never to retype them; rendering is </w:t>
      </w:r>
      <w:r>
        <w:rPr>
          <w:i/>
          <w:iCs/>
        </w:rPr>
        <w:t xml:space="preserve">script-only</w:t>
      </w:r>
      <w:r>
        <w:t xml:space="preserve"> — heading IDs derive from outline depth by code, and each announced term is wrapped in a wikilink to the heading it announces (§5.10). The gate compares the result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that claims extraction, spine mapping and consolidation all lean on. </w:t>
      </w:r>
      <w:r>
        <w:rPr>
          <w:i/>
          <w:iCs/>
        </w:rPr>
        <w:t xml:space="preserve">How:</w:t>
      </w:r>
      <w:r>
        <w:t xml:space="preserve"> extraction is staged in five isolated passes (chunk, extract candidates, copy the enumeration announcements verbatim, build, check), on a finding about prompt design: a call that never sees the tree-building instructions cannot drift into tree-building, and a verbatim-copy call that never sees "interpret and reconcile" stays literal; merging the jobs drops precision. Tree building treats the author's own enumerations as </w:t>
      </w:r>
      <w:r>
        <w:rPr>
          <w:i/>
          <w:iCs/>
        </w:rPr>
        <w:t xml:space="preserve">more authoritative than individual candidates</w:t>
      </w:r>
      <w:r>
        <w:t xml:space="preserve"> — every declared part must appear as a child, and the child count must match the declared count; doctrinal lists, enumerated as subject matter rather than as divisions of the text, never become nodes.</w:t>
      </w:r>
    </w:p>
    <w:p>
      <w:pPr>
        <w:spacing w:after="120" w:line="252"/>
        <w:jc w:val="both"/>
      </w:pPr>
      <w:r>
        <w:t xml:space="preserve">Figure 3 shows what the step produces, from the promoted tree of Gendün Drub's ṭīkā — ten of its 37 nodes, nested to seven levels. The leaf nodes under its "extended explanation" number exactly twenty-one: the tree recovers the praise's own architecture, as the commentator declared it.</w:t>
      </w:r>
    </w:p>
    <w:p>
      <w:pPr>
        <w:spacing w:after="120" w:line="252"/>
        <w:jc w:val="both"/>
      </w:pPr>
      <w:r>
        <w:rPr>
          <w:i/>
          <w:iCs/>
        </w:rPr>
        <w:t xml:space="preserve">Figure 3. Excerpt of the QC-clean structural tree for TARAC03_GDD (Gendün Drub). English glosses added here; [[N]] are line pointers into the source file.</w:t>
      </w:r>
    </w:p>
    <w:p>
      <w:pPr>
        <w:shd w:fill="F2F2F2" w:color="auto" w:val="clear"/>
        <w:spacing w:after="0" w:line="220"/>
        <w:ind w:left="240"/>
      </w:pPr>
      <w:r>
        <w:rPr>
          <w:rFonts w:ascii="Courier New" w:cs="Courier New" w:eastAsia="Courier New" w:hAnsi="Courier New"/>
          <w:sz w:val="17"/>
          <w:szCs w:val="17"/>
        </w:rPr>
        <w:t xml:space="preserve">1. གླེང་གཞི                the setting                     [[26]]</w:t>
      </w:r>
    </w:p>
    <w:p>
      <w:pPr>
        <w:shd w:fill="F2F2F2" w:color="auto" w:val="clear"/>
        <w:spacing w:after="0" w:line="220"/>
        <w:ind w:left="240"/>
      </w:pPr>
      <w:r>
        <w:rPr>
          <w:rFonts w:ascii="Courier New" w:cs="Courier New" w:eastAsia="Courier New" w:hAnsi="Courier New"/>
          <w:sz w:val="17"/>
          <w:szCs w:val="17"/>
        </w:rPr>
        <w:t xml:space="preserve">2. དངོས་བཤད་པ              the explanation proper           [[28]]</w:t>
      </w:r>
    </w:p>
    <w:p>
      <w:pPr>
        <w:shd w:fill="F2F2F2" w:color="auto" w:val="clear"/>
        <w:spacing w:after="0" w:line="220"/>
        <w:ind w:left="240"/>
      </w:pPr>
      <w:r>
        <w:rPr>
          <w:rFonts w:ascii="Courier New" w:cs="Courier New" w:eastAsia="Courier New" w:hAnsi="Courier New"/>
          <w:sz w:val="17"/>
          <w:szCs w:val="17"/>
        </w:rPr>
        <w:t xml:space="preserve">   2.2 ཕྱག་འཚལ་བ་ཉི་ཤུ་རྩ་གཅིག   the twenty-one homages      [[28]]</w:t>
      </w:r>
    </w:p>
    <w:p>
      <w:pPr>
        <w:shd w:fill="F2F2F2" w:color="auto" w:val="clear"/>
        <w:spacing w:after="0" w:line="220"/>
        <w:ind w:left="240"/>
      </w:pPr>
      <w:r>
        <w:rPr>
          <w:rFonts w:ascii="Courier New" w:cs="Courier New" w:eastAsia="Courier New" w:hAnsi="Courier New"/>
          <w:sz w:val="17"/>
          <w:szCs w:val="17"/>
        </w:rPr>
        <w:t xml:space="preserve">      2.2.2 རྒྱས་པར་བཤད་པ        extended explanation        [[44]]</w:t>
      </w:r>
    </w:p>
    <w:p>
      <w:pPr>
        <w:shd w:fill="F2F2F2" w:color="auto" w:val="clear"/>
        <w:spacing w:after="0" w:line="220"/>
        <w:ind w:left="240"/>
      </w:pPr>
      <w:r>
        <w:rPr>
          <w:rFonts w:ascii="Courier New" w:cs="Courier New" w:eastAsia="Courier New" w:hAnsi="Courier New"/>
          <w:sz w:val="17"/>
          <w:szCs w:val="17"/>
        </w:rPr>
        <w:t xml:space="preserve">         2.2.2.1 ལོ་རྒྱུས་ཀྱི་སྒོ་ནས་བསྟོད་པ    praise via the origin story   [[44]]</w:t>
      </w:r>
    </w:p>
    <w:p>
      <w:pPr>
        <w:shd w:fill="F2F2F2" w:color="auto" w:val="clear"/>
        <w:spacing w:after="0" w:line="220"/>
        <w:ind w:left="240"/>
      </w:pPr>
      <w:r>
        <w:rPr>
          <w:rFonts w:ascii="Courier New" w:cs="Courier New" w:eastAsia="Courier New" w:hAnsi="Courier New"/>
          <w:sz w:val="17"/>
          <w:szCs w:val="17"/>
        </w:rPr>
        <w:t xml:space="preserve">         2.2.2.2 སྐུའི་རྣམ་པའི་སྒོ་ནས་བསྟོད་པ   praise via her form           [[52]]</w:t>
      </w:r>
    </w:p>
    <w:p>
      <w:pPr>
        <w:shd w:fill="F2F2F2" w:color="auto" w:val="clear"/>
        <w:spacing w:after="0" w:line="220"/>
        <w:ind w:left="240"/>
      </w:pPr>
      <w:r>
        <w:rPr>
          <w:rFonts w:ascii="Courier New" w:cs="Courier New" w:eastAsia="Courier New" w:hAnsi="Courier New"/>
          <w:sz w:val="17"/>
          <w:szCs w:val="17"/>
        </w:rPr>
        <w:t xml:space="preserve">            ⋯ ཞི་བའི་རྣམ་པ (peaceful, 6 nodes) · ཁྲོ་མོའི་རྣམ་པ (wrathful, 7 nodes)</w:t>
      </w:r>
    </w:p>
    <w:p>
      <w:pPr>
        <w:shd w:fill="F2F2F2" w:color="auto" w:val="clear"/>
        <w:spacing w:after="0" w:line="220"/>
        <w:ind w:left="240"/>
      </w:pPr>
      <w:r>
        <w:rPr>
          <w:rFonts w:ascii="Courier New" w:cs="Courier New" w:eastAsia="Courier New" w:hAnsi="Courier New"/>
          <w:sz w:val="17"/>
          <w:szCs w:val="17"/>
        </w:rPr>
        <w:t xml:space="preserve">         2.2.2.3 འཕྲིན་ལས་ཀྱི་སྒོ་ནས་བསྟོད་པ   praise via her activity (6 nodes)  [[182]]</w:t>
      </w:r>
    </w:p>
    <w:p>
      <w:pPr>
        <w:shd w:fill="F2F2F2" w:color="auto" w:val="clear"/>
        <w:spacing w:after="0" w:line="220"/>
        <w:ind w:left="240"/>
      </w:pPr>
      <w:r>
        <w:rPr>
          <w:rFonts w:ascii="Courier New" w:cs="Courier New" w:eastAsia="Courier New" w:hAnsi="Courier New"/>
          <w:sz w:val="17"/>
          <w:szCs w:val="17"/>
        </w:rPr>
        <w:t xml:space="preserve">      2.2.3 ཕན་ཡོན་བསྟན་པ        the benefits                [[228]]</w:t>
      </w:r>
    </w:p>
    <w:p>
      <w:pPr>
        <w:spacing w:after="120"/>
      </w:pPr>
      <w:r>
        <w:rPr>
          <w:sz w:val="2"/>
          <w:szCs w:val="2"/>
        </w:rPr>
        <w:t xml:space="preserve"/>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with a syllable-bigram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an unresolved anchor one line from an obvious textual anchor, and seven collided line pointers where the extractor had lost its cursor. Self-consistency checking cannot catch these, because the one thing it never reads is the commentary. Promotion requires both checkers clean; all sixteen commentaries have promoted, QC-clean trees. One residual defect is recorded in the affected downstream file rather than hidden: one tree's line pointers drifted after a post-QC re-stamp of its source file, flagged in the claims file that inherited it.</w:t>
      </w:r>
    </w:p>
    <w:p>
      <w:pPr>
        <w:pStyle w:val="Heading2"/>
      </w:pPr>
      <w:r>
        <w:t xml:space="preserve">5.3 Choosing the subjects: the keyword chain</w:t>
      </w:r>
    </w:p>
    <w:p>
      <w:pPr>
        <w:spacing w:after="120" w:line="252"/>
        <w:jc w:val="both"/>
      </w:pPr>
      <w:r>
        <w:t xml:space="preserve">Which subjects get articles is itself a pipeline, governed by one boundary rule: keywords </w:t>
      </w:r>
      <w:r>
        <w:rPr>
          <w:i/>
          <w:iCs/>
        </w:rPr>
        <w:t xml:space="preserve">select and order</w:t>
      </w:r>
      <w:r>
        <w:t xml:space="preserve"> the article queue; they never define what the claims layer records. The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w:t>
      </w:r>
    </w:p>
    <w:p>
      <w:pPr>
        <w:spacing w:after="120" w:line="252"/>
        <w:jc w:val="both"/>
      </w:pPr>
      <w:r>
        <w:rPr>
          <w:b/>
          <w:bCs/>
        </w:rPr>
        <w:t xml:space="preserve">Finding candidates.</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run over the English; for each English candidate, a model opens the same-numbered Tibetan block and identifies the exact Tibetan span it translates, and the results are regrouped by Tibetan term, merging spelling variants. This per-occurrence mapping fixes the two ways translation statistics lie: one Tibetan term split across several English renderings, and two distinct Tibetan terms merged under one English word. </w:t>
      </w:r>
      <w:r>
        <w:rPr>
          <w:b/>
          <w:bCs/>
        </w:rPr>
        <w:t xml:space="preserve">193 + 313 English candidates → 367 unique Tibetan terms.</w:t>
      </w:r>
    </w:p>
    <w:p>
      <w:pPr>
        <w:spacing w:after="120" w:line="252"/>
        <w:jc w:val="both"/>
      </w:pPr>
      <w:r>
        <w:rPr>
          <w:b/>
          <w:bCs/>
        </w:rPr>
        <w:t xml:space="preserve">Scoring.</w:t>
      </w:r>
      <w:r>
        <w:t xml:space="preserve"> Raw frequency cannot separate a grammatical particle from a doctrinal term, so three signal classes combine, mere presence deliberately the weakest. Dominant is </w:t>
      </w:r>
      <w:r>
        <w:rPr>
          <w:b/>
          <w:bCs/>
        </w:rPr>
        <w:t xml:space="preserve">attention</w:t>
      </w:r>
      <w:r>
        <w:t xml:space="preserve">: how many claims are </w:t>
      </w:r>
      <w:r>
        <w:rPr>
          <w:i/>
          <w:iCs/>
        </w:rPr>
        <w:t xml:space="preserve">about</w:t>
      </w:r>
      <w:r>
        <w:t xml:space="preserve"> the term, across how many commentaries. Next </w:t>
      </w:r>
      <w:r>
        <w:rPr>
          <w:b/>
          <w:bCs/>
        </w:rPr>
        <w:t xml:space="preserve">structure</w:t>
      </w:r>
      <w:r>
        <w:t xml:space="preserve">: whether the term appears in section titles, and whether commentaries explicitly define it. Last, as a tie-breaker, </w:t>
      </w:r>
      <w:r>
        <w:rPr>
          <w:b/>
          <w:bCs/>
        </w:rPr>
        <w:t xml:space="preserve">presence</w:t>
      </w:r>
      <w:r>
        <w:t xml:space="preserve">: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is a mechanical cutoff, calibrated once and frozen: a term enters the queue only if at least half the commentaries engage it </w:t>
      </w:r>
      <w:r>
        <w:rPr>
          <w:i/>
          <w:iCs/>
        </w:rPr>
        <w:t xml:space="preserve">and</w:t>
      </w:r>
      <w:r>
        <w:t xml:space="preserve"> at least 20 claims are about it — roughly a lead plus two or three cited sections after consolidation. Terms that fail stay in the registry as glossary candidates; nothing is deleted. </w:t>
      </w:r>
      <w:r>
        <w:rPr>
          <w:b/>
          <w:bCs/>
        </w:rPr>
        <w:t xml:space="preserve">114 of 367 terms pass.</w:t>
      </w:r>
    </w:p>
    <w:p>
      <w:pPr>
        <w:spacing w:after="120" w:line="252"/>
        <w:jc w:val="both"/>
      </w:pPr>
      <w:r>
        <w:rPr>
          <w:b/>
          <w:bCs/>
        </w:rPr>
        <w:t xml:space="preserve">From terms to subjects.</w:t>
      </w:r>
      <w:r>
        <w:t xml:space="preserve"> A model pass merges queue rows that are the same subject under spelling or grammatical variants (never merging doctrinally distinct terms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volume: a 100-claim body part is still section material; a 20-claim deity is still standalone. The gate is </w:t>
      </w:r>
      <w:r>
        <w:rPr>
          <w:i/>
          <w:iCs/>
        </w:rPr>
        <w:t xml:space="preserve">conservation of terms</w:t>
      </w:r>
      <w:r>
        <w:t xml:space="preserve">: the verdict classes must sum exactly to the input count. </w:t>
      </w:r>
      <w:r>
        <w:rPr>
          <w:b/>
          <w:bCs/>
        </w:rPr>
        <w:t xml:space="preserve">44 standalone + 47 section-material + 10 glossary + 13 merged = 114/114.</w:t>
      </w:r>
    </w:p>
    <w:p>
      <w:pPr>
        <w:spacing w:after="120" w:line="252"/>
        <w:jc w:val="both"/>
      </w:pPr>
      <w:r>
        <w:rPr>
          <w:b/>
          <w:bCs/>
        </w:rPr>
        <w:t xml:space="preserve">What already exists on the wiki</w:t>
      </w:r>
      <w:r>
        <w:t xml:space="preserve"> is checked against the live wiki — title search with redirects and spelling variants, plus a structured-data check for a Tibetan-Wikipedia sitelink — because existence chooses between the create and update paths,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25 update, 19 create, 0 unresolved.</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rest on incomplete information — the first commentary read silently defines the topic space.</w:t>
      </w:r>
    </w:p>
    <w:p>
      <w:pPr>
        <w:spacing w:after="120" w:line="252"/>
        <w:jc w:val="both"/>
      </w:pPr>
      <w:r>
        <w:rPr>
          <w:i/>
          <w:iCs/>
        </w:rPr>
        <w:t xml:space="preserve">In:</w:t>
      </w:r>
      <w:r>
        <w:t xml:space="preserve"> one commentary and its QC-clean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w:t>
      </w:r>
    </w:p>
    <w:p>
      <w:pPr>
        <w:spacing w:after="120" w:line="252"/>
        <w:jc w:val="both"/>
      </w:pPr>
      <w:r>
        <w:t xml:space="preserve">Three extraction methods were compared — a one-pass inventory under fixed categories, a re-bucketing of an existing extraction under the commentary's own tree, and a fresh tree-guided extraction — and the negative findings are why the third is now standard. The re-bucketed run was not an independent extraction at all: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among them: claim counts are computed by counting, never inherited; "stated" means the referent's verbatim name occurs in the claim's own quoted Tibetan; and every claim is independently re-derived.</w:t>
      </w:r>
    </w:p>
    <w:p>
      <w:pPr>
        <w:spacing w:after="120" w:line="252"/>
        <w:jc w:val="both"/>
      </w:pPr>
      <w:r>
        <w:t xml:space="preserve">A row pairs verbatim Tibetan with its apparatus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grounding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ellipsis-joined fragments tested individually — which catches a claim quoting one real phrase and one invented one), claim-count recomputation, an ID-collision scan, and stated-referent validation. Repair is by fresh per-node call: never suppress a finding to make the count read zero. </w:t>
      </w:r>
      <w:r>
        <w:rPr>
          <w:b/>
          <w:bCs/>
        </w:rPr>
        <w:t xml:space="preserve">On disk: 16 claims files, 2,975 claims, all status: draft</w:t>
      </w:r>
      <w:r>
        <w:t xml:space="preserve"> — the model never marks its own extraction complete.</w:t>
      </w:r>
    </w:p>
    <w:p>
      <w:pPr>
        <w:pStyle w:val="Heading2"/>
      </w:pPr>
      <w:r>
        <w:t xml:space="preserve">5.5 Spine maps</w:t>
      </w:r>
    </w:p>
    <w:p>
      <w:pPr>
        <w:spacing w:after="120" w:line="252"/>
        <w:jc w:val="both"/>
      </w:pPr>
      <w:r>
        <w:rPr>
          <w:i/>
          <w:iCs/>
        </w:rPr>
        <w:t xml:space="preserve">In:</w:t>
      </w:r>
      <w:r>
        <w:t xml:space="preserve"> one commentary's tree and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t>
      </w:r>
      <w:r>
        <w:rPr>
          <w:i/>
          <w:iCs/>
        </w:rPr>
        <w:t xml:space="preserve">Why:</w:t>
      </w:r>
      <w:r>
        <w:t xml:space="preserve"> consolidation needs to know, for every commentary, which of its nodes hold which canonical slot. Answering that inside every topic run, as the pilot did, implied roughly 400 full-file reads of an unchanged 3.8 MB corpus; the fix is a routing index, built once and reused, recording addresses and never interpretation. Node numbering is never assumed uniform — one commentary nests a homage at 1.1.N, another at top level N, another runs all twenty-one homages inside one undivided node; that hard case is routed by </w:t>
      </w:r>
      <w:r>
        <w:rPr>
          <w:i/>
          <w:iCs/>
        </w:rPr>
        <w:t xml:space="preserve">claim-ID range</w:t>
      </w:r>
      <w:r>
        <w:t xml:space="preserve"> instead, using its own "Verse N quoted" claims as boundary markers. Every claim gets exactly one disposition: routed by subtree, routed by claim ID, flagged ambiguous, or logged as unmapped — neither zero (silent loss) nor two (silent duplication) is acceptable.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a commentary with a claims file but no spine map — it would otherwise be silently absent from every topic page.</w:t>
      </w:r>
    </w:p>
    <w:p>
      <w:pPr>
        <w:spacing w:after="120" w:line="252"/>
        <w:jc w:val="both"/>
      </w:pPr>
      <w:r>
        <w:rPr>
          <w:b/>
          <w:bCs/>
        </w:rPr>
        <w:t xml:space="preserve">Questions are generated, not authored.</w:t>
      </w:r>
      <w:r>
        <w:t xml:space="preserve"> Two free sources: the spine, mechanically — twenty-one homages × observed facets (name, colour, implements, stance, activity, mantra, benefit) — and the extractions themselves, since every raw claim implies a question that can be asked of every other commentary. Generated questions catch what free reading missed, and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Beside it, a divergence in which one side exists only as a commentator's report of unnamed "earlier commentaries," recorded as exactly that, never inflated into a live dispute. Consolidation also surfaces </w:t>
      </w:r>
      <w:r>
        <w:rPr>
          <w:b/>
          <w:bCs/>
        </w:rPr>
        <w:t xml:space="preserve">root-text-level variants</w:t>
      </w:r>
      <w:r>
        <w:t xml:space="preserve">: the same page records one commentary quoting དཔལ་མོ ("Glorious One") where the corpus reads དཔའ་མོ ("Heroine") — two readings licensing different etymologies for one syllable. It is a philological instrument, not just an aggregator. Afterwards a </w:t>
      </w:r>
      <w:r>
        <w:rPr>
          <w:b/>
          <w:bCs/>
        </w:rPr>
        <w:t xml:space="preserve">coverage check</w:t>
      </w:r>
      <w:r>
        <w:t xml:space="preserve"> diffs the packet manifest against every claim ID the page cites; every claim in the gap is folded in or logged with a one-line reason — no third state. In the pilot this caught real gaps in roughly 5–12% of a topic's mapped claims per page. Consolidation ran at two scales — the 24 slot topics of the root text's own structure, and the keyword subjects of §5.3 — under the same skill and gates. </w:t>
      </w:r>
      <w:r>
        <w:rPr>
          <w:b/>
          <w:bCs/>
        </w:rPr>
        <w:t xml:space="preserve">On disk: 67 consolidated topic pages (24 slot + 43 term), all status: draft.</w:t>
      </w:r>
    </w:p>
    <w:p>
      <w:pPr>
        <w:pStyle w:val="Heading2"/>
      </w:pPr>
      <w:r>
        <w:t xml:space="preserve">5.7 The consolidation audits</w:t>
      </w:r>
    </w:p>
    <w:p>
      <w:pPr>
        <w:spacing w:after="120" w:line="252"/>
        <w:jc w:val="both"/>
      </w:pPr>
      <w:r>
        <w:t xml:space="preserve">Three pilot topic pages were adversarially audited: a fresh model context that did not write the page re-checked </w:t>
      </w:r>
      <w:r>
        <w:rPr>
          <w:b/>
          <w:bCs/>
        </w:rPr>
        <w:t xml:space="preserve">all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minor findings formed a stable taxonomy: partial-support padding of consensus lists; one claim cited on both sides of a divergence; page-level harmonisation presented as a claim's own reading; epistemic upgrades; silently elided syllables; hand-tallied count labels (</w:t>
      </w:r>
      <w:r>
        <w:rPr>
          <w:b/>
          <w:bCs/>
        </w:rPr>
        <w:t xml:space="preserve">five of five wrong</w:t>
      </w:r>
      <w:r>
        <w:t xml:space="preserve"> on the worst page); consulted claims with no disposition recorded.</w:t>
      </w:r>
    </w:p>
    <w:p>
      <w:pPr>
        <w:spacing w:after="120" w:line="252"/>
        <w:jc w:val="both"/>
      </w:pPr>
      <w:r>
        <w:t xml:space="preserve">That taxonomy became machinery: each error class turned into one of eight executable consolidation rules (corroboration re-read, never remembered; epistemic strength copied, never upgraded; counts computed, never hand-tallied; and so on)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reproduced every mechanical finding of the human audit, plus one no-disposition claim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with the Tibetan consolidator forbidden to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w:t>
      </w:r>
    </w:p>
    <w:p>
      <w:pPr>
        <w:pStyle w:val="Heading2"/>
      </w:pPr>
      <w:r>
        <w:t xml:space="preserve">5.8 Article generation</w:t>
      </w:r>
    </w:p>
    <w:p>
      <w:pPr>
        <w:spacing w:after="120" w:line="252"/>
        <w:jc w:val="both"/>
      </w:pPr>
      <w:r>
        <w:t xml:space="preserve">Subjects arrive from §5.3 marked as machine-proposed in the registry. There is no human sign-off mid-chain; every judgment step leaves an audit trail — per-term verdicts with reasons, merge mappings — so the end review can reject selectively rather than rerun the pipeline.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one artifact per stage, every stage's model and prompt version pinned in a per-article record. Its extraction stage drew candidate passages from a verse-alignment layer that located, for each root stanza, the commentary span explaining it; that layer has since been retired — the node-by-node claims layer of §5.4 supersedes it, and nothing in the production path consumes alignment data. The pilot's evidence does not depend on the retired locator: every quotation is re-verified character-for-character by the gate regardless of how its passage was found. The extraction prompt is written in Tibetan, and its first rule is the contract: quote character-for-character (ཡི་གེ་གཅིག་ཀྱང་བསྒྱུར་བ་དང་། བསྡུ་བ་དང་། ཚིག་སྒྱུར་བྱེད་མི་ཆོག — "not one letter may be changed, condensed, or paraphrased"), with the warning that a machine will check every letter; the rest require passages that </w:t>
      </w:r>
      <w:r>
        <w:rPr>
          <w:i/>
          <w:iCs/>
        </w:rPr>
        <w:t xml:space="preserve">explain</w:t>
      </w:r>
      <w:r>
        <w:t xml:space="preserve"> the term, never flatten disagreement, and write "no explanation given" (འགྲེལ་བཤད་མེད།) rather than invent. The claims prompt compresses passages into the atomic table: one verifiable fact per claim, in Tibetan; no claim without a supporting passage; conflicting positions one claim each; and </w:t>
      </w:r>
      <w:r>
        <w:rPr>
          <w:b/>
          <w:bCs/>
        </w:rPr>
        <w:t xml:space="preserve">synthesis forbidden</w:t>
      </w:r>
      <w:r>
        <w:t xml:space="preserve"> — no claim may require two sources combined to reach a conclusion neither states alone.</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prompt constructor passes nothing else — and citations are </w:t>
      </w:r>
      <w:r>
        <w:rPr>
          <w:b/>
          <w:bCs/>
        </w:rPr>
        <w:t xml:space="preserve">claim indices</w:t>
      </w:r>
      <w:r>
        <w:t xml:space="preserve"> into that list. Code, not the model, expands each cited claim back to its passages and renders the references, which is what keeps the character-for-character gate meaningful under claims-only drafting. Voice follows claim type: consensus may sit in the neutral voice; everything below it takes mandatory in-text attribution. An optional polish pass is structurally fenced — rejected by code if any citations array, heading order or paragraph count changed. The audit stage reads the draft back sentence-by-sentence against the claims table under six finding categories,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and the raw claims files it cites (the verbatim Tibetan and block citations). </w:t>
      </w:r>
      <w:r>
        <w:rPr>
          <w:i/>
          <w:iCs/>
        </w:rPr>
        <w:t xml:space="preserve">Out:</w:t>
      </w:r>
      <w:r>
        <w:t xml:space="preserve"> the article as publishable wikitext the reviewer can read and edit in the vault, plus a citation trail — named reference → commentary → claim IDs → verbatim Tibetan → source blocks, the provenance of every footnote in one table. </w:t>
      </w:r>
      <w:r>
        <w:rPr>
          <w:i/>
          <w:iCs/>
        </w:rPr>
        <w:t xml:space="preserve">How:</w:t>
      </w:r>
      <w:r>
        <w:t xml:space="preserve"> before a sentence is drafted, every attestation on the page is resolved through a fixed chain to its raw claim; an attestation that does not resolve is dropped and logged, never guessed. Drafting uses the page,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w:t>
      </w:r>
      <w:r>
        <w:rPr>
          <w:b/>
          <w:bCs/>
        </w:rPr>
        <w:t xml:space="preserve">43 term articles and 23 slot articles drafted; every citation trail records openly which references still lack a public URL and which consolidated pages are still marked draft.</w:t>
      </w:r>
    </w:p>
    <w:p>
      <w:pPr>
        <w:spacing w:after="120" w:line="252"/>
        <w:jc w:val="both"/>
      </w:pPr>
      <w:r>
        <w:rPr>
          <w:b/>
          <w:bCs/>
        </w:rPr>
        <w:t xml:space="preserve">The import bridge</w:t>
      </w:r>
      <w:r>
        <w:t xml:space="preserve"> carries a Route B article into the code pipeline's own layout as a fully deterministic script: it moves and reshapes, never rewrites wikitext, never invents a citation; a row it cannot resolve to a registered source is reported, never guessed at. Imported articles enter the ledger as </w:t>
      </w:r>
      <w:r>
        <w:rPr>
          <w:i/>
          <w:iCs/>
        </w:rPr>
        <w:t xml:space="preserve">drafted</w:t>
      </w:r>
      <w:r>
        <w:t xml:space="preserve">, never </w:t>
      </w:r>
      <w:r>
        <w:rPr>
          <w:i/>
          <w:iCs/>
        </w:rPr>
        <w:t xml:space="preserve">verified</w:t>
      </w:r>
      <w:r>
        <w:t xml:space="preserve"> — "verified" means the gate passed and the audit cleared, and neither is this script's to assert. </w:t>
      </w:r>
      <w:r>
        <w:rPr>
          <w:b/>
          <w:bCs/>
        </w:rPr>
        <w:t xml:space="preserve">42 batch articles are imported and batch-verified (§5.9).</w:t>
      </w:r>
    </w:p>
    <w:p>
      <w:pPr>
        <w:spacing w:after="120" w:line="252"/>
        <w:jc w:val="both"/>
      </w:pPr>
      <w:r>
        <w:rPr>
          <w:b/>
          <w:bCs/>
        </w:rPr>
        <w:t xml:space="preserve">The style-revision loop — reader feedback becoming executable rules.</w:t>
      </w:r>
      <w:r>
        <w:t xml:space="preserve"> The first native-reviewer reading of the batch (the project's Tibetan linguist, joined by a Tibetan-language expert in the second round) returned six findings — three about register and review ergonomics (statements carry more citations than they need; the articles read as stitched-together claims rather than an encyclopedia; inline reference tags make raw wikitext unreadable) and three about orthography and respect (every paragraph must close with the double shad །།; the comma does not exist in Tibetan and must not appear; commentators must be named by a respectful, human-curated form of their name). Every finding became a rule in a </w:t>
      </w:r>
      <w:r>
        <w:rPr>
          <w:b/>
          <w:bCs/>
        </w:rPr>
        <w:t xml:space="preserve">new versioned drafting skill</w:t>
      </w:r>
      <w:r>
        <w:t xml:space="preserve">, never an in-place edit of the shipped one: plain encyclopedic voice for consensus with at most three supporting references, the full attestation list migrating to the citation trail so nothing is lost; at most two verbatim quotations per article, spent only where exact wording is the point; the punctuation contract; and a respectful-name field on every source commentary, which the model may only copy — never invent, translate, or upgrade an honorific. A small script now derives a read-only </w:t>
      </w:r>
      <w:r>
        <w:rPr>
          <w:i/>
          <w:iCs/>
        </w:rPr>
        <w:t xml:space="preserve">preview</w:t>
      </w:r>
      <w:r>
        <w:t xml:space="preserve"> of each article with citations as footnote superscripts. The loop is deliberately gated at pilot scale: three revised pilot articles await the linguist's approval before any corpus-wide redraft — never batch-redraft ahead of the human gate.</w:t>
      </w:r>
    </w:p>
    <w:p>
      <w:pPr>
        <w:pStyle w:val="Heading2"/>
      </w:pPr>
      <w:r>
        <w:t xml:space="preserve">5.9 The deterministic verification gate</w:t>
      </w:r>
    </w:p>
    <w:p>
      <w:pPr>
        <w:spacing w:after="120" w:line="252"/>
        <w:jc w:val="both"/>
      </w:pPr>
      <w:r>
        <w:t xml:space="preserve">Last in the chain, blocking, and LLM-free. </w:t>
      </w:r>
      <w:r>
        <w:rPr>
          <w:i/>
          <w:iCs/>
        </w:rPr>
        <w:t xml:space="preserve">In:</w:t>
      </w:r>
      <w:r>
        <w:t xml:space="preserve"> a drafted article, its citation records, and the source files read through the reading view below. </w:t>
      </w:r>
      <w:r>
        <w:rPr>
          <w:i/>
          <w:iCs/>
        </w:rPr>
        <w:t xml:space="preserve">Out:</w:t>
      </w:r>
      <w:r>
        <w:t xml:space="preserve"> a pass/fail report per quotation and per validator rule.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the letters agree but the punctuation does not, so the article is not quoting what the file says; </w:t>
      </w:r>
      <w:r>
        <w:rPr>
          <w:b/>
          <w:bCs/>
        </w:rPr>
        <w:t xml:space="preserve">missing</w:t>
      </w:r>
      <w:r>
        <w:t xml:space="preserve"> fails. Reporting a fuzzy hit as success would quietly reintroduce the class of error the gate exists to catch: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so a faithful quotation spanning a block boundary can never fail on a caret the pipeline itself wrote. Independently, every block locator is resolved: the quotation must also appear inside the specific block its citation names. A twelve-rule wikitext validator enforces the output contract, including two rules learned from live renders of the target wiki: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exactly the drift that makes a quotation no longer a quotation. A transcription error in the source is reproduced, never silently repaired (§4). There is no bypass flag, and an audit "publish" verdict does not skip the gate.</w:t>
      </w:r>
    </w:p>
    <w:p>
      <w:pPr>
        <w:spacing w:after="120" w:line="252"/>
        <w:jc w:val="both"/>
      </w:pPr>
      <w:r>
        <w:t xml:space="preserve">Run over the 42 imported batch articles, the gate reports: </w:t>
      </w:r>
      <w:r>
        <w:rPr>
          <w:b/>
          <w:bCs/>
        </w:rPr>
        <w:t xml:space="preserve">861 of 882 quotations (97.6%) appear character-for-character in the commentary they cite</w:t>
      </w:r>
      <w:r>
        <w:t xml:space="preserve">; one article of 42 carries no validator error. The error mass is instructive rather than alarming: 269 of the 293 validator findings are one reference-format mismatch between the two drafting routes — a mechanical bridge reconciliation, not fabricated citations. The genuine residue is 21 quotation misses (two of them import artifacts — English note-text that leaked into a quote field), three unsourced sections, one category error and one script error, each named per article in the batch report and owned by a fix pass, with the gate re-run as the fix's evidence.</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Obsidian vault, and that is where the human work happens. The format is load-bearing for review,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Every source block carries a block ID, so a note can transclude the block it cites (</w:t>
      </w:r>
      <w:r>
        <w:rPr>
          <w:rFonts w:ascii="Courier New" w:cs="Courier New" w:eastAsia="Courier New" w:hAnsi="Courier New"/>
          <w:sz w:val="20"/>
          <w:szCs w:val="20"/>
        </w:rPr>
        <w:t xml:space="preserve">![[…#^1-1]]</w:t>
      </w:r>
      <w:r>
        <w:rPr>
          <w:sz w:val="20"/>
          <w:szCs w:val="20"/>
        </w:rPr>
        <w:t xml:space="preserve">) and the cited Tibetan appears inline inside the note citing it. A reviewer checks a quotation by reading down the page — not by trusting the pipeline's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Nothing below </w:t>
      </w:r>
      <w:r>
        <w:rPr>
          <w:rFonts w:ascii="Courier New" w:cs="Courier New" w:eastAsia="Courier New" w:hAnsi="Courier New"/>
          <w:sz w:val="20"/>
          <w:szCs w:val="20"/>
        </w:rPr>
        <w:t xml:space="preserve">complete</w:t>
      </w:r>
      <w:r>
        <w:rPr>
          <w:sz w:val="20"/>
          <w:szCs w:val="20"/>
        </w:rPr>
        <w:t xml:space="preserve"> may feed a transformation.</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w:t>
      </w:r>
    </w:p>
    <w:p>
      <w:pPr>
        <w:pStyle w:val="ListParagraph"/>
        <w:numPr>
          <w:ilvl w:val="0"/>
          <w:numId w:val="2"/>
        </w:numPr>
        <w:spacing w:after="40" w:line="240"/>
      </w:pPr>
      <w:r>
        <w:rPr>
          <w:b/>
          <w:bCs/>
          <w:sz w:val="20"/>
          <w:szCs w:val="20"/>
        </w:rPr>
        <w:t xml:space="preserve">The review history is a git history.</w:t>
      </w:r>
      <w:r>
        <w:rPr>
          <w:sz w:val="20"/>
          <w:szCs w:val="20"/>
        </w:rPr>
        <w:t xml:space="preserve"> Every reviewer edit is a commit.</w:t>
      </w:r>
    </w:p>
    <w:p>
      <w:pPr>
        <w:spacing w:after="120" w:line="252"/>
        <w:jc w:val="both"/>
      </w:pPr>
      <w:r>
        <w:t xml:space="preserve">Honest current state: the review queue (pending → approved → published) is defined but empty; the pilot's three articles sit at </w:t>
      </w:r>
      <w:r>
        <w:rPr>
          <w:i/>
          <w:iCs/>
        </w:rPr>
        <w:t xml:space="preserve">verified</w:t>
      </w:r>
      <w:r>
        <w:t xml:space="preserve">, one step short of </w:t>
      </w:r>
      <w:r>
        <w:rPr>
          <w:i/>
          <w:iCs/>
        </w:rPr>
        <w:t xml:space="preserve">approved</w:t>
      </w:r>
      <w:r>
        <w:t xml:space="preserve">; the 42 imported batch articles sit at </w:t>
      </w:r>
      <w:r>
        <w:rPr>
          <w:i/>
          <w:iCs/>
        </w:rPr>
        <w:t xml:space="preserve">drafted</w:t>
      </w:r>
      <w:r>
        <w:t xml:space="preserve">, awaiting the per-article audit stage; and native-speaker review has begun — its first product being the style rules of §5.8, not yet an approval.</w:t>
      </w:r>
    </w:p>
    <w:p>
      <w:pPr>
        <w:spacing w:after="120" w:line="252"/>
        <w:jc w:val="both"/>
      </w:pPr>
      <w:r>
        <w:rPr>
          <w:b/>
          <w:bCs/>
        </w:rPr>
        <w:t xml:space="preserve">Publication.</w:t>
      </w:r>
      <w:r>
        <w:t xml:space="preserve"> Nothing writes to the live wiki without an explicit --execute; dry-run is the default on every publish path. Publication refuses any article whose ledger state is not </w:t>
      </w:r>
      <w:r>
        <w:rPr>
          <w:i/>
          <w:iCs/>
        </w:rPr>
        <w:t xml:space="preserve">verified</w:t>
      </w:r>
      <w:r>
        <w:t xml:space="preserve">, runs a pre-publication checklist,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permission —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so the queue holds until the registry carries checkable links.</w:t>
      </w:r>
    </w:p>
    <w:p>
      <w:pPr>
        <w:pStyle w:val="Heading2"/>
      </w:pPr>
      <w:r>
        <w:t xml:space="preserve">5.11 Execution model and provenance</w:t>
      </w:r>
    </w:p>
    <w:p>
      <w:pPr>
        <w:spacing w:after="120" w:line="252"/>
        <w:jc w:val="both"/>
      </w:pPr>
      <w:r>
        <w:t xml:space="preserve">One skill per step; immutable per-stage artifacts;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 shipped prompt version is never rewritten in place. The models behind the reported runs are stated plainly (Table 5);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registry; the pilot's three terms are explained by 5, 16 and 10 distinct commentaries. But breadth is a salience signal </w:t>
      </w:r>
      <w:r>
        <w:rPr>
          <w:i/>
          <w:iCs/>
        </w:rPr>
        <w:t xml:space="preserve">within the corpus</w:t>
      </w:r>
      <w:r>
        <w:t xml:space="preserve">, not notability in Wikipedia's sense,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a school with exactly one representative has its positions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a praise-commentary corpus generates </w:t>
      </w:r>
      <w:r>
        <w:rPr>
          <w:b/>
          <w:bCs/>
        </w:rPr>
        <w:t xml:space="preserve">no reception-contested claims at all</w:t>
      </w:r>
      <w:r>
        <w:t xml:space="preserve"> — zero of 47 in the pilot's claims tables, no refutation signal anywhere in the 2,975-claim corpus. The genre explains and extols; it does not refute. The machinery is demonstrated structurally here, and the </w:t>
      </w:r>
      <w:r>
        <w:rPr>
          <w:i/>
          <w:iCs/>
        </w:rPr>
        <w:t xml:space="preserve">Bodhicaryāvatāra</w:t>
      </w:r>
      <w:r>
        <w:t xml:space="preserve"> corpus already prepared behind this pipeline (ten commentaries, including the textbook refutation exchanges) is where it will be demonstrated at full strength. The larger point stands: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The limit is stated as plainly as the strength: a claims table is still a paraphrase of its sources, so close paraphrase remains possible in principle; the audit reads for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and a block-level source citation — plus sixteen spine maps and 67 consolidated topic pages (Table 3), all as vault markdown.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3.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000"/>
        <w:gridCol w:w="800"/>
        <w:gridCol w:w="3867"/>
        <w:gridCol w:w="2933"/>
      </w:tblGrid>
      <w:tr>
        <w:trPr>
          <w:tblHeader/>
        </w:trPr>
        <w:tc>
          <w:tcPr>
            <w:tcW w:type="dxa" w:w="2000"/>
            <w:shd w:fill="E8E8E8" w:color="auto" w:val="clear"/>
          </w:tcPr>
          <w:p>
            <w:pPr>
              <w:spacing w:after="0" w:line="220"/>
            </w:pPr>
            <w:r>
              <w:rPr>
                <w:b/>
                <w:bCs/>
                <w:sz w:val="18"/>
                <w:szCs w:val="18"/>
              </w:rPr>
              <w:t xml:space="preserve">Commentary</w:t>
            </w:r>
          </w:p>
        </w:tc>
        <w:tc>
          <w:tcPr>
            <w:tcW w:type="dxa" w:w="800"/>
            <w:shd w:fill="E8E8E8" w:color="auto" w:val="clear"/>
          </w:tcPr>
          <w:p>
            <w:pPr>
              <w:spacing w:after="0" w:line="220"/>
            </w:pPr>
            <w:r>
              <w:rPr>
                <w:b/>
                <w:bCs/>
                <w:sz w:val="18"/>
                <w:szCs w:val="18"/>
              </w:rPr>
              <w:t xml:space="preserve">Claims</w:t>
            </w:r>
          </w:p>
        </w:tc>
        <w:tc>
          <w:tcPr>
            <w:tcW w:type="dxa" w:w="3867"/>
            <w:shd w:fill="E8E8E8" w:color="auto" w:val="clear"/>
          </w:tcPr>
          <w:p>
            <w:pPr>
              <w:spacing w:after="0" w:line="220"/>
            </w:pPr>
            <w:r>
              <w:rPr>
                <w:b/>
                <w:bCs/>
                <w:sz w:val="18"/>
                <w:szCs w:val="18"/>
              </w:rPr>
              <w:t xml:space="preserve">Commentary</w:t>
            </w:r>
          </w:p>
        </w:tc>
        <w:tc>
          <w:tcPr>
            <w:tcW w:type="dxa" w:w="2933"/>
            <w:shd w:fill="E8E8E8" w:color="auto" w:val="clear"/>
          </w:tcPr>
          <w:p>
            <w:pPr>
              <w:spacing w:after="0" w:line="220"/>
            </w:pPr>
            <w:r>
              <w:rPr>
                <w:b/>
                <w:bCs/>
                <w:sz w:val="18"/>
                <w:szCs w:val="18"/>
              </w:rPr>
              <w:t xml:space="preserve">Claims</w:t>
            </w:r>
          </w:p>
        </w:tc>
      </w:tr>
      <w:tr>
        <w:trPr>
          <w:tblHeader w:val="false"/>
        </w:trPr>
        <w:tc>
          <w:tcPr>
            <w:tcW w:type="dxa" w:w="2000"/>
          </w:tcPr>
          <w:p>
            <w:pPr>
              <w:spacing w:after="0" w:line="220"/>
            </w:pPr>
            <w:r>
              <w:rPr>
                <w:sz w:val="18"/>
                <w:szCs w:val="18"/>
              </w:rPr>
              <w:t xml:space="preserve">taranatha</w:t>
            </w:r>
          </w:p>
        </w:tc>
        <w:tc>
          <w:tcPr>
            <w:tcW w:type="dxa" w:w="800"/>
          </w:tcPr>
          <w:p>
            <w:pPr>
              <w:spacing w:after="0" w:line="220"/>
            </w:pPr>
            <w:r>
              <w:rPr>
                <w:sz w:val="18"/>
                <w:szCs w:val="18"/>
              </w:rPr>
              <w:t xml:space="preserve">368</w:t>
            </w:r>
          </w:p>
        </w:tc>
        <w:tc>
          <w:tcPr>
            <w:tcW w:type="dxa" w:w="3867"/>
          </w:tcPr>
          <w:p>
            <w:pPr>
              <w:spacing w:after="0" w:line="220"/>
            </w:pPr>
            <w:r>
              <w:rPr>
                <w:sz w:val="18"/>
                <w:szCs w:val="18"/>
              </w:rPr>
              <w:t xml:space="preserve">gendun-drub</w:t>
            </w:r>
          </w:p>
        </w:tc>
        <w:tc>
          <w:tcPr>
            <w:tcW w:type="dxa" w:w="2933"/>
          </w:tcPr>
          <w:p>
            <w:pPr>
              <w:spacing w:after="0" w:line="220"/>
            </w:pPr>
            <w:r>
              <w:rPr>
                <w:sz w:val="18"/>
                <w:szCs w:val="18"/>
              </w:rPr>
              <w:t xml:space="preserve">131</w:t>
            </w:r>
          </w:p>
        </w:tc>
      </w:tr>
      <w:tr>
        <w:trPr>
          <w:tblHeader w:val="false"/>
        </w:trPr>
        <w:tc>
          <w:tcPr>
            <w:tcW w:type="dxa" w:w="2000"/>
          </w:tcPr>
          <w:p>
            <w:pPr>
              <w:spacing w:after="0" w:line="220"/>
            </w:pPr>
            <w:r>
              <w:rPr>
                <w:sz w:val="18"/>
                <w:szCs w:val="18"/>
              </w:rPr>
              <w:t xml:space="preserve">tsultrim-namdak</w:t>
            </w:r>
          </w:p>
        </w:tc>
        <w:tc>
          <w:tcPr>
            <w:tcW w:type="dxa" w:w="800"/>
          </w:tcPr>
          <w:p>
            <w:pPr>
              <w:spacing w:after="0" w:line="220"/>
            </w:pPr>
            <w:r>
              <w:rPr>
                <w:sz w:val="18"/>
                <w:szCs w:val="18"/>
              </w:rPr>
              <w:t xml:space="preserve">329</w:t>
            </w:r>
          </w:p>
        </w:tc>
        <w:tc>
          <w:tcPr>
            <w:tcW w:type="dxa" w:w="3867"/>
          </w:tcPr>
          <w:p>
            <w:pPr>
              <w:spacing w:after="0" w:line="220"/>
            </w:pPr>
            <w:r>
              <w:rPr>
                <w:sz w:val="18"/>
                <w:szCs w:val="18"/>
              </w:rPr>
              <w:t xml:space="preserve">konchok-thabkhe</w:t>
            </w:r>
          </w:p>
        </w:tc>
        <w:tc>
          <w:tcPr>
            <w:tcW w:type="dxa" w:w="2933"/>
          </w:tcPr>
          <w:p>
            <w:pPr>
              <w:spacing w:after="0" w:line="220"/>
            </w:pPr>
            <w:r>
              <w:rPr>
                <w:sz w:val="18"/>
                <w:szCs w:val="18"/>
              </w:rPr>
              <w:t xml:space="preserve">132</w:t>
            </w:r>
          </w:p>
        </w:tc>
      </w:tr>
      <w:tr>
        <w:trPr>
          <w:tblHeader w:val="false"/>
        </w:trPr>
        <w:tc>
          <w:tcPr>
            <w:tcW w:type="dxa" w:w="2000"/>
          </w:tcPr>
          <w:p>
            <w:pPr>
              <w:spacing w:after="0" w:line="220"/>
            </w:pPr>
            <w:r>
              <w:rPr>
                <w:sz w:val="18"/>
                <w:szCs w:val="18"/>
              </w:rPr>
              <w:t xml:space="preserve">tenzin-dhonzang</w:t>
            </w:r>
          </w:p>
        </w:tc>
        <w:tc>
          <w:tcPr>
            <w:tcW w:type="dxa" w:w="800"/>
          </w:tcPr>
          <w:p>
            <w:pPr>
              <w:spacing w:after="0" w:line="220"/>
            </w:pPr>
            <w:r>
              <w:rPr>
                <w:sz w:val="18"/>
                <w:szCs w:val="18"/>
              </w:rPr>
              <w:t xml:space="preserve">327</w:t>
            </w:r>
          </w:p>
        </w:tc>
        <w:tc>
          <w:tcPr>
            <w:tcW w:type="dxa" w:w="3867"/>
          </w:tcPr>
          <w:p>
            <w:pPr>
              <w:spacing w:after="0" w:line="220"/>
            </w:pPr>
            <w:r>
              <w:rPr>
                <w:sz w:val="18"/>
                <w:szCs w:val="18"/>
              </w:rPr>
              <w:t xml:space="preserve">sangye-nyentrul</w:t>
            </w:r>
          </w:p>
        </w:tc>
        <w:tc>
          <w:tcPr>
            <w:tcW w:type="dxa" w:w="2933"/>
          </w:tcPr>
          <w:p>
            <w:pPr>
              <w:spacing w:after="0" w:line="220"/>
            </w:pPr>
            <w:r>
              <w:rPr>
                <w:sz w:val="18"/>
                <w:szCs w:val="18"/>
              </w:rPr>
              <w:t xml:space="preserve">125</w:t>
            </w:r>
          </w:p>
        </w:tc>
      </w:tr>
      <w:tr>
        <w:trPr>
          <w:tblHeader w:val="false"/>
        </w:trPr>
        <w:tc>
          <w:tcPr>
            <w:tcW w:type="dxa" w:w="2000"/>
          </w:tcPr>
          <w:p>
            <w:pPr>
              <w:spacing w:after="0" w:line="220"/>
            </w:pPr>
            <w:r>
              <w:rPr>
                <w:sz w:val="18"/>
                <w:szCs w:val="18"/>
              </w:rPr>
              <w:t xml:space="preserve">palden-sherab</w:t>
            </w:r>
          </w:p>
        </w:tc>
        <w:tc>
          <w:tcPr>
            <w:tcW w:type="dxa" w:w="800"/>
          </w:tcPr>
          <w:p>
            <w:pPr>
              <w:spacing w:after="0" w:line="220"/>
            </w:pPr>
            <w:r>
              <w:rPr>
                <w:sz w:val="18"/>
                <w:szCs w:val="18"/>
              </w:rPr>
              <w:t xml:space="preserve">282</w:t>
            </w:r>
          </w:p>
        </w:tc>
        <w:tc>
          <w:tcPr>
            <w:tcW w:type="dxa" w:w="3867"/>
          </w:tcPr>
          <w:p>
            <w:pPr>
              <w:spacing w:after="0" w:line="220"/>
            </w:pPr>
            <w:r>
              <w:rPr>
                <w:sz w:val="18"/>
                <w:szCs w:val="18"/>
              </w:rPr>
              <w:t xml:space="preserve">pema-namgyal</w:t>
            </w:r>
          </w:p>
        </w:tc>
        <w:tc>
          <w:tcPr>
            <w:tcW w:type="dxa" w:w="2933"/>
          </w:tcPr>
          <w:p>
            <w:pPr>
              <w:spacing w:after="0" w:line="220"/>
            </w:pPr>
            <w:r>
              <w:rPr>
                <w:sz w:val="18"/>
                <w:szCs w:val="18"/>
              </w:rPr>
              <w:t xml:space="preserve">104</w:t>
            </w:r>
          </w:p>
        </w:tc>
      </w:tr>
      <w:tr>
        <w:trPr>
          <w:tblHeader w:val="false"/>
        </w:trPr>
        <w:tc>
          <w:tcPr>
            <w:tcW w:type="dxa" w:w="2000"/>
          </w:tcPr>
          <w:p>
            <w:pPr>
              <w:spacing w:after="0" w:line="220"/>
            </w:pPr>
            <w:r>
              <w:rPr>
                <w:sz w:val="18"/>
                <w:szCs w:val="18"/>
              </w:rPr>
              <w:t xml:space="preserve">yama-sonam</w:t>
            </w:r>
          </w:p>
        </w:tc>
        <w:tc>
          <w:tcPr>
            <w:tcW w:type="dxa" w:w="800"/>
          </w:tcPr>
          <w:p>
            <w:pPr>
              <w:spacing w:after="0" w:line="220"/>
            </w:pPr>
            <w:r>
              <w:rPr>
                <w:sz w:val="18"/>
                <w:szCs w:val="18"/>
              </w:rPr>
              <w:t xml:space="preserve">258</w:t>
            </w:r>
          </w:p>
        </w:tc>
        <w:tc>
          <w:tcPr>
            <w:tcW w:type="dxa" w:w="3867"/>
          </w:tcPr>
          <w:p>
            <w:pPr>
              <w:spacing w:after="0" w:line="220"/>
            </w:pPr>
            <w:r>
              <w:rPr>
                <w:sz w:val="18"/>
                <w:szCs w:val="18"/>
              </w:rPr>
              <w:t xml:space="preserve">lobsang-dawa</w:t>
            </w:r>
          </w:p>
        </w:tc>
        <w:tc>
          <w:tcPr>
            <w:tcW w:type="dxa" w:w="2933"/>
          </w:tcPr>
          <w:p>
            <w:pPr>
              <w:spacing w:after="0" w:line="220"/>
            </w:pPr>
            <w:r>
              <w:rPr>
                <w:sz w:val="18"/>
                <w:szCs w:val="18"/>
              </w:rPr>
              <w:t xml:space="preserve">87</w:t>
            </w:r>
          </w:p>
        </w:tc>
      </w:tr>
      <w:tr>
        <w:trPr>
          <w:tblHeader w:val="false"/>
        </w:trPr>
        <w:tc>
          <w:tcPr>
            <w:tcW w:type="dxa" w:w="2000"/>
          </w:tcPr>
          <w:p>
            <w:pPr>
              <w:spacing w:after="0" w:line="220"/>
            </w:pPr>
            <w:r>
              <w:rPr>
                <w:sz w:val="18"/>
                <w:szCs w:val="18"/>
              </w:rPr>
              <w:t xml:space="preserve">karma-maitri</w:t>
            </w:r>
          </w:p>
        </w:tc>
        <w:tc>
          <w:tcPr>
            <w:tcW w:type="dxa" w:w="800"/>
          </w:tcPr>
          <w:p>
            <w:pPr>
              <w:spacing w:after="0" w:line="220"/>
            </w:pPr>
            <w:r>
              <w:rPr>
                <w:sz w:val="18"/>
                <w:szCs w:val="18"/>
              </w:rPr>
              <w:t xml:space="preserve">163</w:t>
            </w:r>
          </w:p>
        </w:tc>
        <w:tc>
          <w:tcPr>
            <w:tcW w:type="dxa" w:w="3867"/>
          </w:tcPr>
          <w:p>
            <w:pPr>
              <w:spacing w:after="0" w:line="220"/>
            </w:pPr>
            <w:r>
              <w:rPr>
                <w:sz w:val="18"/>
                <w:szCs w:val="18"/>
              </w:rPr>
              <w:t xml:space="preserve">gendun-gyatso</w:t>
            </w:r>
          </w:p>
        </w:tc>
        <w:tc>
          <w:tcPr>
            <w:tcW w:type="dxa" w:w="2933"/>
          </w:tcPr>
          <w:p>
            <w:pPr>
              <w:spacing w:after="0" w:line="220"/>
            </w:pPr>
            <w:r>
              <w:rPr>
                <w:sz w:val="18"/>
                <w:szCs w:val="18"/>
              </w:rPr>
              <w:t xml:space="preserve">62</w:t>
            </w:r>
          </w:p>
        </w:tc>
      </w:tr>
      <w:tr>
        <w:trPr>
          <w:tblHeader w:val="false"/>
        </w:trPr>
        <w:tc>
          <w:tcPr>
            <w:tcW w:type="dxa" w:w="2000"/>
          </w:tcPr>
          <w:p>
            <w:pPr>
              <w:spacing w:after="0" w:line="220"/>
            </w:pPr>
            <w:r>
              <w:rPr>
                <w:sz w:val="18"/>
                <w:szCs w:val="18"/>
              </w:rPr>
              <w:t xml:space="preserve">sungrab-tulku</w:t>
            </w:r>
          </w:p>
        </w:tc>
        <w:tc>
          <w:tcPr>
            <w:tcW w:type="dxa" w:w="800"/>
          </w:tcPr>
          <w:p>
            <w:pPr>
              <w:spacing w:after="0" w:line="220"/>
            </w:pPr>
            <w:r>
              <w:rPr>
                <w:sz w:val="18"/>
                <w:szCs w:val="18"/>
              </w:rPr>
              <w:t xml:space="preserve">160</w:t>
            </w:r>
          </w:p>
        </w:tc>
        <w:tc>
          <w:tcPr>
            <w:tcW w:type="dxa" w:w="3867"/>
          </w:tcPr>
          <w:p>
            <w:pPr>
              <w:spacing w:after="0" w:line="220"/>
            </w:pPr>
            <w:r>
              <w:rPr>
                <w:sz w:val="18"/>
                <w:szCs w:val="18"/>
              </w:rPr>
              <w:t xml:space="preserve">Total claims</w:t>
            </w:r>
          </w:p>
        </w:tc>
        <w:tc>
          <w:tcPr>
            <w:tcW w:type="dxa" w:w="2933"/>
          </w:tcPr>
          <w:p>
            <w:pPr>
              <w:spacing w:after="0" w:line="220"/>
            </w:pPr>
            <w:r>
              <w:rPr>
                <w:sz w:val="18"/>
                <w:szCs w:val="18"/>
              </w:rPr>
              <w:t xml:space="preserve">2,975</w:t>
            </w:r>
          </w:p>
        </w:tc>
      </w:tr>
      <w:tr>
        <w:trPr>
          <w:tblHeader w:val="false"/>
        </w:trPr>
        <w:tc>
          <w:tcPr>
            <w:tcW w:type="dxa" w:w="2000"/>
          </w:tcPr>
          <w:p>
            <w:pPr>
              <w:spacing w:after="0" w:line="220"/>
            </w:pPr>
            <w:r>
              <w:rPr>
                <w:sz w:val="18"/>
                <w:szCs w:val="18"/>
              </w:rPr>
              <w:t xml:space="preserve">tenga-tulku</w:t>
            </w:r>
          </w:p>
        </w:tc>
        <w:tc>
          <w:tcPr>
            <w:tcW w:type="dxa" w:w="800"/>
          </w:tcPr>
          <w:p>
            <w:pPr>
              <w:spacing w:after="0" w:line="220"/>
            </w:pPr>
            <w:r>
              <w:rPr>
                <w:sz w:val="18"/>
                <w:szCs w:val="18"/>
              </w:rPr>
              <w:t xml:space="preserve">157</w:t>
            </w:r>
          </w:p>
        </w:tc>
        <w:tc>
          <w:tcPr>
            <w:tcW w:type="dxa" w:w="3867"/>
          </w:tcPr>
          <w:p>
            <w:pPr>
              <w:spacing w:after="0" w:line="220"/>
            </w:pPr>
            <w:r>
              <w:rPr>
                <w:sz w:val="18"/>
                <w:szCs w:val="18"/>
              </w:rPr>
              <w:t xml:space="preserve">Spine maps</w:t>
            </w:r>
          </w:p>
        </w:tc>
        <w:tc>
          <w:tcPr>
            <w:tcW w:type="dxa" w:w="2933"/>
          </w:tcPr>
          <w:p>
            <w:pPr>
              <w:spacing w:after="0" w:line="220"/>
            </w:pPr>
            <w:r>
              <w:rPr>
                <w:sz w:val="18"/>
                <w:szCs w:val="18"/>
              </w:rPr>
              <w:t xml:space="preserve">16</w:t>
            </w:r>
          </w:p>
        </w:tc>
      </w:tr>
      <w:tr>
        <w:trPr>
          <w:tblHeader w:val="false"/>
        </w:trPr>
        <w:tc>
          <w:tcPr>
            <w:tcW w:type="dxa" w:w="2000"/>
          </w:tcPr>
          <w:p>
            <w:pPr>
              <w:spacing w:after="0" w:line="220"/>
            </w:pPr>
            <w:r>
              <w:rPr>
                <w:sz w:val="18"/>
                <w:szCs w:val="18"/>
              </w:rPr>
              <w:t xml:space="preserve">dharmabhadra</w:t>
            </w:r>
          </w:p>
        </w:tc>
        <w:tc>
          <w:tcPr>
            <w:tcW w:type="dxa" w:w="800"/>
          </w:tcPr>
          <w:p>
            <w:pPr>
              <w:spacing w:after="0" w:line="220"/>
            </w:pPr>
            <w:r>
              <w:rPr>
                <w:sz w:val="18"/>
                <w:szCs w:val="18"/>
              </w:rPr>
              <w:t xml:space="preserve">148</w:t>
            </w:r>
          </w:p>
        </w:tc>
        <w:tc>
          <w:tcPr>
            <w:tcW w:type="dxa" w:w="3867"/>
          </w:tcPr>
          <w:p>
            <w:pPr>
              <w:spacing w:after="0" w:line="220"/>
            </w:pPr>
            <w:r>
              <w:rPr>
                <w:sz w:val="18"/>
                <w:szCs w:val="18"/>
              </w:rPr>
              <w:t xml:space="preserve">Consolidated topic pages</w:t>
            </w:r>
          </w:p>
        </w:tc>
        <w:tc>
          <w:tcPr>
            <w:tcW w:type="dxa" w:w="2933"/>
          </w:tcPr>
          <w:p>
            <w:pPr>
              <w:spacing w:after="0" w:line="220"/>
            </w:pPr>
            <w:r>
              <w:rPr>
                <w:sz w:val="18"/>
                <w:szCs w:val="18"/>
              </w:rPr>
              <w:t xml:space="preserve">24 slot + 43 term = 67</w:t>
            </w:r>
          </w:p>
        </w:tc>
      </w:tr>
      <w:tr>
        <w:trPr>
          <w:tblHeader w:val="false"/>
        </w:trPr>
        <w:tc>
          <w:tcPr>
            <w:tcW w:type="dxa" w:w="2000"/>
          </w:tcPr>
          <w:p>
            <w:pPr>
              <w:spacing w:after="0" w:line="220"/>
            </w:pPr>
            <w:r>
              <w:rPr>
                <w:sz w:val="18"/>
                <w:szCs w:val="18"/>
              </w:rPr>
              <w:t xml:space="preserve">drakpa-gyaltsen</w:t>
            </w:r>
          </w:p>
        </w:tc>
        <w:tc>
          <w:tcPr>
            <w:tcW w:type="dxa" w:w="800"/>
          </w:tcPr>
          <w:p>
            <w:pPr>
              <w:spacing w:after="0" w:line="220"/>
            </w:pPr>
            <w:r>
              <w:rPr>
                <w:sz w:val="18"/>
                <w:szCs w:val="18"/>
              </w:rPr>
              <w:t xml:space="preserve">142</w:t>
            </w:r>
          </w:p>
        </w:tc>
        <w:tc>
          <w:tcPr>
            <w:tcW w:type="dxa" w:w="3867"/>
          </w:tcPr>
          <w:p>
            <w:pPr>
              <w:spacing w:after="0" w:line="220"/>
            </w:pPr>
            <w:r>
              <w:rPr>
                <w:sz w:val="18"/>
                <w:szCs w:val="18"/>
              </w:rPr>
              <w:t xml:space="preserve">Drafted articles (two routes)</w:t>
            </w:r>
          </w:p>
        </w:tc>
        <w:tc>
          <w:tcPr>
            <w:tcW w:type="dxa" w:w="2933"/>
          </w:tcPr>
          <w:p>
            <w:pPr>
              <w:spacing w:after="0" w:line="220"/>
            </w:pPr>
            <w:r>
              <w:rPr>
                <w:sz w:val="18"/>
                <w:szCs w:val="18"/>
              </w:rPr>
              <w:t xml:space="preserve">3 + 66</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 and the result reproduces exactly on a corpus rebuilt from the raw upload on a second machine. Across the batch's 42 imported articles the same gate reports </w:t>
      </w:r>
      <w:r>
        <w:rPr>
          <w:b/>
          <w:bCs/>
        </w:rPr>
        <w:t xml:space="preserve">861 of 882 quotations (97.6%) character-for-character exact</w:t>
      </w:r>
      <w:r>
        <w:t xml:space="preserve"> — a pre-fix-pass distribution, each miss enumerated per article (two are import artifacts rather than model errors), where the pilot's 100% is the post-fix state the batch is being walked toward. This measures a different thing than the statement-support rates reported for English-language systems: WikiCrow's 86.1% citation precision is a rater's judgment that a source supports a statement; ours is character-level identity of the quoted evidence — proof the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4).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4.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 honest report. The auditor shows round-to-round variance — re-auditing the fixed articles three times each gave pass rates of 0.67, 0.67 and 1.0 — so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All 418 unique citations across three consolidated topic pages were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4,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The pilot's passage-location layer offered 18k, 41k and 165k characters of commentary for the three terms; extraction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 batch the question smaller rather than shout louder in the prompt — and the node-by-node claims extraction of §5.4 applies exactly that lesson. Everything downstream is tight: 100% of extracted quotes character-exact at extract time, 100% of passages used, zero claims dropped, 100% of claims placed and cited.</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81 rendered citations, citing all 16 commentaries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below the 1,500 target, a known extraction-volume limitation.</w:t>
      </w:r>
    </w:p>
    <w:p>
      <w:pPr>
        <w:spacing w:after="120" w:line="252"/>
        <w:jc w:val="both"/>
      </w:pPr>
      <w:r>
        <w:rPr>
          <w:b/>
          <w:bCs/>
        </w:rPr>
        <w:t xml:space="preserve">Pipeline statistics (batch, on disk).</w:t>
      </w:r>
      <w:r>
        <w:t xml:space="preserve"> The subject funnel of §5.3 ran end to end: 367 Tibetan terms → 114 past the viability gate → 44 standalone subjects (25 update / 19 create against the live wiki). From the 67 consolidated pages, </w:t>
      </w:r>
      <w:r>
        <w:rPr>
          <w:b/>
          <w:bCs/>
        </w:rPr>
        <w:t xml:space="preserve">43 term articles and 23 slot articles were drafted; one subject was refused for lack of citable claims</w:t>
      </w:r>
      <w:r>
        <w:t xml:space="preserve"> — the refusal itself evidence that the claims-only rule binds. 42 articles are imported and batch-verified (the fidelity distribution above; validator detail in §5.9). The per-article audit stage and the second consolidation gate have run over only part of the batch — and where the consolidation audit ran, it found four critical meaning-level defects on pages whose quotations were all character-perfect (§5.7), the batch's own confirmation of RQ2. Batch audit pass rates, reviewer-minutes, and rubric ratings remain </w:t>
      </w:r>
      <w:r>
        <w:rPr>
          <w:b/>
          <w:bCs/>
        </w:rPr>
        <w:t xml:space="preserve">[TO FILL]</w:t>
      </w:r>
      <w:r>
        <w:t xml:space="preserve">.</w:t>
      </w:r>
    </w:p>
    <w:p>
      <w:pPr>
        <w:spacing w:after="120" w:line="252"/>
        <w:jc w:val="both"/>
      </w:pPr>
      <w:r>
        <w:rPr>
          <w:i/>
          <w:iCs/>
        </w:rPr>
        <w:t xml:space="preserve">Table 5.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the pipeline itself is skilled up-front engineering that amortizes across every article and corpus.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Batch audit pass rates (the per-article audit over the 42 imported articles, and the second consolidation gate over the remaining pages); native-speaker rating by three named raters on a seven-dimension rubric, with an AIS-style statement-support audit on a stratified sample; reviewer-minutes against a from-scratch writing-time control by the same editors — the RQ3 number; a </w:t>
      </w:r>
      <w:r>
        <w:rPr>
          <w:b/>
          <w:bCs/>
        </w:rPr>
        <w:t xml:space="preserve">zero-shot baseline ablation</w:t>
      </w:r>
      <w:r>
        <w:t xml:space="preserve"> drafting the same three terms with no pipeline and auditing identically; a </w:t>
      </w:r>
      <w:r>
        <w:rPr>
          <w:b/>
          <w:bCs/>
        </w:rPr>
        <w:t xml:space="preserve">guardrail before/after</w:t>
      </w:r>
      <w:r>
        <w:t xml:space="preserve"> re-running both consolidation gates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The model asymmetry in Tibetan is real and measured (§8's extraction-capture cliff), and both drafting and auditing ride on models trained mostly on other languages — the cyclical argument of §1, felt from inside the pipeline. The artifacts record their own defects, and we repeat the standing ones rather than hide them: the corpus exists in two annotated copies; the batch's articles were drafted from consolidated pages still marked draft, the responsible human accepting that risk explicitly, per-article warnings recording it; no citation yet carries a public URL, so no quotation is reader-checkable online — the single largest pre-publication debt; the second consolidation gate has run over only part of the batch, and where it ran it found critical meaning-level defects behind character-perfect quotes, so it is not skippable; most drafted articles still carry the pre-review prose register and old-form author names, awaiting the gated redraft; one tree's line pointers drifted after a post-QC re-stamp; claim-level judgments are not yet human-validated;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prepared over the </w:t>
      </w:r>
      <w:r>
        <w:rPr>
          <w:i/>
          <w:iCs/>
        </w:rPr>
        <w:t xml:space="preserve">Bodhicaryāvatāra</w:t>
      </w:r>
      <w:r>
        <w:t xml:space="preserve">,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structure extracted in isolated passes behind deterministic checkers; claims extracted node-by-node under measured guards; consolidation audited twice, once by script and once by an adversarial fresh context; articles drafted from claims alone; a character-exact gate no model verdict can waive; native-reviewer feedback versioned into the drafting rules themselves; and a human hand, working in the corpus itself, on the only switch that publishes. The per-article artifacts are small; the machine they came from is not — a reusable editorial system whose every safeguard is a testable invariant, and a claims database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the wikitext validator and the verification reports are maintained in the project repository; the corpus rebuild is scripted, and was reproduced byte for byte on a second machine.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2026-08-21T14:21:41.581Z</dcterms:created>
  <dcterms:modified xsi:type="dcterms:W3CDTF">2026-08-21T14:21:41.582Z</dcterms:modified>
</cp:coreProperties>
</file>

<file path=docProps/custom.xml><?xml version="1.0" encoding="utf-8"?>
<Properties xmlns="http://schemas.openxmlformats.org/officeDocument/2006/custom-properties" xmlns:vt="http://schemas.openxmlformats.org/officeDocument/2006/docPropsVTypes"/>
</file>