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19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It covers the full chain: conservative cleaning, normalisation, no-loss segmentation, structural-tree extraction under dual deterministic gates, verse alignment, atomic claims extraction, question-driven consolidation with adversarial audits, claims-only drafting, and a character-exact quotation gate that no model verdict can waive. As a case study we process the </w:t>
      </w:r>
      <w:r>
        <w:rPr>
          <w:i/>
          <w:iCs/>
        </w:rPr>
        <w:t xml:space="preserve">Praise to the Twenty-One Tārās</w:t>
      </w:r>
      <w:r>
        <w:t xml:space="preserve"> with sixteen Tibetan commentaries, producing 2,975 typed, source-anchored claims, 67 consolidated topic pages, and 69 drafted articles — a deeply audited three-article pilot and a corpus-wide batch — with native-speaker review feeding style rules back into the drafting step. In the audited pilot, all 81 quotations across three generated articles verify character-for-character against their cited sources, and an independent cross-model audit caught five blocking errors that a same-model audit had passed — four confirmed by hand. Across the batch, 861 of 882 rendered quotations (97.6%) verify character-for-character.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a verse-aligned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is out of all proportion to both facts.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text roughly four times as expensive to process as Chinese (Petrov et al. 2023). A commercial AI assistant fails a basic question about Tibetan culture asked </w:t>
      </w:r>
      <w:r>
        <w:rPr>
          <w:i/>
          <w:iCs/>
        </w:rPr>
        <w:t xml:space="preserve">in Tibetan</w:t>
      </w:r>
      <w:r>
        <w:t xml:space="preserve">, not because that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which lowers the cost of producing more content in it; a language without one is locked out of the loop. The cycle can be entered deliberately: Wales did so as government policy from 2017, growing the Welsh Wikipedia (</w:t>
      </w:r>
      <w:r>
        <w:rPr>
          <w:i/>
          <w:iCs/>
        </w:rPr>
        <w:t xml:space="preserve">Wicipedia</w:t>
      </w:r>
      <w:r>
        <w:t xml:space="preserve">)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spanning Sakya, Geluk, Jonang, Nyingma and Kagyü authors from Drakpa Gyaltsen to living teachers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Greenlandic Wikipedia closed. Our claim is not that automation helps small languages, but that </w:t>
      </w:r>
      <w:r>
        <w:rPr>
          <w:i/>
          <w:iCs/>
        </w:rPr>
        <w:t xml:space="preserve">the sign of the feedback loop is determined by verification</w:t>
      </w:r>
      <w:r>
        <w:t xml:space="preserve">. The evidence is a complete pipeline; a deeply audited three-article pilot; a corpus of 2,975 extracted claims, 67 consolidated topic pages and a 418-citation adversarial audit; a corpus-wide batch of 66 further articles drafted from the consolidated pages and re-verified by the deterministic gate; a native-speaker review loop whose findings became executable drafting rules;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(unverified machine content → degraded corpus → degraded models) against the verified cycle (cited articles → digital footprint → better tools → faster articles).]</w:t>
      </w:r>
    </w:p>
    <w:p>
      <w:pPr>
        <w:spacing w:after="120" w:line="252"/>
        <w:jc w:val="both"/>
      </w:pPr>
      <w:r>
        <w:rPr>
          <w:b/>
          <w:bCs/>
        </w:rPr>
        <w:t xml:space="preserve">Contributions.</w:t>
      </w:r>
      <w:r>
        <w:t xml:space="preserve"> (1) A working end-to-end pipeline: raw OCR → cleaned,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every one of 418 citations on three consolidated pages — converted wholesale into executable rules and two standing gates (§5.8,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measured machine side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Co-STORM added the human steering the discourse. WikiChat (Semnani et al. 2023) demonstrated the grounding filter — generate freely, keep only what retrieved sources support — reaching 97%+ factual accuracy in 25 languages, Tibetan not among them. WikiCrow (FutureHouse 2024) generated cited articles for all 15,616 unnamed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the AIS family of "attributable to identified sources" protocols and the rater-judged citation-precision numbers reported for systems like WikiCrow all measure the last. Our deterministic gate measures something stricter and narrower: character-level identity of the quoted evidence and resolution of its block-level locator. Fidelity and support are complementary, not competing, and §8 keeps them separate. One background fact shapes the design: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multi-way machine-translation junk, and Shumailov et al. (2024) showed models collapse when trained recursively on synthetic data,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(dozens of participants, five months, ~80 new articles, fully manual),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the known failure classes are hallucination, citation fabrication and close paraphrase; English Wikipedia's G15 speedy-deletion criterion (August 2025) now deletes LLM pages with fabricated or unresolvable references on sight. §5 answers each class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two administrators — and, eighteen years after founding, a total the size of a single English-language WikiProject. Organized effort does not escape the arithmetic: the Dzongkha Wikipedia Education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and we claim no demonstrated alternative reaches critical mass within a generation.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together with sixteen commentaries totalling ~540,000 characters, from a curated </w:t>
      </w:r>
      <w:r>
        <w:rPr>
          <w:i/>
          <w:iCs/>
        </w:rPr>
        <w:t xml:space="preserve">dkar chag</w:t>
      </w:r>
      <w:r>
        <w:t xml:space="preserve"> (catalogue) supplied by the team (Table 1). In the alignment run reported below, 23 root units are alignable, each with a stable block ID.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578"/>
        <w:gridCol w:w="4340"/>
        <w:gridCol w:w="3682"/>
      </w:tblGrid>
      <w:tr>
        <w:trPr>
          <w:tblHeader/>
        </w:trPr>
        <w:tc>
          <w:tcPr>
            <w:tcW w:type="dxa" w:w="1578"/>
            <w:shd w:fill="E8E8E8" w:color="auto" w:val="clear"/>
          </w:tcPr>
          <w:p>
            <w:pPr>
              <w:spacing w:after="0" w:line="220"/>
            </w:pPr>
            <w:r>
              <w:rPr>
                <w:b/>
                <w:bCs/>
                <w:sz w:val="18"/>
                <w:szCs w:val="18"/>
              </w:rPr>
              <w:t xml:space="preserve">Siglum</w:t>
            </w:r>
          </w:p>
        </w:tc>
        <w:tc>
          <w:tcPr>
            <w:tcW w:type="dxa" w:w="4340"/>
            <w:shd w:fill="E8E8E8" w:color="auto" w:val="clear"/>
          </w:tcPr>
          <w:p>
            <w:pPr>
              <w:spacing w:after="0" w:line="220"/>
            </w:pPr>
            <w:r>
              <w:rPr>
                <w:b/>
                <w:bCs/>
                <w:sz w:val="18"/>
                <w:szCs w:val="18"/>
              </w:rPr>
              <w:t xml:space="preserve">Author</w:t>
            </w:r>
          </w:p>
        </w:tc>
        <w:tc>
          <w:tcPr>
            <w:tcW w:type="dxa" w:w="3682"/>
            <w:shd w:fill="E8E8E8" w:color="auto" w:val="clear"/>
          </w:tcPr>
          <w:p>
            <w:pPr>
              <w:spacing w:after="0" w:line="220"/>
            </w:pPr>
            <w:r>
              <w:rPr>
                <w:b/>
                <w:bCs/>
                <w:sz w:val="18"/>
                <w:szCs w:val="18"/>
              </w:rPr>
              <w:t xml:space="preserve">School · Genre</w:t>
            </w:r>
          </w:p>
        </w:tc>
      </w:tr>
      <w:tr>
        <w:trPr>
          <w:tblHeader w:val="false"/>
        </w:trPr>
        <w:tc>
          <w:tcPr>
            <w:tcW w:type="dxa" w:w="1578"/>
          </w:tcPr>
          <w:p>
            <w:pPr>
              <w:spacing w:after="0" w:line="220"/>
            </w:pPr>
            <w:r>
              <w:rPr>
                <w:sz w:val="18"/>
                <w:szCs w:val="18"/>
              </w:rPr>
              <w:t xml:space="preserve">TARAC02_DGT</w:t>
            </w:r>
          </w:p>
        </w:tc>
        <w:tc>
          <w:tcPr>
            <w:tcW w:type="dxa" w:w="4340"/>
          </w:tcPr>
          <w:p>
            <w:pPr>
              <w:spacing w:after="0" w:line="220"/>
            </w:pPr>
            <w:r>
              <w:rPr>
                <w:sz w:val="18"/>
                <w:szCs w:val="18"/>
              </w:rPr>
              <w:t xml:space="preserve">Jetsün Drakpa Gyaltsen</w:t>
            </w:r>
          </w:p>
        </w:tc>
        <w:tc>
          <w:tcPr>
            <w:tcW w:type="dxa" w:w="3682"/>
          </w:tcPr>
          <w:p>
            <w:pPr>
              <w:spacing w:after="0" w:line="220"/>
            </w:pPr>
            <w:r>
              <w:rPr>
                <w:sz w:val="18"/>
                <w:szCs w:val="18"/>
              </w:rPr>
              <w:t xml:space="preserve">Sakya · rnam bshad</w:t>
            </w:r>
          </w:p>
        </w:tc>
      </w:tr>
      <w:tr>
        <w:trPr>
          <w:tblHeader w:val="false"/>
        </w:trPr>
        <w:tc>
          <w:tcPr>
            <w:tcW w:type="dxa" w:w="1578"/>
          </w:tcPr>
          <w:p>
            <w:pPr>
              <w:spacing w:after="0" w:line="220"/>
            </w:pPr>
            <w:r>
              <w:rPr>
                <w:sz w:val="18"/>
                <w:szCs w:val="18"/>
              </w:rPr>
              <w:t xml:space="preserve">TARAC03_GDD</w:t>
            </w:r>
          </w:p>
        </w:tc>
        <w:tc>
          <w:tcPr>
            <w:tcW w:type="dxa" w:w="4340"/>
          </w:tcPr>
          <w:p>
            <w:pPr>
              <w:spacing w:after="0" w:line="220"/>
            </w:pPr>
            <w:r>
              <w:rPr>
                <w:sz w:val="18"/>
                <w:szCs w:val="18"/>
              </w:rPr>
              <w:t xml:space="preserve">Gendün Drub (1st Dalai Lama)</w:t>
            </w:r>
          </w:p>
        </w:tc>
        <w:tc>
          <w:tcPr>
            <w:tcW w:type="dxa" w:w="3682"/>
          </w:tcPr>
          <w:p>
            <w:pPr>
              <w:spacing w:after="0" w:line="220"/>
            </w:pPr>
            <w:r>
              <w:rPr>
                <w:sz w:val="18"/>
                <w:szCs w:val="18"/>
              </w:rPr>
              <w:t xml:space="preserve">Geluk · ṭīkā</w:t>
            </w:r>
          </w:p>
        </w:tc>
      </w:tr>
      <w:tr>
        <w:trPr>
          <w:tblHeader w:val="false"/>
        </w:trPr>
        <w:tc>
          <w:tcPr>
            <w:tcW w:type="dxa" w:w="1578"/>
          </w:tcPr>
          <w:p>
            <w:pPr>
              <w:spacing w:after="0" w:line="220"/>
            </w:pPr>
            <w:r>
              <w:rPr>
                <w:sz w:val="18"/>
                <w:szCs w:val="18"/>
              </w:rPr>
              <w:t xml:space="preserve">TARAC04_GDG</w:t>
            </w:r>
          </w:p>
        </w:tc>
        <w:tc>
          <w:tcPr>
            <w:tcW w:type="dxa" w:w="4340"/>
          </w:tcPr>
          <w:p>
            <w:pPr>
              <w:spacing w:after="0" w:line="220"/>
            </w:pPr>
            <w:r>
              <w:rPr>
                <w:sz w:val="18"/>
                <w:szCs w:val="18"/>
              </w:rPr>
              <w:t xml:space="preserve">Gendün Gyatso (2nd Dalai Lama)</w:t>
            </w:r>
          </w:p>
        </w:tc>
        <w:tc>
          <w:tcPr>
            <w:tcW w:type="dxa" w:w="3682"/>
          </w:tcPr>
          <w:p>
            <w:pPr>
              <w:spacing w:after="0" w:line="220"/>
            </w:pPr>
            <w:r>
              <w:rPr>
                <w:sz w:val="18"/>
                <w:szCs w:val="18"/>
              </w:rPr>
              <w:t xml:space="preserve">Geluk · rnam bshad</w:t>
            </w:r>
          </w:p>
        </w:tc>
      </w:tr>
      <w:tr>
        <w:trPr>
          <w:tblHeader w:val="false"/>
        </w:trPr>
        <w:tc>
          <w:tcPr>
            <w:tcW w:type="dxa" w:w="1578"/>
          </w:tcPr>
          <w:p>
            <w:pPr>
              <w:spacing w:after="0" w:line="220"/>
            </w:pPr>
            <w:r>
              <w:rPr>
                <w:sz w:val="18"/>
                <w:szCs w:val="18"/>
              </w:rPr>
              <w:t xml:space="preserve">TARAC05_TRN</w:t>
            </w:r>
          </w:p>
        </w:tc>
        <w:tc>
          <w:tcPr>
            <w:tcW w:type="dxa" w:w="4340"/>
          </w:tcPr>
          <w:p>
            <w:pPr>
              <w:spacing w:after="0" w:line="220"/>
            </w:pPr>
            <w:r>
              <w:rPr>
                <w:sz w:val="18"/>
                <w:szCs w:val="18"/>
              </w:rPr>
              <w:t xml:space="preserve">Tāranātha</w:t>
            </w:r>
          </w:p>
        </w:tc>
        <w:tc>
          <w:tcPr>
            <w:tcW w:type="dxa" w:w="3682"/>
          </w:tcPr>
          <w:p>
            <w:pPr>
              <w:spacing w:after="0" w:line="220"/>
            </w:pPr>
            <w:r>
              <w:rPr>
                <w:sz w:val="18"/>
                <w:szCs w:val="18"/>
              </w:rPr>
              <w:t xml:space="preserve">Jonang · rnam bshad</w:t>
            </w:r>
          </w:p>
        </w:tc>
      </w:tr>
      <w:tr>
        <w:trPr>
          <w:tblHeader w:val="false"/>
        </w:trPr>
        <w:tc>
          <w:tcPr>
            <w:tcW w:type="dxa" w:w="1578"/>
          </w:tcPr>
          <w:p>
            <w:pPr>
              <w:spacing w:after="0" w:line="220"/>
            </w:pPr>
            <w:r>
              <w:rPr>
                <w:sz w:val="18"/>
                <w:szCs w:val="18"/>
              </w:rPr>
              <w:t xml:space="preserve">TARAC06_NDB</w:t>
            </w:r>
          </w:p>
        </w:tc>
        <w:tc>
          <w:tcPr>
            <w:tcW w:type="dxa" w:w="4340"/>
          </w:tcPr>
          <w:p>
            <w:pPr>
              <w:spacing w:after="0" w:line="220"/>
            </w:pPr>
            <w:r>
              <w:rPr>
                <w:sz w:val="18"/>
                <w:szCs w:val="18"/>
              </w:rPr>
              <w:t xml:space="preserve">Ngülchu Dharmabhadra</w:t>
            </w:r>
          </w:p>
        </w:tc>
        <w:tc>
          <w:tcPr>
            <w:tcW w:type="dxa" w:w="3682"/>
          </w:tcPr>
          <w:p>
            <w:pPr>
              <w:spacing w:after="0" w:line="220"/>
            </w:pPr>
            <w:r>
              <w:rPr>
                <w:sz w:val="18"/>
                <w:szCs w:val="18"/>
              </w:rPr>
              <w:t xml:space="preserve">Geluk · rnam bshad</w:t>
            </w:r>
          </w:p>
        </w:tc>
      </w:tr>
      <w:tr>
        <w:trPr>
          <w:tblHeader w:val="false"/>
        </w:trPr>
        <w:tc>
          <w:tcPr>
            <w:tcW w:type="dxa" w:w="1578"/>
          </w:tcPr>
          <w:p>
            <w:pPr>
              <w:spacing w:after="0" w:line="220"/>
            </w:pPr>
            <w:r>
              <w:rPr>
                <w:sz w:val="18"/>
                <w:szCs w:val="18"/>
              </w:rPr>
              <w:t xml:space="preserve">TARAC07_KTK</w:t>
            </w:r>
          </w:p>
        </w:tc>
        <w:tc>
          <w:tcPr>
            <w:tcW w:type="dxa" w:w="4340"/>
          </w:tcPr>
          <w:p>
            <w:pPr>
              <w:spacing w:after="0" w:line="220"/>
            </w:pPr>
            <w:r>
              <w:rPr>
                <w:sz w:val="18"/>
                <w:szCs w:val="18"/>
              </w:rPr>
              <w:t xml:space="preserve">Könchok Tabkhé</w:t>
            </w:r>
          </w:p>
        </w:tc>
        <w:tc>
          <w:tcPr>
            <w:tcW w:type="dxa" w:w="3682"/>
          </w:tcPr>
          <w:p>
            <w:pPr>
              <w:spacing w:after="0" w:line="220"/>
            </w:pPr>
            <w:r>
              <w:rPr>
                <w:sz w:val="18"/>
                <w:szCs w:val="18"/>
              </w:rPr>
              <w:t xml:space="preserve">Geluk · ṭīkā</w:t>
            </w:r>
          </w:p>
        </w:tc>
      </w:tr>
      <w:tr>
        <w:trPr>
          <w:tblHeader w:val="false"/>
        </w:trPr>
        <w:tc>
          <w:tcPr>
            <w:tcW w:type="dxa" w:w="1578"/>
          </w:tcPr>
          <w:p>
            <w:pPr>
              <w:spacing w:after="0" w:line="220"/>
            </w:pPr>
            <w:r>
              <w:rPr>
                <w:sz w:val="18"/>
                <w:szCs w:val="18"/>
              </w:rPr>
              <w:t xml:space="preserve">TARAC08_DTG</w:t>
            </w:r>
          </w:p>
        </w:tc>
        <w:tc>
          <w:tcPr>
            <w:tcW w:type="dxa" w:w="4340"/>
          </w:tcPr>
          <w:p>
            <w:pPr>
              <w:spacing w:after="0" w:line="220"/>
            </w:pPr>
            <w:r>
              <w:rPr>
                <w:sz w:val="18"/>
                <w:szCs w:val="18"/>
              </w:rPr>
              <w:t xml:space="preserve">Dorlop Tenga Tulku</w:t>
            </w:r>
          </w:p>
        </w:tc>
        <w:tc>
          <w:tcPr>
            <w:tcW w:type="dxa" w:w="3682"/>
          </w:tcPr>
          <w:p>
            <w:pPr>
              <w:spacing w:after="0" w:line="220"/>
            </w:pPr>
            <w:r>
              <w:rPr>
                <w:sz w:val="18"/>
                <w:szCs w:val="18"/>
              </w:rPr>
              <w:t xml:space="preserve">Sūryagupta · on the benefits</w:t>
            </w:r>
          </w:p>
        </w:tc>
      </w:tr>
      <w:tr>
        <w:trPr>
          <w:tblHeader w:val="false"/>
        </w:trPr>
        <w:tc>
          <w:tcPr>
            <w:tcW w:type="dxa" w:w="1578"/>
          </w:tcPr>
          <w:p>
            <w:pPr>
              <w:spacing w:after="0" w:line="220"/>
            </w:pPr>
            <w:r>
              <w:rPr>
                <w:sz w:val="18"/>
                <w:szCs w:val="18"/>
              </w:rPr>
              <w:t xml:space="preserve">TARAC09_ANON</w:t>
            </w:r>
          </w:p>
        </w:tc>
        <w:tc>
          <w:tcPr>
            <w:tcW w:type="dxa" w:w="4340"/>
          </w:tcPr>
          <w:p>
            <w:pPr>
              <w:spacing w:after="0" w:line="220"/>
            </w:pPr>
            <w:r>
              <w:rPr>
                <w:sz w:val="18"/>
                <w:szCs w:val="18"/>
              </w:rPr>
              <w:t xml:space="preserve">anonymous (no colophon)</w:t>
            </w:r>
          </w:p>
        </w:tc>
        <w:tc>
          <w:tcPr>
            <w:tcW w:type="dxa" w:w="3682"/>
          </w:tcPr>
          <w:p>
            <w:pPr>
              <w:spacing w:after="0" w:line="220"/>
            </w:pPr>
            <w:r>
              <w:rPr>
                <w:sz w:val="18"/>
                <w:szCs w:val="18"/>
              </w:rPr>
              <w:t xml:space="preserve">Sūryagupta · bstod 'grel</w:t>
            </w:r>
          </w:p>
        </w:tc>
      </w:tr>
      <w:tr>
        <w:trPr>
          <w:tblHeader w:val="false"/>
        </w:trPr>
        <w:tc>
          <w:tcPr>
            <w:tcW w:type="dxa" w:w="1578"/>
          </w:tcPr>
          <w:p>
            <w:pPr>
              <w:spacing w:after="0" w:line="220"/>
            </w:pPr>
            <w:r>
              <w:rPr>
                <w:sz w:val="18"/>
                <w:szCs w:val="18"/>
              </w:rPr>
              <w:t xml:space="preserve">TARAC10_DPN</w:t>
            </w:r>
          </w:p>
        </w:tc>
        <w:tc>
          <w:tcPr>
            <w:tcW w:type="dxa" w:w="4340"/>
          </w:tcPr>
          <w:p>
            <w:pPr>
              <w:spacing w:after="0" w:line="220"/>
            </w:pPr>
            <w:r>
              <w:rPr>
                <w:sz w:val="18"/>
                <w:szCs w:val="18"/>
              </w:rPr>
              <w:t xml:space="preserve">Dombu Pema Namgyal</w:t>
            </w:r>
          </w:p>
        </w:tc>
        <w:tc>
          <w:tcPr>
            <w:tcW w:type="dxa" w:w="3682"/>
          </w:tcPr>
          <w:p>
            <w:pPr>
              <w:spacing w:after="0" w:line="220"/>
            </w:pPr>
            <w:r>
              <w:rPr>
                <w:sz w:val="18"/>
                <w:szCs w:val="18"/>
              </w:rPr>
              <w:t xml:space="preserve">— · commentary</w:t>
            </w:r>
          </w:p>
        </w:tc>
      </w:tr>
      <w:tr>
        <w:trPr>
          <w:tblHeader w:val="false"/>
        </w:trPr>
        <w:tc>
          <w:tcPr>
            <w:tcW w:type="dxa" w:w="1578"/>
          </w:tcPr>
          <w:p>
            <w:pPr>
              <w:spacing w:after="0" w:line="220"/>
            </w:pPr>
            <w:r>
              <w:rPr>
                <w:sz w:val="18"/>
                <w:szCs w:val="18"/>
              </w:rPr>
              <w:t xml:space="preserve">TARAC11_KMT</w:t>
            </w:r>
          </w:p>
        </w:tc>
        <w:tc>
          <w:tcPr>
            <w:tcW w:type="dxa" w:w="4340"/>
          </w:tcPr>
          <w:p>
            <w:pPr>
              <w:spacing w:after="0" w:line="220"/>
            </w:pPr>
            <w:r>
              <w:rPr>
                <w:sz w:val="18"/>
                <w:szCs w:val="18"/>
              </w:rPr>
              <w:t xml:space="preserve">Karma Maitri</w:t>
            </w:r>
          </w:p>
        </w:tc>
        <w:tc>
          <w:tcPr>
            <w:tcW w:type="dxa" w:w="3682"/>
          </w:tcPr>
          <w:p>
            <w:pPr>
              <w:spacing w:after="0" w:line="220"/>
            </w:pPr>
            <w:r>
              <w:rPr>
                <w:sz w:val="18"/>
                <w:szCs w:val="18"/>
              </w:rPr>
              <w:t xml:space="preserve">— · condensed commentary</w:t>
            </w:r>
          </w:p>
        </w:tc>
      </w:tr>
      <w:tr>
        <w:trPr>
          <w:tblHeader w:val="false"/>
        </w:trPr>
        <w:tc>
          <w:tcPr>
            <w:tcW w:type="dxa" w:w="1578"/>
          </w:tcPr>
          <w:p>
            <w:pPr>
              <w:spacing w:after="0" w:line="220"/>
            </w:pPr>
            <w:r>
              <w:rPr>
                <w:sz w:val="18"/>
                <w:szCs w:val="18"/>
              </w:rPr>
              <w:t xml:space="preserve">TARAC12_PDS</w:t>
            </w:r>
          </w:p>
        </w:tc>
        <w:tc>
          <w:tcPr>
            <w:tcW w:type="dxa" w:w="4340"/>
          </w:tcPr>
          <w:p>
            <w:pPr>
              <w:spacing w:after="0" w:line="220"/>
            </w:pPr>
            <w:r>
              <w:rPr>
                <w:sz w:val="18"/>
                <w:szCs w:val="18"/>
              </w:rPr>
              <w:t xml:space="preserve">Khenchen Palden Sherab</w:t>
            </w:r>
          </w:p>
        </w:tc>
        <w:tc>
          <w:tcPr>
            <w:tcW w:type="dxa" w:w="3682"/>
          </w:tcPr>
          <w:p>
            <w:pPr>
              <w:spacing w:after="0" w:line="220"/>
            </w:pPr>
            <w:r>
              <w:rPr>
                <w:sz w:val="18"/>
                <w:szCs w:val="18"/>
              </w:rPr>
              <w:t xml:space="preserve">Nyingma · word commentary</w:t>
            </w:r>
          </w:p>
        </w:tc>
      </w:tr>
      <w:tr>
        <w:trPr>
          <w:tblHeader w:val="false"/>
        </w:trPr>
        <w:tc>
          <w:tcPr>
            <w:tcW w:type="dxa" w:w="1578"/>
          </w:tcPr>
          <w:p>
            <w:pPr>
              <w:spacing w:after="0" w:line="220"/>
            </w:pPr>
            <w:r>
              <w:rPr>
                <w:sz w:val="18"/>
                <w:szCs w:val="18"/>
              </w:rPr>
              <w:t xml:space="preserve">TARAC13_TDZ</w:t>
            </w:r>
          </w:p>
        </w:tc>
        <w:tc>
          <w:tcPr>
            <w:tcW w:type="dxa" w:w="4340"/>
          </w:tcPr>
          <w:p>
            <w:pPr>
              <w:spacing w:after="0" w:line="220"/>
            </w:pPr>
            <w:r>
              <w:rPr>
                <w:sz w:val="18"/>
                <w:szCs w:val="18"/>
              </w:rPr>
              <w:t xml:space="preserve">Sermé Tsang Geshé Tendzin Dönzang</w:t>
            </w:r>
          </w:p>
        </w:tc>
        <w:tc>
          <w:tcPr>
            <w:tcW w:type="dxa" w:w="3682"/>
          </w:tcPr>
          <w:p>
            <w:pPr>
              <w:spacing w:after="0" w:line="220"/>
            </w:pPr>
            <w:r>
              <w:rPr>
                <w:sz w:val="18"/>
                <w:szCs w:val="18"/>
              </w:rPr>
              <w:t xml:space="preserve">Geluk · bstod 'grel</w:t>
            </w:r>
          </w:p>
        </w:tc>
      </w:tr>
      <w:tr>
        <w:trPr>
          <w:tblHeader w:val="false"/>
        </w:trPr>
        <w:tc>
          <w:tcPr>
            <w:tcW w:type="dxa" w:w="1578"/>
          </w:tcPr>
          <w:p>
            <w:pPr>
              <w:spacing w:after="0" w:line="220"/>
            </w:pPr>
            <w:r>
              <w:rPr>
                <w:sz w:val="18"/>
                <w:szCs w:val="18"/>
              </w:rPr>
              <w:t xml:space="preserve">TARAC14_LZD</w:t>
            </w:r>
          </w:p>
        </w:tc>
        <w:tc>
          <w:tcPr>
            <w:tcW w:type="dxa" w:w="4340"/>
          </w:tcPr>
          <w:p>
            <w:pPr>
              <w:spacing w:after="0" w:line="220"/>
            </w:pPr>
            <w:r>
              <w:rPr>
                <w:sz w:val="18"/>
                <w:szCs w:val="18"/>
              </w:rPr>
              <w:t xml:space="preserve">Geshé Lobzang Dawa (ed.)</w:t>
            </w:r>
          </w:p>
        </w:tc>
        <w:tc>
          <w:tcPr>
            <w:tcW w:type="dxa" w:w="3682"/>
          </w:tcPr>
          <w:p>
            <w:pPr>
              <w:spacing w:after="0" w:line="220"/>
            </w:pPr>
            <w:r>
              <w:rPr>
                <w:sz w:val="18"/>
                <w:szCs w:val="18"/>
              </w:rPr>
              <w:t xml:space="preserve">Geluk · interlinear notes</w:t>
            </w:r>
          </w:p>
        </w:tc>
      </w:tr>
      <w:tr>
        <w:trPr>
          <w:tblHeader w:val="false"/>
        </w:trPr>
        <w:tc>
          <w:tcPr>
            <w:tcW w:type="dxa" w:w="1578"/>
          </w:tcPr>
          <w:p>
            <w:pPr>
              <w:spacing w:after="0" w:line="220"/>
            </w:pPr>
            <w:r>
              <w:rPr>
                <w:sz w:val="18"/>
                <w:szCs w:val="18"/>
              </w:rPr>
              <w:t xml:space="preserve">TARAC15_SNT</w:t>
            </w:r>
          </w:p>
        </w:tc>
        <w:tc>
          <w:tcPr>
            <w:tcW w:type="dxa" w:w="4340"/>
          </w:tcPr>
          <w:p>
            <w:pPr>
              <w:spacing w:after="0" w:line="220"/>
            </w:pPr>
            <w:r>
              <w:rPr>
                <w:sz w:val="18"/>
                <w:szCs w:val="18"/>
              </w:rPr>
              <w:t xml:space="preserve">Sangyé Nyentrul</w:t>
            </w:r>
          </w:p>
        </w:tc>
        <w:tc>
          <w:tcPr>
            <w:tcW w:type="dxa" w:w="3682"/>
          </w:tcPr>
          <w:p>
            <w:pPr>
              <w:spacing w:after="0" w:line="220"/>
            </w:pPr>
            <w:r>
              <w:rPr>
                <w:sz w:val="18"/>
                <w:szCs w:val="18"/>
              </w:rPr>
              <w:t xml:space="preserve">— · word commentary</w:t>
            </w:r>
          </w:p>
        </w:tc>
      </w:tr>
      <w:tr>
        <w:trPr>
          <w:tblHeader w:val="false"/>
        </w:trPr>
        <w:tc>
          <w:tcPr>
            <w:tcW w:type="dxa" w:w="1578"/>
          </w:tcPr>
          <w:p>
            <w:pPr>
              <w:spacing w:after="0" w:line="220"/>
            </w:pPr>
            <w:r>
              <w:rPr>
                <w:sz w:val="18"/>
                <w:szCs w:val="18"/>
              </w:rPr>
              <w:t xml:space="preserve">TARAC16_PSR</w:t>
            </w:r>
          </w:p>
        </w:tc>
        <w:tc>
          <w:tcPr>
            <w:tcW w:type="dxa" w:w="4340"/>
          </w:tcPr>
          <w:p>
            <w:pPr>
              <w:spacing w:after="0" w:line="220"/>
            </w:pPr>
            <w:r>
              <w:rPr>
                <w:sz w:val="18"/>
                <w:szCs w:val="18"/>
              </w:rPr>
              <w:t xml:space="preserve">Draphar Dramé Sungrab Tulku</w:t>
            </w:r>
          </w:p>
        </w:tc>
        <w:tc>
          <w:tcPr>
            <w:tcW w:type="dxa" w:w="3682"/>
          </w:tcPr>
          <w:p>
            <w:pPr>
              <w:spacing w:after="0" w:line="220"/>
            </w:pPr>
            <w:r>
              <w:rPr>
                <w:sz w:val="18"/>
                <w:szCs w:val="18"/>
              </w:rPr>
              <w:t xml:space="preserve">Geluk (2023) · rnam bshad</w:t>
            </w:r>
          </w:p>
        </w:tc>
      </w:tr>
      <w:tr>
        <w:trPr>
          <w:tblHeader w:val="false"/>
        </w:trPr>
        <w:tc>
          <w:tcPr>
            <w:tcW w:type="dxa" w:w="1578"/>
          </w:tcPr>
          <w:p>
            <w:pPr>
              <w:spacing w:after="0" w:line="220"/>
            </w:pPr>
            <w:r>
              <w:rPr>
                <w:sz w:val="18"/>
                <w:szCs w:val="18"/>
              </w:rPr>
              <w:t xml:space="preserve">TARAC17_TSN</w:t>
            </w:r>
          </w:p>
        </w:tc>
        <w:tc>
          <w:tcPr>
            <w:tcW w:type="dxa" w:w="4340"/>
          </w:tcPr>
          <w:p>
            <w:pPr>
              <w:spacing w:after="0" w:line="220"/>
            </w:pPr>
            <w:r>
              <w:rPr>
                <w:sz w:val="18"/>
                <w:szCs w:val="18"/>
              </w:rPr>
              <w:t xml:space="preserve">Khenpo Tsültrim Namdak</w:t>
            </w:r>
          </w:p>
        </w:tc>
        <w:tc>
          <w:tcPr>
            <w:tcW w:type="dxa" w:w="3682"/>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 homages split across two or three blocks instead of one block per stanza — and which stopped mid-clause at the twenty-first homage, omitting the benefits section every commentary in the corpus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(§5.10),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(§5.11):</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and reproducible: conservative cleaning, then segmentation through production scripts behind a no-loss gate. Re-running the ingest script reproduces every source file byte for byte — verified by rebuilding the corpus from the raw upload on a second machine and obtaining identical verification reports (§8). One honesty note the paper keeps visible: the corpus currently exists in </w:t>
      </w:r>
      <w:r>
        <w:rPr>
          <w:b/>
          <w:bCs/>
        </w:rPr>
        <w:t xml:space="preserve">two annotated copies</w:t>
      </w:r>
      <w:r>
        <w:t xml:space="preserve">, a rails-side copy carrying structural sa-bcad headings and a pipeline-side copy carrying flat block IDs plus transclusion anchors. The citation chain is intact in both, and the duplication is scheduled to collapse into one set of source files.</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It reads and writes the vault's markdown directly rather than loading the corpus into a database, so every intermediate stays human-readable and reviewable in place (§5.11).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that aborts if one non-whitespace character changed.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(§5.1–5.3), choosing the subjects (§5.4), building the claims layer (§5.5–5.8), generating and verifying articles (§5.9–5.10), and publication (§5.11). For every step we state, in plain terms, </w:t>
      </w:r>
      <w:r>
        <w:rPr>
          <w:b/>
          <w:bCs/>
        </w:rPr>
        <w:t xml:space="preserve">what goes in, what comes out, and how it works</w:t>
      </w:r>
      <w:r>
        <w:t xml:space="preserve"> — the core logic of the prompt or the script behind it — and name the gate the step ends in. Table 2 states the layered defense as failure class against catching layer, with the on-disk evidence that each layer has fired; Table 3 enumerates the human decision points, because "semi-automatic" is not a mood.</w:t>
      </w:r>
    </w:p>
    <w:p>
      <w:pPr>
        <w:spacing w:after="120" w:line="252"/>
        <w:jc w:val="both"/>
      </w:pPr>
      <w:r>
        <w:rPr>
          <w:i/>
          <w:iCs/>
        </w:rPr>
        <w:t xml:space="preserve">[Figure 2 near here: pipeline diagram — source preparation (5.1–5.3) → subject selection (5.4) → claims, consolidation and audit (5.5–5.8) → articles and verification (5.9–5.10) → review and publication (5.11).]</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spacing w:after="120" w:line="252"/>
        <w:jc w:val="both"/>
      </w:pPr>
      <w:r>
        <w:rPr>
          <w:i/>
          <w:iCs/>
        </w:rPr>
        <w:t xml:space="preserve">Table 3. Human checkpoints — most exercised in the vault itself (§5.11).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673"/>
        <w:gridCol w:w="4861"/>
        <w:gridCol w:w="2066"/>
      </w:tblGrid>
      <w:tr>
        <w:trPr>
          <w:tblHeader/>
        </w:trPr>
        <w:tc>
          <w:tcPr>
            <w:tcW w:type="dxa" w:w="2673"/>
            <w:shd w:fill="E8E8E8" w:color="auto" w:val="clear"/>
          </w:tcPr>
          <w:p>
            <w:pPr>
              <w:spacing w:after="0" w:line="220"/>
            </w:pPr>
            <w:r>
              <w:rPr>
                <w:b/>
                <w:bCs/>
                <w:sz w:val="18"/>
                <w:szCs w:val="18"/>
              </w:rPr>
              <w:t xml:space="preserve">Checkpoint</w:t>
            </w:r>
          </w:p>
        </w:tc>
        <w:tc>
          <w:tcPr>
            <w:tcW w:type="dxa" w:w="4861"/>
            <w:shd w:fill="E8E8E8" w:color="auto" w:val="clear"/>
          </w:tcPr>
          <w:p>
            <w:pPr>
              <w:spacing w:after="0" w:line="220"/>
            </w:pPr>
            <w:r>
              <w:rPr>
                <w:b/>
                <w:bCs/>
                <w:sz w:val="18"/>
                <w:szCs w:val="18"/>
              </w:rPr>
              <w:t xml:space="preserve">What the human decides</w:t>
            </w:r>
          </w:p>
        </w:tc>
        <w:tc>
          <w:tcPr>
            <w:tcW w:type="dxa" w:w="2066"/>
            <w:shd w:fill="E8E8E8" w:color="auto" w:val="clear"/>
          </w:tcPr>
          <w:p>
            <w:pPr>
              <w:spacing w:after="0" w:line="220"/>
            </w:pPr>
            <w:r>
              <w:rPr>
                <w:b/>
                <w:bCs/>
                <w:sz w:val="18"/>
                <w:szCs w:val="18"/>
              </w:rPr>
              <w:t xml:space="preserve">Where</w:t>
            </w:r>
          </w:p>
        </w:tc>
      </w:tr>
      <w:tr>
        <w:trPr>
          <w:tblHeader w:val="false"/>
        </w:trPr>
        <w:tc>
          <w:tcPr>
            <w:tcW w:type="dxa" w:w="2673"/>
          </w:tcPr>
          <w:p>
            <w:pPr>
              <w:spacing w:after="0" w:line="220"/>
            </w:pPr>
            <w:r>
              <w:rPr>
                <w:sz w:val="18"/>
                <w:szCs w:val="18"/>
              </w:rPr>
              <w:t xml:space="preserve">Cleaning profile</w:t>
            </w:r>
          </w:p>
        </w:tc>
        <w:tc>
          <w:tcPr>
            <w:tcW w:type="dxa" w:w="4861"/>
          </w:tcPr>
          <w:p>
            <w:pPr>
              <w:spacing w:after="0" w:line="220"/>
            </w:pPr>
            <w:r>
              <w:rPr>
                <w:sz w:val="18"/>
                <w:szCs w:val="18"/>
              </w:rPr>
              <w:t xml:space="preserve">approves the debris profile</w:t>
            </w:r>
          </w:p>
        </w:tc>
        <w:tc>
          <w:tcPr>
            <w:tcW w:type="dxa" w:w="2066"/>
          </w:tcPr>
          <w:p>
            <w:pPr>
              <w:spacing w:after="0" w:line="220"/>
            </w:pPr>
            <w:r>
              <w:rPr>
                <w:sz w:val="18"/>
                <w:szCs w:val="18"/>
              </w:rPr>
              <w:t xml:space="preserve">terminal</w:t>
            </w:r>
          </w:p>
        </w:tc>
      </w:tr>
      <w:tr>
        <w:trPr>
          <w:tblHeader w:val="false"/>
        </w:trPr>
        <w:tc>
          <w:tcPr>
            <w:tcW w:type="dxa" w:w="2673"/>
          </w:tcPr>
          <w:p>
            <w:pPr>
              <w:spacing w:after="0" w:line="220"/>
            </w:pPr>
            <w:r>
              <w:rPr>
                <w:sz w:val="18"/>
                <w:szCs w:val="18"/>
              </w:rPr>
              <w:t xml:space="preserve">Segmentation residue</w:t>
            </w:r>
          </w:p>
        </w:tc>
        <w:tc>
          <w:tcPr>
            <w:tcW w:type="dxa" w:w="4861"/>
          </w:tcPr>
          <w:p>
            <w:pPr>
              <w:spacing w:after="0" w:line="220"/>
            </w:pPr>
            <w:r>
              <w:rPr>
                <w:sz w:val="18"/>
                <w:szCs w:val="18"/>
              </w:rPr>
              <w:t xml:space="preserve">places boundaries flagged unresolvable</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Tree QC sign-off</w:t>
            </w:r>
          </w:p>
        </w:tc>
        <w:tc>
          <w:tcPr>
            <w:tcW w:type="dxa" w:w="4861"/>
          </w:tcPr>
          <w:p>
            <w:pPr>
              <w:spacing w:after="0" w:line="220"/>
            </w:pPr>
            <w:r>
              <w:rPr>
                <w:sz w:val="18"/>
                <w:szCs w:val="18"/>
              </w:rPr>
              <w:t xml:space="preserve">accepts or rejects ambiguous findings</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Term/topic list</w:t>
            </w:r>
          </w:p>
        </w:tc>
        <w:tc>
          <w:tcPr>
            <w:tcW w:type="dxa" w:w="4861"/>
          </w:tcPr>
          <w:p>
            <w:pPr>
              <w:spacing w:after="0" w:line="220"/>
            </w:pPr>
            <w:r>
              <w:rPr>
                <w:sz w:val="18"/>
                <w:szCs w:val="18"/>
              </w:rPr>
              <w:t xml:space="preserve">approves candidate terms</w:t>
            </w:r>
          </w:p>
        </w:tc>
        <w:tc>
          <w:tcPr>
            <w:tcW w:type="dxa" w:w="2066"/>
          </w:tcPr>
          <w:p>
            <w:pPr>
              <w:spacing w:after="0" w:line="220"/>
            </w:pPr>
            <w:r>
              <w:rPr>
                <w:sz w:val="18"/>
                <w:szCs w:val="18"/>
              </w:rPr>
              <w:t xml:space="preserve">registry</w:t>
            </w:r>
          </w:p>
        </w:tc>
      </w:tr>
      <w:tr>
        <w:trPr>
          <w:tblHeader w:val="false"/>
        </w:trPr>
        <w:tc>
          <w:tcPr>
            <w:tcW w:type="dxa" w:w="2673"/>
          </w:tcPr>
          <w:p>
            <w:pPr>
              <w:spacing w:after="0" w:line="220"/>
            </w:pPr>
            <w:r>
              <w:rPr>
                <w:sz w:val="18"/>
                <w:szCs w:val="18"/>
              </w:rPr>
              <w:t xml:space="preserve">Rails promotion</w:t>
            </w:r>
          </w:p>
        </w:tc>
        <w:tc>
          <w:tcPr>
            <w:tcW w:type="dxa" w:w="4861"/>
          </w:tcPr>
          <w:p>
            <w:pPr>
              <w:spacing w:after="0" w:line="220"/>
            </w:pPr>
            <w:r>
              <w:rPr>
                <w:sz w:val="18"/>
                <w:szCs w:val="18"/>
              </w:rPr>
              <w:t xml:space="preserve">only a specialist sets status: complete</w:t>
            </w:r>
          </w:p>
        </w:tc>
        <w:tc>
          <w:tcPr>
            <w:tcW w:type="dxa" w:w="2066"/>
          </w:tcPr>
          <w:p>
            <w:pPr>
              <w:spacing w:after="0" w:line="220"/>
            </w:pPr>
            <w:r>
              <w:rPr>
                <w:sz w:val="18"/>
                <w:szCs w:val="18"/>
              </w:rPr>
              <w:t xml:space="preserve">vault frontmatter</w:t>
            </w:r>
          </w:p>
        </w:tc>
      </w:tr>
      <w:tr>
        <w:trPr>
          <w:tblHeader w:val="false"/>
        </w:trPr>
        <w:tc>
          <w:tcPr>
            <w:tcW w:type="dxa" w:w="2673"/>
          </w:tcPr>
          <w:p>
            <w:pPr>
              <w:spacing w:after="0" w:line="220"/>
            </w:pPr>
            <w:r>
              <w:rPr>
                <w:sz w:val="18"/>
                <w:szCs w:val="18"/>
              </w:rPr>
              <w:t xml:space="preserve">Pre-publication review</w:t>
            </w:r>
          </w:p>
        </w:tc>
        <w:tc>
          <w:tcPr>
            <w:tcW w:type="dxa" w:w="4861"/>
          </w:tcPr>
          <w:p>
            <w:pPr>
              <w:spacing w:after="0" w:line="220"/>
            </w:pPr>
            <w:r>
              <w:rPr>
                <w:sz w:val="18"/>
                <w:szCs w:val="18"/>
              </w:rPr>
              <w:t xml:space="preserve">references, voice, synthesis, notability</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Publication</w:t>
            </w:r>
          </w:p>
        </w:tc>
        <w:tc>
          <w:tcPr>
            <w:tcW w:type="dxa" w:w="4861"/>
          </w:tcPr>
          <w:p>
            <w:pPr>
              <w:spacing w:after="0" w:line="220"/>
            </w:pPr>
            <w:r>
              <w:rPr>
                <w:sz w:val="18"/>
                <w:szCs w:val="18"/>
              </w:rPr>
              <w:t xml:space="preserve">the explicit --execute</w:t>
            </w:r>
          </w:p>
        </w:tc>
        <w:tc>
          <w:tcPr>
            <w:tcW w:type="dxa" w:w="2066"/>
          </w:tcPr>
          <w:p>
            <w:pPr>
              <w:spacing w:after="0" w:line="220"/>
            </w:pPr>
            <w:r>
              <w:rPr>
                <w:sz w:val="18"/>
                <w:szCs w:val="18"/>
              </w:rPr>
              <w:t xml:space="preserve">command line</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file, kept read-only. </w:t>
      </w:r>
      <w:r>
        <w:rPr>
          <w:i/>
          <w:iCs/>
        </w:rPr>
        <w:t xml:space="preserve">Out:</w:t>
      </w:r>
      <w:r>
        <w:t xml:space="preserve"> a cleaned working copy; the raw file untouched. </w:t>
      </w:r>
      <w:r>
        <w:rPr>
          <w:i/>
          <w:iCs/>
        </w:rPr>
        <w:t xml:space="preserve">How:</w:t>
      </w:r>
      <w:r>
        <w:t xml:space="preserve"> the script does not clean directly — it first builds a </w:t>
      </w:r>
      <w:r>
        <w:rPr>
          <w:i/>
          <w:iCs/>
        </w:rPr>
        <w:t xml:space="preserve">profile</w:t>
      </w:r>
      <w:r>
        <w:t xml:space="preserve"> of the mechanical debris it found (page-number lines, repeated running headers, spaces broken into the middle of words, the wrong tsheg character), shows that profile to the human, and only then runs a small cleaner limited to exactly those mechanical fixes. Two rules: never overwrite the raw file, and never interpret text — broken syllables and doubtful readings are deferred to the human edition (§4).</w:t>
      </w:r>
    </w:p>
    <w:p>
      <w:pPr>
        <w:spacing w:after="120" w:line="252"/>
        <w:jc w:val="both"/>
      </w:pPr>
      <w:r>
        <w:rPr>
          <w:b/>
          <w:bCs/>
        </w:rPr>
        <w:t xml:space="preserve">Normalisation.</w:t>
      </w:r>
      <w:r>
        <w:t xml:space="preserve"> </w:t>
      </w:r>
      <w:r>
        <w:rPr>
          <w:i/>
          <w:iCs/>
        </w:rPr>
        <w:t xml:space="preserve">In/Out:</w:t>
      </w:r>
      <w:r>
        <w:t xml:space="preserve"> none — this is a shared library every later stage calls, not a stage that edits files. Every guarantee the pipeline makes about a quotation is really a claim about </w:t>
      </w:r>
      <w:r>
        <w:rPr>
          <w:i/>
          <w:iCs/>
        </w:rPr>
        <w:t xml:space="preserve">which</w:t>
      </w:r>
      <w:r>
        <w:t xml:space="preserve"> normalisation was compared — and if the verifier, the aligner and the term selector each grew their own, that drift is how a citation ends up looking checked when it is not. Four rungs, loosest last: </w:t>
      </w:r>
      <w:r>
        <w:rPr>
          <w:b/>
          <w:bCs/>
        </w:rPr>
        <w:t xml:space="preserve">nfc</w:t>
      </w:r>
      <w:r>
        <w:t xml:space="preserve">, the storage form on disk; </w:t>
      </w:r>
      <w:r>
        <w:rPr>
          <w:b/>
          <w:bCs/>
        </w:rPr>
        <w:t xml:space="preserve">collapse</w:t>
      </w:r>
      <w:r>
        <w:t xml:space="preserve">, NFC minus whitespace, since line wrapping legitimately differs between a source file and the article quoting it and nothing else may — this is the verbatim-comparison key; </w:t>
      </w:r>
      <w:r>
        <w:rPr>
          <w:b/>
          <w:bCs/>
        </w:rPr>
        <w:t xml:space="preserve">strip_markup</w:t>
      </w:r>
      <w:r>
        <w:t xml:space="preserve">, minus the editorial furniture inside source files; and </w:t>
      </w:r>
      <w:r>
        <w:rPr>
          <w:b/>
          <w:bCs/>
        </w:rPr>
        <w:t xml:space="preserve">fuzzy_key</w:t>
      </w:r>
      <w:r>
        <w:t xml:space="preserve">, minus every shad, tsheg and head mark, which are what editions disagree about more often than they disagree about letters, and therefore </w:t>
      </w:r>
      <w:r>
        <w:rPr>
          <w:i/>
          <w:iCs/>
        </w:rPr>
        <w:t xml:space="preserve">a warning, never a pass</w:t>
      </w:r>
      <w:r>
        <w:t xml:space="preserve">.</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 the address every later citation uses. </w:t>
      </w:r>
      <w:r>
        <w:rPr>
          <w:i/>
          <w:iCs/>
        </w:rPr>
        <w:t xml:space="preserve">How:</w:t>
      </w:r>
      <w:r>
        <w:t xml:space="preserve"> the root text is formatted one stanza per paragraph by a small grammar of Tibetan punctuation (the verse-line separator, the double shad that marks colophons); each commentary is cut into citation-sized blocks by a rule engine over seven lexical boundary cues — terminal particles, quotation openers and closers, enumeration heads, ordinal openers — with verse stanzas detected by their meter and peeled out whole, never re-cut. What makes the stage safe to run is the no-loss gate in code: if the segmented text differs from the original by one non-whitespace character once whitespace is squeezed out, the script aborts and writes no file.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the labour is split by kind. Detection is </w:t>
      </w:r>
      <w:r>
        <w:rPr>
          <w:i/>
          <w:iCs/>
        </w:rPr>
        <w:t xml:space="preserve">model-only</w:t>
      </w:r>
      <w:r>
        <w:t xml:space="preserve"> — the skill forbids regex extraction, on recorded experience that sa-bcad surface variants are too many — and the model's entire job is to </w:t>
      </w:r>
      <w:r>
        <w:rPr>
          <w:i/>
          <w:iCs/>
        </w:rPr>
        <w:t xml:space="preserve">point</w:t>
      </w:r>
      <w:r>
        <w:t xml:space="preserve"> at lines that already exist, never to retype them. Rendering is </w:t>
      </w:r>
      <w:r>
        <w:rPr>
          <w:i/>
          <w:iCs/>
        </w:rPr>
        <w:t xml:space="preserve">script-only</w:t>
      </w:r>
      <w:r>
        <w:t xml:space="preserve">: block IDs are derived from outline depth by code, so numbering mistakes are impossible by construction; headings carry IDs ending in a reserved zero slot (^1-0, ^1-2-0, …) so a heading ID can never collide with a content ID; and each announced term is wrapped in a wikilink to the heading it announces, so the backlinks pane shows, for any section, every place its structure was announced (§5.11). The gate compares the result back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claims extraction, spine mapping and consolidation all lean on. </w:t>
      </w:r>
      <w:r>
        <w:rPr>
          <w:i/>
          <w:iCs/>
        </w:rPr>
        <w:t xml:space="preserve">How:</w:t>
      </w:r>
      <w:r>
        <w:t xml:space="preserve"> extraction is staged in five isolated passes (chunk, extract candidates, copy the enumeration announcements verbatim, build, check) rather than written as one prompt, on a finding about prompt design: the candidate-extraction call never sees the tree-building instructions and so cannot drift into tree-building, the verbatim-copy call never sees the "interpret and reconcile" instructions and so stays literal, and merging the jobs collapses that isolation and drops precision. Tree building treats the author's own enumerations as </w:t>
      </w:r>
      <w:r>
        <w:rPr>
          <w:i/>
          <w:iCs/>
        </w:rPr>
        <w:t xml:space="preserve">more authoritative than individual candidates</w:t>
      </w:r>
      <w:r>
        <w:t xml:space="preserve">, using them to drop false positives and to fill gaps, since every declared part must appear as a child and the child count must match the declared count; doctrinal lists, enumerated as subject matter rather than as divisions of the text, never become nodes.</w:t>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ending in syllable-bigram coverage with a 0.5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instead of "the praise proper"), an unresolved anchor with an obvious textual anchor one line away, and seven collided line pointers where the extractor had lost its cursor. Self-consistency checking cannot catch these, because the one thing it never reads is the commentary. Promotion requires both checkers clean: never declare a tree clean on an agent's say-so, and never report zero issues when a checker was not run. All sixteen commentaries have promoted, QC-clean trees. One residual defect is recorded </w:t>
      </w:r>
      <w:r>
        <w:rPr>
          <w:i/>
          <w:iCs/>
        </w:rPr>
        <w:t xml:space="preserve">inside the affected downstream file</w:t>
      </w:r>
      <w:r>
        <w:t xml:space="preserve"> rather than hidden: one tree's line pointers drifted because its source file was re-stamped minutes after its QC ran, and the drift is flagged for follow-up in the claims file that inherited it.</w:t>
      </w:r>
    </w:p>
    <w:p>
      <w:pPr>
        <w:pStyle w:val="Heading2"/>
      </w:pPr>
      <w:r>
        <w:t xml:space="preserve">5.3 Alignment</w:t>
      </w:r>
    </w:p>
    <w:p>
      <w:pPr>
        <w:spacing w:after="120" w:line="252"/>
        <w:jc w:val="both"/>
      </w:pPr>
      <w:r>
        <w:rPr>
          <w:i/>
          <w:iCs/>
        </w:rPr>
        <w:t xml:space="preserve">In:</w:t>
      </w:r>
      <w:r>
        <w:t xml:space="preserve"> the root text and each commentary, both segmented and block-addressed. </w:t>
      </w:r>
      <w:r>
        <w:rPr>
          <w:i/>
          <w:iCs/>
        </w:rPr>
        <w:t xml:space="preserve">Out:</w:t>
      </w:r>
      <w:r>
        <w:t xml:space="preserve"> for every root stanza, the commentary passage that explains it — recorded as an anchor line in the commentary file itself where the stanza is quoted, and as machine-readable span records for the rest. </w:t>
      </w:r>
      <w:r>
        <w:rPr>
          <w:i/>
          <w:iCs/>
        </w:rPr>
        <w:t xml:space="preserve">How:</w:t>
      </w:r>
      <w:r>
        <w:t xml:space="preserve"> two mechanisms, deliberately ordered — deterministic first, because alignment errors are silent: a verse anchored to the wrong span produces a citation that looks perfectly well-formed and is simply wrong. Deterministic matching can fail to find a verse, but it cannot invent a location. Where a commentary quotes the stanza, a </w:t>
      </w:r>
      <w:r>
        <w:rPr>
          <w:b/>
          <w:bCs/>
        </w:rPr>
        <w:t xml:space="preserve">transclusion anchor</w:t>
      </w:r>
      <w:r>
        <w:t xml:space="preserve"> is inserted above the quotation, dry-run first, with variant-tolerant matching: lines match on a character-overlap ratio of at least 0.80, absorbing orthographic variants (བསྒོམ/སྒོམ, ཟློག/བཟློག), and a single-line match is accepted only inside a citation frame (ཞེས་པ་ནི།). Three root-cause fixes took this from </w:t>
      </w:r>
      <w:r>
        <w:rPr>
          <w:b/>
          <w:bCs/>
        </w:rPr>
        <w:t xml:space="preserve">116 to 209 anchored verses (33% → 59%)</w:t>
      </w:r>
      <w:r>
        <w:t xml:space="preserve"> across sixteen commentaries × 22 verses. The three commentaries still at zero are the word-commentaries (བསྡུས་འགྲེལ, མཆན་འགྲེལ), which dissolve the stanza into glosses and genuinely never quote it — a structural limit, not a tuning failure.</w:t>
      </w:r>
    </w:p>
    <w:p>
      <w:pPr>
        <w:spacing w:after="120" w:line="252"/>
        <w:jc w:val="both"/>
      </w:pPr>
      <w:r>
        <w:rPr>
          <w:b/>
          <w:bCs/>
        </w:rPr>
        <w:t xml:space="preserve">Lexical clustering</w:t>
      </w:r>
      <w:r>
        <w:t xml:space="preserve"> handles the remainder: rather than search for the stanza as a string, the aligner asks where </w:t>
      </w:r>
      <w:r>
        <w:rPr>
          <w:i/>
          <w:iCs/>
        </w:rPr>
        <w:t xml:space="preserve">fragments cluster</w:t>
      </w:r>
      <w:r>
        <w:t xml:space="preserve">, scores the densest windows of distinct probes, and chooses one cluster per verse under a monotonicity constraint — commentaries follow their root text in order, so a phrase recurring in two chapters is pinned to the right one by its neighbours, which is a longest increasing subsequence weighted by cluster score. On a benchmark chapter with ground-truth anchors, precision/recall is 95–96% / 51–59% on prose commentaries and 58% / 19% on a word-commentary, which is why recall is treated as a budget for LLM assistance rather than a target to tune upward. Any model-proposed span is re-verified to exist verbatim before use: we accept the model's </w:t>
      </w:r>
      <w:r>
        <w:rPr>
          <w:i/>
          <w:iCs/>
        </w:rPr>
        <w:t xml:space="preserve">judgment</w:t>
      </w:r>
      <w:r>
        <w:t xml:space="preserve"> about which passage is relevant, never its </w:t>
      </w:r>
      <w:r>
        <w:rPr>
          <w:i/>
          <w:iCs/>
        </w:rPr>
        <w:t xml:space="preserve">reproduction</w:t>
      </w:r>
      <w:r>
        <w:t xml:space="preserve"> of the text. Result on this corpus (verified in review): </w:t>
      </w:r>
      <w:r>
        <w:rPr>
          <w:b/>
          <w:bCs/>
        </w:rPr>
        <w:t xml:space="preserve">314 aligned spans over the 23 root units — 209 by anchor, 105 by clustering — with seven of sixteen commentaries at 100% coverage</w:t>
      </w:r>
      <w:r>
        <w:t xml:space="preserve">.</w:t>
      </w:r>
    </w:p>
    <w:p>
      <w:pPr>
        <w:pStyle w:val="Heading2"/>
      </w:pPr>
      <w:r>
        <w:t xml:space="preserve">5.4 Choosing the subjects: the keyword chain</w:t>
      </w:r>
    </w:p>
    <w:p>
      <w:pPr>
        <w:spacing w:after="120" w:line="252"/>
        <w:jc w:val="both"/>
      </w:pPr>
      <w:r>
        <w:t xml:space="preserve">Which subjects get articles is itself a pipeline, run after ingest and governed by one boundary rule: keywords </w:t>
      </w:r>
      <w:r>
        <w:rPr>
          <w:i/>
          <w:iCs/>
        </w:rPr>
        <w:t xml:space="preserve">select and order</w:t>
      </w:r>
      <w:r>
        <w:t xml:space="preserve"> the article queue; they never define what the claims layer records. A high-scoring term with no claims behind it is a finding, not an article. The chain's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 So English is used only to discover what the candidate terms are, and every measurement that matters is then made on the Tibetan side, where the truth lives.</w:t>
      </w:r>
    </w:p>
    <w:p>
      <w:pPr>
        <w:spacing w:after="120" w:line="252"/>
        <w:jc w:val="both"/>
      </w:pPr>
      <w:r>
        <w:rPr>
          <w:b/>
          <w:bCs/>
        </w:rPr>
        <w:t xml:space="preserve">Finding candidates.</w:t>
      </w:r>
      <w:r>
        <w:t xml:space="preserve"> </w:t>
      </w:r>
      <w:r>
        <w:rPr>
          <w:i/>
          <w:iCs/>
        </w:rPr>
        <w:t xml:space="preserve">In:</w:t>
      </w:r>
      <w:r>
        <w:t xml:space="preserve"> the Tibetan root text. </w:t>
      </w:r>
      <w:r>
        <w:rPr>
          <w:i/>
          <w:iCs/>
        </w:rPr>
        <w:t xml:space="preserve">Out:</w:t>
      </w:r>
      <w:r>
        <w:t xml:space="preserve"> a registry of unique Tibetan terms. </w:t>
      </w:r>
      <w:r>
        <w:rPr>
          <w:i/>
          <w:iCs/>
        </w:rPr>
        <w:t xml:space="preserve">How:</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then run over the English (one pass treating each verse as its own document, one pass against a general-English reference corpus), yielding a generous candidate pool. For each English candidate, a model opens the same-numbered Tibetan block and identifies the exact Tibetan span it translates; the results are regrouped by Tibetan term, merging spelling variants. This per-occurrence mapping fixes the two ways translation statistics lie: one Tibetan term split across several English renderings (its count divided, its rank sunk) and two distinct Tibetan terms merged under one English word. </w:t>
      </w:r>
      <w:r>
        <w:rPr>
          <w:b/>
          <w:bCs/>
        </w:rPr>
        <w:t xml:space="preserve">Numbers:</w:t>
      </w:r>
      <w:r>
        <w:t xml:space="preserve"> 193 + 313 English candidates → 367 unique Tibetan terms.</w:t>
      </w:r>
    </w:p>
    <w:p>
      <w:pPr>
        <w:spacing w:after="120" w:line="252"/>
        <w:jc w:val="both"/>
      </w:pPr>
      <w:r>
        <w:rPr>
          <w:b/>
          <w:bCs/>
        </w:rPr>
        <w:t xml:space="preserve">Scoring: attention beats presence.</w:t>
      </w:r>
      <w:r>
        <w:t xml:space="preserve"> </w:t>
      </w:r>
      <w:r>
        <w:rPr>
          <w:i/>
          <w:iCs/>
        </w:rPr>
        <w:t xml:space="preserve">In:</w:t>
      </w:r>
      <w:r>
        <w:t xml:space="preserve"> the term registry, the claims files (§5.5), the structural trees. </w:t>
      </w:r>
      <w:r>
        <w:rPr>
          <w:i/>
          <w:iCs/>
        </w:rPr>
        <w:t xml:space="preserve">Out:</w:t>
      </w:r>
      <w:r>
        <w:t xml:space="preserve"> a ranked list, every signal and weight recorded. </w:t>
      </w:r>
      <w:r>
        <w:rPr>
          <w:i/>
          <w:iCs/>
        </w:rPr>
        <w:t xml:space="preserve">How:</w:t>
      </w:r>
      <w:r>
        <w:t xml:space="preserve"> raw frequency cannot separate a grammatical particle (frequent everywhere, meaning nothing) from a doctrinal term, so three signal classes are combined, and mere presence is deliberately the weakest. The dominant signal is </w:t>
      </w:r>
      <w:r>
        <w:rPr>
          <w:b/>
          <w:bCs/>
        </w:rPr>
        <w:t xml:space="preserve">attention</w:t>
      </w:r>
      <w:r>
        <w:t xml:space="preserve">: how many claims are </w:t>
      </w:r>
      <w:r>
        <w:rPr>
          <w:i/>
          <w:iCs/>
        </w:rPr>
        <w:t xml:space="preserve">about</w:t>
      </w:r>
      <w:r>
        <w:t xml:space="preserve"> the term, across how many commentaries. Next is </w:t>
      </w:r>
      <w:r>
        <w:rPr>
          <w:b/>
          <w:bCs/>
        </w:rPr>
        <w:t xml:space="preserve">structure</w:t>
      </w:r>
      <w:r>
        <w:t xml:space="preserve">: whether the term appears in section titles, and whether commentaries explicitly define it. Last, as a tie-breaker only, </w:t>
      </w:r>
      <w:r>
        <w:rPr>
          <w:b/>
          <w:bCs/>
        </w:rPr>
        <w:t xml:space="preserve">presence</w:t>
      </w:r>
      <w:r>
        <w:t xml:space="preserve">: the term's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w:t>
      </w:r>
      <w:r>
        <w:rPr>
          <w:i/>
          <w:iCs/>
        </w:rPr>
        <w:t xml:space="preserve">In:</w:t>
      </w:r>
      <w:r>
        <w:t xml:space="preserve"> the ranked registry. </w:t>
      </w:r>
      <w:r>
        <w:rPr>
          <w:i/>
          <w:iCs/>
        </w:rPr>
        <w:t xml:space="preserve">Out:</w:t>
      </w:r>
      <w:r>
        <w:t xml:space="preserve"> the article queue. </w:t>
      </w:r>
      <w:r>
        <w:rPr>
          <w:i/>
          <w:iCs/>
        </w:rPr>
        <w:t xml:space="preserve">How:</w:t>
      </w:r>
      <w:r>
        <w:t xml:space="preserve"> a mechanical cutoff, calibrated once and frozen so the selection is reproducible rather than re-argued per run: a term enters the queue only if at least half the commentaries engage it </w:t>
      </w:r>
      <w:r>
        <w:rPr>
          <w:i/>
          <w:iCs/>
        </w:rPr>
        <w:t xml:space="preserve">and</w:t>
      </w:r>
      <w:r>
        <w:t xml:space="preserve"> at least 20 claims are about it — because consolidation shrinks many raw claims into each cited statement, 20 claims is roughly a lead plus two or three cited sections. Terms that fail stay in the registry as glossary candidates; nothing is deleted. </w:t>
      </w:r>
      <w:r>
        <w:rPr>
          <w:b/>
          <w:bCs/>
        </w:rPr>
        <w:t xml:space="preserve">Numbers: 114 of 367 terms pass.</w:t>
      </w:r>
    </w:p>
    <w:p>
      <w:pPr>
        <w:spacing w:after="120" w:line="252"/>
        <w:jc w:val="both"/>
      </w:pPr>
      <w:r>
        <w:rPr>
          <w:b/>
          <w:bCs/>
        </w:rPr>
        <w:t xml:space="preserve">From terms to subjects.</w:t>
      </w:r>
      <w:r>
        <w:t xml:space="preserve"> </w:t>
      </w:r>
      <w:r>
        <w:rPr>
          <w:i/>
          <w:iCs/>
        </w:rPr>
        <w:t xml:space="preserve">In:</w:t>
      </w:r>
      <w:r>
        <w:t xml:space="preserve"> the 114-term queue. </w:t>
      </w:r>
      <w:r>
        <w:rPr>
          <w:i/>
          <w:iCs/>
        </w:rPr>
        <w:t xml:space="preserve">Out:</w:t>
      </w:r>
      <w:r>
        <w:t xml:space="preserve"> a classified subject list, every verdict carrying a recorded one-line reason. </w:t>
      </w:r>
      <w:r>
        <w:rPr>
          <w:i/>
          <w:iCs/>
        </w:rPr>
        <w:t xml:space="preserve">How:</w:t>
      </w:r>
      <w:r>
        <w:t xml:space="preserve"> a model pass first merges queue rows that are the same subject under spelling or grammatical variants (never merging doctrinally distinct terms, however close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material volume: a 100-claim body part is still section material; a 20-claim deity is still standalone. The gate is </w:t>
      </w:r>
      <w:r>
        <w:rPr>
          <w:i/>
          <w:iCs/>
        </w:rPr>
        <w:t xml:space="preserve">conservation of terms</w:t>
      </w:r>
      <w:r>
        <w:t xml:space="preserve">: the four verdict classes must sum exactly to the input count, every term appearing exactly once — a term lost or double-counted is a hard failure. </w:t>
      </w:r>
      <w:r>
        <w:rPr>
          <w:b/>
          <w:bCs/>
        </w:rPr>
        <w:t xml:space="preserve">Numbers: 44 standalone + 47 section-material + 10 glossary + 13 merged = 114/114.</w:t>
      </w:r>
    </w:p>
    <w:p>
      <w:pPr>
        <w:spacing w:after="120" w:line="252"/>
        <w:jc w:val="both"/>
      </w:pPr>
      <w:r>
        <w:rPr>
          <w:b/>
          <w:bCs/>
        </w:rPr>
        <w:t xml:space="preserve">What already exists on the wiki.</w:t>
      </w:r>
      <w:r>
        <w:t xml:space="preserve"> </w:t>
      </w:r>
      <w:r>
        <w:rPr>
          <w:i/>
          <w:iCs/>
        </w:rPr>
        <w:t xml:space="preserve">In:</w:t>
      </w:r>
      <w:r>
        <w:t xml:space="preserve"> the 44 standalone subjects. </w:t>
      </w:r>
      <w:r>
        <w:rPr>
          <w:i/>
          <w:iCs/>
        </w:rPr>
        <w:t xml:space="preserve">Out:</w:t>
      </w:r>
      <w:r>
        <w:t xml:space="preserve"> a per-subject verdict, </w:t>
      </w:r>
      <w:r>
        <w:rPr>
          <w:i/>
          <w:iCs/>
        </w:rPr>
        <w:t xml:space="preserve">create</w:t>
      </w:r>
      <w:r>
        <w:t xml:space="preserve"> or </w:t>
      </w:r>
      <w:r>
        <w:rPr>
          <w:i/>
          <w:iCs/>
        </w:rPr>
        <w:t xml:space="preserve">update</w:t>
      </w:r>
      <w:r>
        <w:t xml:space="preserve">, with dated snapshots of every existing article. </w:t>
      </w:r>
      <w:r>
        <w:rPr>
          <w:i/>
          <w:iCs/>
        </w:rPr>
        <w:t xml:space="preserve">How:</w:t>
      </w:r>
      <w:r>
        <w:t xml:space="preserve"> both lookups always run against the live wiki — title search with redirects and spelling variants, and a structured-data search checking for a Tibetan-Wikipedia sitelink — because existence is the fact that chooses between the pipeline's create path and its update path,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Numbers: 25 update, 19 create, 0 unresolved.</w:t>
      </w:r>
    </w:p>
    <w:p>
      <w:pPr>
        <w:pStyle w:val="Heading2"/>
      </w:pPr>
      <w:r>
        <w:t xml:space="preserve">5.5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are made with incomplete information — the first commentary read silently defines the topic space, and later commentaries of different granularity (a 24 KB condensed gloss versus a 400 KB treatise) map onto it badly.</w:t>
      </w:r>
    </w:p>
    <w:p>
      <w:pPr>
        <w:spacing w:after="120" w:line="252"/>
        <w:jc w:val="both"/>
      </w:pPr>
      <w:r>
        <w:rPr>
          <w:i/>
          <w:iCs/>
        </w:rPr>
        <w:t xml:space="preserve">In:</w:t>
      </w:r>
      <w:r>
        <w:t xml:space="preserve"> one commentary and its QC-clean structural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(from its own line pointer to the next node's),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 The orchestrator assembles the replies in tree order, computes the claim count by counting, and runs the deterministic checker.</w:t>
      </w:r>
    </w:p>
    <w:p>
      <w:pPr>
        <w:spacing w:after="120" w:line="252"/>
        <w:jc w:val="both"/>
      </w:pPr>
      <w:r>
        <w:t xml:space="preserve">Three extraction methods were compared: a one-pass inventory under nine fixed categories; a re-bucketing of an existing extraction under the commentary's own tree; and a fresh extraction guided node-by-node by the tree. The negative findings are why the third is now the standard: the re-bucketed run was not an independent extraction at all —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claim IDs are never node IDs (the earlier files had 1.1 denoting both a claim and a section); claim counts are computed by counting at the end, never inherited; a node-boundary check backs every claim's placement, since each node is read from its own line window alone, so a claim cannot be filed under the wrong node by construction rather than by discipline; "stated" means the referent's verbatim name occurs in the claim's own quoted Tibetan (7 of 14 claims so tagged in one earlier file contained no form of the name); and every claim is independently re-derived.</w:t>
      </w:r>
    </w:p>
    <w:p>
      <w:pPr>
        <w:spacing w:after="120" w:line="252"/>
        <w:jc w:val="both"/>
      </w:pPr>
      <w:r>
        <w:t xml:space="preserve">A row pairs verbatim Tibetan with an English gloss, a type, a referent and a block citation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each file carries a typed grounding index that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with ellipsis-joined fragments tested individually — which catches a claim quoting one real phrase and one invented one), claim-count recomputation, an ID-collision scan, and stated-referent validation. Repair is by fresh per-node call, and the discipline is explicit: never suppress a finding to make the count read zero. </w:t>
      </w:r>
      <w:r>
        <w:rPr>
          <w:b/>
          <w:bCs/>
        </w:rPr>
        <w:t xml:space="preserve">State on disk: 16 claims files, 2,975 claims, all status: draft</w:t>
      </w:r>
      <w:r>
        <w:t xml:space="preserve"> — the model never marks its own extraction complete.</w:t>
      </w:r>
    </w:p>
    <w:p>
      <w:pPr>
        <w:pStyle w:val="Heading2"/>
      </w:pPr>
      <w:r>
        <w:t xml:space="preserve">5.6 Spine maps</w:t>
      </w:r>
    </w:p>
    <w:p>
      <w:pPr>
        <w:spacing w:after="120" w:line="252"/>
        <w:jc w:val="both"/>
      </w:pPr>
      <w:r>
        <w:rPr>
          <w:i/>
          <w:iCs/>
        </w:rPr>
        <w:t xml:space="preserve">In:</w:t>
      </w:r>
      <w:r>
        <w:t xml:space="preserve"> one commentary's tree, the heading lines of its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with </w:t>
      </w:r>
      <w:r>
        <w:rPr>
          <w:b/>
          <w:bCs/>
        </w:rPr>
        <w:t xml:space="preserve">exactly one disposition for every claim</w:t>
      </w:r>
      <w:r>
        <w:t xml:space="preserve">. </w:t>
      </w:r>
      <w:r>
        <w:rPr>
          <w:i/>
          <w:iCs/>
        </w:rPr>
        <w:t xml:space="preserve">How and why:</w:t>
      </w:r>
      <w:r>
        <w:t xml:space="preserve"> consolidation needs to know, for every commentary, which of its own tree nodes hold which canonical slot of the root text. Answering that inside every topic run, as the pilot did, is quadratic in the wrong variable: sixteen commentaries × ~22 slots implied roughly 400 full-file reads of an unchanged 3.8 MB corpus. The fix is a routing index, one small table per commentary, built once and reused, which records addresses and never interpretation. Node numbering is never assumed uniform — one commentary nests a homage at 1.1.N, another at top level N, another titles nodes by epithet, another runs all twenty-one homages inside one undivided node — so a rule that worked for the last commentary is evidence of nothing about this one, and that hard case is routed instead by </w:t>
      </w:r>
      <w:r>
        <w:rPr>
          <w:i/>
          <w:iCs/>
        </w:rPr>
        <w:t xml:space="preserve">claim-ID range</w:t>
      </w:r>
      <w:r>
        <w:t xml:space="preserve">, using its own "Verse N quoted" claims as boundary markers. </w:t>
      </w:r>
      <w:r>
        <w:rPr>
          <w:b/>
          <w:bCs/>
        </w:rPr>
        <w:t xml:space="preserve">Every claim gets exactly one disposition</w:t>
      </w:r>
      <w:r>
        <w:t xml:space="preserve">: routed by subtree, routed by claim ID, flagged ambiguous, or logged as unmapped. Neither zero (silent loss) nor two (silent duplication) is acceptable, and silence is a finding recorded with a reason. A deterministic verifier recomputes every count and enforces disposition completeness. All sixteen maps exist.</w:t>
      </w:r>
    </w:p>
    <w:p>
      <w:pPr>
        <w:pStyle w:val="Heading2"/>
      </w:pPr>
      <w:r>
        <w:t xml:space="preserve">5.7 Packet assembly, question generation, and consolidation</w:t>
      </w:r>
    </w:p>
    <w:p>
      <w:pPr>
        <w:spacing w:after="120" w:line="252"/>
        <w:jc w:val="both"/>
      </w:pPr>
      <w:r>
        <w:rPr>
          <w:b/>
          <w:bCs/>
        </w:rPr>
        <w:t xml:space="preserve">Packet assembly is a script, not a model.</w:t>
      </w:r>
      <w:r>
        <w:t xml:space="preserve"> </w:t>
      </w:r>
      <w:r>
        <w:rPr>
          <w:i/>
          <w:iCs/>
        </w:rPr>
        <w:t xml:space="preserve">In:</w:t>
      </w:r>
      <w:r>
        <w:t xml:space="preserve"> one topic slot; the claims files; the spine maps. </w:t>
      </w:r>
      <w:r>
        <w:rPr>
          <w:i/>
          <w:iCs/>
        </w:rPr>
        <w:t xml:space="preserve">Out:</w:t>
      </w:r>
      <w:r>
        <w:t xml:space="preserve"> a single packet holding every claim routed to that slot, plus a manifest of every claim ID included. </w:t>
      </w:r>
      <w:r>
        <w:rPr>
          <w:i/>
          <w:iCs/>
        </w:rPr>
        <w:t xml:space="preserve">How:</w:t>
      </w:r>
      <w:r>
        <w:t xml:space="preserve"> the script collects the routed claims out of every commentary's raw file, copying each claim block </w:t>
      </w:r>
      <w:r>
        <w:rPr>
          <w:b/>
          <w:bCs/>
        </w:rPr>
        <w:t xml:space="preserve">character-for-character</w:t>
      </w:r>
      <w:r>
        <w:t xml:space="preserve"> — a script cannot introduce a transcription error — and emits the manifest that the later coverage check diffs against. Two hard errors are loud by design: a commentary with no disposition for the slot aborts the build, and so does a commentary with a claims file but no spine map, because it would otherwise be silently absent from every topic page.</w:t>
      </w:r>
    </w:p>
    <w:p>
      <w:pPr>
        <w:spacing w:after="120" w:line="252"/>
        <w:jc w:val="both"/>
      </w:pPr>
      <w:r>
        <w:rPr>
          <w:b/>
          <w:bCs/>
        </w:rPr>
        <w:t xml:space="preserve">Questions are generated, not authored.</w:t>
      </w:r>
      <w:r>
        <w:t xml:space="preserve"> No human writes the question list. Two free sources: the spine, mechanically — twenty-one homages × observed facets (name, colour, implements, stance, activity, mantra, benefit); and the extractions themselves, since every raw claim implies a question that can then be asked of every other commentary. Their union makes question-driven consolidation a </w:t>
      </w:r>
      <w:r>
        <w:rPr>
          <w:b/>
          <w:bCs/>
        </w:rPr>
        <w:t xml:space="preserve">derived completeness check</w:t>
      </w:r>
      <w:r>
        <w:t xml:space="preserve">: free extraction first, then generated questions catch what free reading missed.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 attested independently, in each commentary's own words. Beside it, a divergence in which one side exists only as a commentator's report of unnamed "earlier commentaries," recorded as exactly that and never inflated into a live dispute. Consolidation also surfaces </w:t>
      </w:r>
      <w:r>
        <w:rPr>
          <w:b/>
          <w:bCs/>
        </w:rPr>
        <w:t xml:space="preserve">root-text-level variants</w:t>
      </w:r>
      <w:r>
        <w:t xml:space="preserve">: the same page records one commentary quoting the verse as དཔལ་མོ ("Glorious One") where the corpus reads དཔའ་མོ ("Heroine") — two readings that license different etymologies for one syllable. It is a philological instrument, not just an aggregator. Afterwards a </w:t>
      </w:r>
      <w:r>
        <w:rPr>
          <w:b/>
          <w:bCs/>
        </w:rPr>
        <w:t xml:space="preserve">coverage check</w:t>
      </w:r>
      <w:r>
        <w:t xml:space="preserve"> compares the packet manifest against every claim ID the page cites; every claim in the gap is either folded in or logged with a one-line reason — no third state. In the pilot this caught real gaps in roughly 5–12% of a topic's mapped claims per page. Consolidation ran at two scales: the 24 slot topics of the root text's own structure, and — after the subject chain of §5.4 delivered its queue — the keyword subjects, consolidated by the same skill under the same gates. </w:t>
      </w:r>
      <w:r>
        <w:rPr>
          <w:b/>
          <w:bCs/>
        </w:rPr>
        <w:t xml:space="preserve">State on disk: 67 consolidated topic pages (24 slot + 43 term), all status: draft.</w:t>
      </w:r>
    </w:p>
    <w:p>
      <w:pPr>
        <w:pStyle w:val="Heading2"/>
      </w:pPr>
      <w:r>
        <w:t xml:space="preserve">5.8 The consolidation audits</w:t>
      </w:r>
    </w:p>
    <w:p>
      <w:pPr>
        <w:spacing w:after="120" w:line="252"/>
        <w:jc w:val="both"/>
      </w:pPr>
      <w:r>
        <w:t xml:space="preserve">Three pilot topic pages were adversarially audited: a fresh model context per page — one that did not write the page — re-checked </w:t>
      </w:r>
      <w:r>
        <w:rPr>
          <w:b/>
          <w:bCs/>
        </w:rPr>
        <w:t xml:space="preserve">every one of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consolidator had a real corpus idea attached to the wrong claim ID — a failure no existence check can catch. The minor findings formed a stable taxonomy: partial-support padding of consensus lists; the same claim cited on both sides of one divergence; page-level harmonisation presented as a claim's own reading; epistemic upgrades; silently elided syllables in Tibetan quotes; hand-tallied count labels (</w:t>
      </w:r>
      <w:r>
        <w:rPr>
          <w:b/>
          <w:bCs/>
        </w:rPr>
        <w:t xml:space="preserve">five of five wrong</w:t>
      </w:r>
      <w:r>
        <w:t xml:space="preserve"> on the worst page); and consulted claims with no disposition recorded.</w:t>
      </w:r>
    </w:p>
    <w:p>
      <w:pPr>
        <w:spacing w:after="120" w:line="252"/>
        <w:jc w:val="both"/>
      </w:pPr>
      <w:r>
        <w:t xml:space="preserve">That taxonomy became machinery. Each error class turned into either a consolidation rule — full-statement support, corroboration re-read rather than remembered, one side per divergence, verbatim quotes or marked ellipsis, harmonisation attributed to the page and never to the claim, epistemic strength copied and never upgraded, counts computed and never hand-tallied, every consulted claim given a disposition —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was validated by reproducing every mechanical finding of the human audit, plus one claim with no disposition that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under a strict independence rule: the Tibetan consolidator must not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 and a clean quote check is never, by itself, publication-ready.</w:t>
      </w:r>
    </w:p>
    <w:p>
      <w:pPr>
        <w:pStyle w:val="Heading2"/>
      </w:pPr>
      <w:r>
        <w:t xml:space="preserve">5.9 Article generation</w:t>
      </w:r>
    </w:p>
    <w:p>
      <w:pPr>
        <w:spacing w:after="120" w:line="252"/>
        <w:jc w:val="both"/>
      </w:pPr>
      <w:r>
        <w:t xml:space="preserve">Subjects arrive from the selection chain of §5.4 and stay marked as machine-proposed in the registry, which records who or what proposed each entry. Under the project's review-at-end governance there is no human sign-off mid-chain; instead every judgment step leaves a full audit trail — per-term verdicts with reasons, merge mappings — so the single human review over finished articles can reject selectively rather than rerun the pipeline. Two drafting routes share one doctrine — </w:t>
      </w:r>
      <w:r>
        <w:rPr>
          <w:b/>
          <w:bCs/>
        </w:rPr>
        <w:t xml:space="preserve">claims-only drafting</w:t>
      </w:r>
      <w:r>
        <w:t xml:space="preserve"> — and one gate (§5.10).</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w:t>
      </w:r>
      <w:r>
        <w:rPr>
          <w:i/>
          <w:iCs/>
        </w:rPr>
        <w:t xml:space="preserve">In:</w:t>
      </w:r>
      <w:r>
        <w:t xml:space="preserve"> one term and the aligned corpus. </w:t>
      </w:r>
      <w:r>
        <w:rPr>
          <w:i/>
          <w:iCs/>
        </w:rPr>
        <w:t xml:space="preserve">Out:</w:t>
      </w:r>
      <w:r>
        <w:t xml:space="preserve"> one artifact per stage — extracted passages, the claims table, an outline, the drafted wikitext, an audit report — every stage's model and prompt version pinned in a per-article record. The extraction prompt is written in Tibetan, and the first of its seven rules is the contract: quote character-for-character (ཡི་གེ་གཅིག་ཀྱང་བསྒྱུར་བ་དང་། བསྡུ་བ་དང་། ཚིག་སྒྱུར་བྱེད་མི་ཆོག — "not one letter may be changed, condensed, or paraphrased"), with the warning that a machine will check every letter. The rest take only passages that </w:t>
      </w:r>
      <w:r>
        <w:rPr>
          <w:i/>
          <w:iCs/>
        </w:rPr>
        <w:t xml:space="preserve">explain</w:t>
      </w:r>
      <w:r>
        <w:t xml:space="preserve"> the term, echo the block's segment ID, never truncate, never flatten disagreement, and write "no explanation given" (འགྲེལ་བཤད་མེད།) rather than invent. The claims prompt then compresses passages into the atomic table: one verifiable fact per claim, in Tibetan; no claim without a supporting passage; conflicting positions one claim each; </w:t>
      </w:r>
      <w:r>
        <w:rPr>
          <w:b/>
          <w:bCs/>
        </w:rPr>
        <w:t xml:space="preserve">synthesis forbidden</w:t>
      </w:r>
      <w:r>
        <w:t xml:space="preserve">, so no claim may require two sources combined to reach a conclusion neither states alone; and claim type follows authority and response, not headcount, so the sole representative of a school here is a school-position, never a single-commentator.</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stage's prompt constructor passes nothing else — and citations are </w:t>
      </w:r>
      <w:r>
        <w:rPr>
          <w:b/>
          <w:bCs/>
        </w:rPr>
        <w:t xml:space="preserve">claim indices</w:t>
      </w:r>
      <w:r>
        <w:t xml:space="preserve"> into that list, with the pipeline attaching the source quotations and rendering the references, so the model never writes a reference or a URL. Code, not the model, expands each cited claim back to its passages, which is what keeps the character-for-character gate meaningful under claims-only drafting. Voice follows claim type: consensus may sit in the neutral voice, while everything below it takes mandatory in-text attribution. An optional polish pass is structurally fenced — its output is rejected by a code comparison if any citations array, heading order or paragraph count changed. The audit stage reads the draft back sentence-by-sentence against the claims table under six finding categories (added-fact, dropped-qualifier, terminology-drift, attribution-loss, wrong-claim, meaning-shift),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where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plus the raw claims files it cites (the verbatim Tibetan and block citations) plus the wikitext output contract. </w:t>
      </w:r>
      <w:r>
        <w:rPr>
          <w:i/>
          <w:iCs/>
        </w:rPr>
        <w:t xml:space="preserve">Out:</w:t>
      </w:r>
      <w:r>
        <w:t xml:space="preserve"> two files per article — the article itself, as publishable wikitext inside a fenced markdown file the reviewer can read and edit in the vault, and a citation trail: named reference → commentary → claim IDs → verbatim Tibetan → source blocks, the provenance chain of every footnote in one table, plus a per-quotation verification table. </w:t>
      </w:r>
      <w:r>
        <w:rPr>
          <w:i/>
          <w:iCs/>
        </w:rPr>
        <w:t xml:space="preserve">How:</w:t>
      </w:r>
      <w:r>
        <w:t xml:space="preserve"> before a sentence is drafted, every attestation on the consolidated page is resolved through a fixed chain (consolidated attestation → raw claim → Tibetan text + block citation); an attestation that does not resolve is dropped and logged, never guessed. Drafting then uses the page and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refused for lack of citable material. </w:t>
      </w:r>
      <w:r>
        <w:rPr>
          <w:b/>
          <w:bCs/>
        </w:rPr>
        <w:t xml:space="preserve">Numbers: 43 term articles and 23 slot articles drafted; every citation trail records openly which references still lack a public URL and which consolidated pages are still marked draft.</w:t>
      </w:r>
    </w:p>
    <w:p>
      <w:pPr>
        <w:spacing w:after="120" w:line="252"/>
        <w:jc w:val="both"/>
      </w:pPr>
      <w:r>
        <w:rPr>
          <w:b/>
          <w:bCs/>
        </w:rPr>
        <w:t xml:space="preserve">The import bridge.</w:t>
      </w:r>
      <w:r>
        <w:t xml:space="preserve"> </w:t>
      </w:r>
      <w:r>
        <w:rPr>
          <w:i/>
          <w:iCs/>
        </w:rPr>
        <w:t xml:space="preserve">In:</w:t>
      </w:r>
      <w:r>
        <w:t xml:space="preserve"> a Route B article and its hand-written citation trail. </w:t>
      </w:r>
      <w:r>
        <w:rPr>
          <w:i/>
          <w:iCs/>
        </w:rPr>
        <w:t xml:space="preserve">Out:</w:t>
      </w:r>
      <w:r>
        <w:t xml:space="preserve"> the same article in the code pipeline's own layout — machine-readable citation records, registry-joined sources, a ledger entry. </w:t>
      </w:r>
      <w:r>
        <w:rPr>
          <w:i/>
          <w:iCs/>
        </w:rPr>
        <w:t xml:space="preserve">How:</w:t>
      </w:r>
      <w:r>
        <w:t xml:space="preserve"> a fully deterministic script — it moves and reshapes, it never rewrites wikitext and never invents a citation; a citation row it cannot resolve to a registered source is reported, never guessed at. Ledger discipline is explicit: imported articles enter as </w:t>
      </w:r>
      <w:r>
        <w:rPr>
          <w:i/>
          <w:iCs/>
        </w:rPr>
        <w:t xml:space="preserve">drafted</w:t>
      </w:r>
      <w:r>
        <w:t xml:space="preserve">, never </w:t>
      </w:r>
      <w:r>
        <w:rPr>
          <w:i/>
          <w:iCs/>
        </w:rPr>
        <w:t xml:space="preserve">verified</w:t>
      </w:r>
      <w:r>
        <w:t xml:space="preserve"> — "verified" means the gate passed and the audit cleared, and neither is this script's to assert. </w:t>
      </w:r>
      <w:r>
        <w:rPr>
          <w:b/>
          <w:bCs/>
        </w:rPr>
        <w:t xml:space="preserve">42 of the batch articles are imported and batch-verified (§5.10).</w:t>
      </w:r>
    </w:p>
    <w:p>
      <w:pPr>
        <w:spacing w:after="120" w:line="252"/>
        <w:jc w:val="both"/>
      </w:pPr>
      <w:r>
        <w:rPr>
          <w:b/>
          <w:bCs/>
        </w:rPr>
        <w:t xml:space="preserve">The style-revision loop — reader feedback becoming executable rules.</w:t>
      </w:r>
      <w:r>
        <w:t xml:space="preserve"> The first native-reviewer reading of the batch (by the project's Tibetan linguist, with a Tibetan-language expert in the second round) returned six findings, three about review ergonomics and prose register — inline reference tags make the raw wikitext unreadable; statements carry more citations than they need; the articles read as stitched-together claims, a literature review rather than an encyclopedia — and three about Tibetan orthography and respect: every paragraph must close with the double shad (།།), the comma character does not exist in Tibetan and must not appear, and commentators must be named in prose by a respectful, human-curated form of their name. Every finding became a rule in a </w:t>
      </w:r>
      <w:r>
        <w:rPr>
          <w:b/>
          <w:bCs/>
        </w:rPr>
        <w:t xml:space="preserve">new versioned drafting skill</w:t>
      </w:r>
      <w:r>
        <w:t xml:space="preserve">, never an in-place edit of the shipped one: consensus statements move to plain encyclopedic voice with at most three supporting references (the full attestation list migrating to the citation trail, so nothing is lost); at most two verbatim quotations per article, spent only where exact wording is the point; the punctuation contract; and a new human-curated field on every source commentary carrying the respectful name form, which the model may only copy — never invent, translate, or upgrade an honorific. For reviewers, a small script now derives a read-only </w:t>
      </w:r>
      <w:r>
        <w:rPr>
          <w:i/>
          <w:iCs/>
        </w:rPr>
        <w:t xml:space="preserve">preview</w:t>
      </w:r>
      <w:r>
        <w:t xml:space="preserve"> of each article with citations rendered as footnote superscripts, regenerated from the article and never hand-edited. The loop is deliberately gated at pilot scale: three revised pilot articles await the linguist's approval, and the corpus-wide redraft waits on that approval — never batch-redraft ahead of the human gate.</w:t>
      </w:r>
    </w:p>
    <w:p>
      <w:pPr>
        <w:pStyle w:val="Heading2"/>
      </w:pPr>
      <w:r>
        <w:t xml:space="preserve">5.10 The deterministic verification gate</w:t>
      </w:r>
    </w:p>
    <w:p>
      <w:pPr>
        <w:spacing w:after="120" w:line="252"/>
        <w:jc w:val="both"/>
      </w:pPr>
      <w:r>
        <w:t xml:space="preserve">Last in the chain, blocking, and LLM-free. </w:t>
      </w:r>
      <w:r>
        <w:rPr>
          <w:i/>
          <w:iCs/>
        </w:rPr>
        <w:t xml:space="preserve">In:</w:t>
      </w:r>
      <w:r>
        <w:t xml:space="preserve"> a drafted article and its citation records; the source files, read through the reading view described below. </w:t>
      </w:r>
      <w:r>
        <w:rPr>
          <w:i/>
          <w:iCs/>
        </w:rPr>
        <w:t xml:space="preserve">Out:</w:t>
      </w:r>
      <w:r>
        <w:t xml:space="preserve"> a pass/fail report per quotation and per validator rule — and, in batch form, one distribution report over every drafted article instead of a per-article exit, which is right for a gate and useless for a batch.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because the letters agree while the punctuation does not, which means the article is not quoting what the file says; </w:t>
      </w:r>
      <w:r>
        <w:rPr>
          <w:b/>
          <w:bCs/>
        </w:rPr>
        <w:t xml:space="preserve">missing</w:t>
      </w:r>
      <w:r>
        <w:t xml:space="preserve"> is a failure. Reporting a fuzzy hit as success would quietly reintroduce the class of error this gate exists to catch, so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because a faithful quotation spanning a block boundary must never fail on a caret the pipeline itself wrote. Independently, every block locator is resolved: the quotation must also appear inside the specific block its citation names. A twelve-rule wikitext validator enforces the output contract, including two rules idiosyncratic to the target wiki and learned from live renders: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itself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and exactly the drift that makes a quotation no longer a quotation. A transcription error in the source is reproduced, never silently repaired; textual correction is an editorial act for the source layer. There is no bypass flag, and an audit "publish" verdict does not skip the gate.</w:t>
      </w:r>
    </w:p>
    <w:p>
      <w:pPr>
        <w:spacing w:after="120" w:line="252"/>
        <w:jc w:val="both"/>
      </w:pPr>
      <w:r>
        <w:t xml:space="preserve">Run over the full batch of 42 imported articles, the gate reports: </w:t>
      </w:r>
      <w:r>
        <w:rPr>
          <w:b/>
          <w:bCs/>
        </w:rPr>
        <w:t xml:space="preserve">861 of 882 quotations (97.6%) appear character-for-character in the commentary they cite</w:t>
      </w:r>
      <w:r>
        <w:t xml:space="preserve">; one article of 42 carries no validator error. The error mass is instructive rather than alarming: 269 of the 293 validator findings are a single reference-format mismatch between the two drafting routes — the batch route hand-writes its reference text from the raw files' metadata where the validator expects the registry-composed form — a mechanical bridge reconciliation, not fabricated citations. The genuine residue is 21 quotation misses (two of them import artifacts — English note-text that leaked into a quote field), three unsourced sections, one category error and one script error, each named per article in the batch report and owned by a fix pass, with the gate re-run as the fix's evidence.</w:t>
      </w:r>
    </w:p>
    <w:p>
      <w:pPr>
        <w:pStyle w:val="Heading2"/>
      </w:pPr>
      <w:r>
        <w:t xml:space="preserve">5.11 The review environment and the publication path</w:t>
      </w:r>
    </w:p>
    <w:p>
      <w:pPr>
        <w:spacing w:after="120" w:line="252"/>
        <w:jc w:val="both"/>
      </w:pPr>
      <w:r>
        <w:rPr>
          <w:b/>
          <w:bCs/>
        </w:rPr>
        <w:t xml:space="preserve">The vault is the review surface.</w:t>
      </w:r>
      <w:r>
        <w:t xml:space="preserve"> Sources, rails and drafted articles are plain markdown in an </w:t>
      </w:r>
      <w:r>
        <w:rPr>
          <w:b/>
          <w:bCs/>
        </w:rPr>
        <w:t xml:space="preserve">Obsidian vault</w:t>
      </w:r>
      <w:r>
        <w:t xml:space="preserve">, and that is where the human work happens — proofreading a draft, checking a citation, signing off a stage. The format is load-bearing for review rather than incidental,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Because every source block carries an Obsidian block ID, a note can transclude the block it cites (</w:t>
      </w:r>
      <w:r>
        <w:rPr>
          <w:rFonts w:ascii="Courier New" w:cs="Courier New" w:eastAsia="Courier New" w:hAnsi="Courier New"/>
          <w:sz w:val="20"/>
          <w:szCs w:val="20"/>
        </w:rPr>
        <w:t xml:space="preserve">![[…#^1-1]]</w:t>
      </w:r>
      <w:r>
        <w:rPr>
          <w:sz w:val="20"/>
          <w:szCs w:val="20"/>
        </w:rPr>
        <w:t xml:space="preserve">), so the cited Tibetan appears inline inside the note doing the citing. A reviewer checks a quotation against its source by reading down the page — not by trusting the pipeline's own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(Table 3). Nothing below </w:t>
      </w:r>
      <w:r>
        <w:rPr>
          <w:rFonts w:ascii="Courier New" w:cs="Courier New" w:eastAsia="Courier New" w:hAnsi="Courier New"/>
          <w:sz w:val="20"/>
          <w:szCs w:val="20"/>
        </w:rPr>
        <w:t xml:space="preserve">complete</w:t>
      </w:r>
      <w:r>
        <w:rPr>
          <w:sz w:val="20"/>
          <w:szCs w:val="20"/>
        </w:rPr>
        <w:t xml:space="preserve"> may be used to generate a transformation, so review state is a property the reviewer edits in the note itself, in the same pane as the content it governs.</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 — a cross-commentary view of one </w:t>
      </w:r>
      <w:r>
        <w:rPr>
          <w:i/>
          <w:iCs/>
          <w:sz w:val="20"/>
          <w:szCs w:val="20"/>
        </w:rPr>
        <w:t xml:space="preserve">sa-bcad</w:t>
      </w:r>
      <w:r>
        <w:rPr>
          <w:sz w:val="20"/>
          <w:szCs w:val="20"/>
        </w:rPr>
        <w:t xml:space="preserve"> node, assembled by the editor rather than by a query.</w:t>
      </w:r>
    </w:p>
    <w:p>
      <w:pPr>
        <w:pStyle w:val="ListParagraph"/>
        <w:numPr>
          <w:ilvl w:val="0"/>
          <w:numId w:val="2"/>
        </w:numPr>
        <w:spacing w:after="40" w:line="240"/>
      </w:pPr>
      <w:r>
        <w:rPr>
          <w:b/>
          <w:bCs/>
          <w:sz w:val="20"/>
          <w:szCs w:val="20"/>
        </w:rPr>
        <w:t xml:space="preserve">The review history is a git history.</w:t>
      </w:r>
      <w:r>
        <w:rPr>
          <w:sz w:val="20"/>
          <w:szCs w:val="20"/>
        </w:rPr>
        <w:t xml:space="preserve"> The vault is version-controlled from inside the editor, so every reviewer edit is a commit and any change can be compared against what the pipeline generated.</w:t>
      </w:r>
    </w:p>
    <w:p>
      <w:pPr>
        <w:spacing w:after="120" w:line="252"/>
        <w:jc w:val="both"/>
      </w:pPr>
      <w:r>
        <w:t xml:space="preserve">The reviewing surface is deliberately narrowed: the pipeline's own working directories are excluded from the vault's search and graph, so the reviewer sees sources, rails and articles rather than machine intermediates. Honest current state: the review queue (pending → approved → published) is defined but empty; the pilot's three articles sit at </w:t>
      </w:r>
      <w:r>
        <w:rPr>
          <w:i/>
          <w:iCs/>
        </w:rPr>
        <w:t xml:space="preserve">verified</w:t>
      </w:r>
      <w:r>
        <w:t xml:space="preserve">, one step short of </w:t>
      </w:r>
      <w:r>
        <w:rPr>
          <w:i/>
          <w:iCs/>
        </w:rPr>
        <w:t xml:space="preserve">approved</w:t>
      </w:r>
      <w:r>
        <w:t xml:space="preserve">; the 42 imported batch articles sit at </w:t>
      </w:r>
      <w:r>
        <w:rPr>
          <w:i/>
          <w:iCs/>
        </w:rPr>
        <w:t xml:space="preserve">drafted</w:t>
      </w:r>
      <w:r>
        <w:t xml:space="preserve">, awaiting the per-article audit stage; and native-speaker review has begun — its first product being the style rules of §5.9, not yet an approval.</w:t>
      </w:r>
    </w:p>
    <w:p>
      <w:pPr>
        <w:spacing w:after="120" w:line="252"/>
        <w:jc w:val="both"/>
      </w:pPr>
      <w:r>
        <w:rPr>
          <w:b/>
          <w:bCs/>
        </w:rPr>
        <w:t xml:space="preserve">Publication.</w:t>
      </w:r>
      <w:r>
        <w:t xml:space="preserve"> Nothing writes to the live wiki without an explicit --execute; dry-run is the default on every publish path, planning the edit, writing a report and touching nothing. Publication refuses any article whose ledger state is not </w:t>
      </w:r>
      <w:r>
        <w:rPr>
          <w:i/>
          <w:iCs/>
        </w:rPr>
        <w:t xml:space="preserve">verified</w:t>
      </w:r>
      <w:r>
        <w:t xml:space="preserve">, runs a pre-publication review checklist (every reference resolves; no sub-consensus position sits in the neutral voice; no sentence draws a conclusion that requires combining sources; the independent-secondary-source case is restated),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as permission, so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and an article whose quotations a reader cannot check is the failure mode this pipeline exists to prevent, so the queue holds until the registry carries checkable links.</w:t>
      </w:r>
    </w:p>
    <w:p>
      <w:pPr>
        <w:pStyle w:val="Heading2"/>
      </w:pPr>
      <w:r>
        <w:t xml:space="preserve">5.12 Execution model and provenance</w:t>
      </w:r>
    </w:p>
    <w:p>
      <w:pPr>
        <w:spacing w:after="120" w:line="252"/>
        <w:jc w:val="both"/>
      </w:pPr>
      <w:r>
        <w:t xml:space="preserve">One skill per step; immutable per-stage artifacts; and, since this run,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and a shipped prompt version is never rewritten in place. The models behind the reported runs are stated plainly (Table 6);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term registry; the pilot's three terms are explained by 5, 16 and 10 distinct commentaries. But breadth is an editorial salience signal </w:t>
      </w:r>
      <w:r>
        <w:rPr>
          <w:i/>
          <w:iCs/>
        </w:rPr>
        <w:t xml:space="preserve">within the corpus</w:t>
      </w:r>
      <w:r>
        <w:t xml:space="preserve">; it is not notability in Wikipedia's sense. A term all sixteen commentaries explain may still lack the independent secondary coverage a standalone article needs,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when a school has exactly one representative, that commentator's positions are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of this doctrine: a praise-commentary corpus generates </w:t>
      </w:r>
      <w:r>
        <w:rPr>
          <w:b/>
          <w:bCs/>
        </w:rPr>
        <w:t xml:space="preserve">no reception-contested claims at all</w:t>
      </w:r>
      <w:r>
        <w:t xml:space="preserve"> — zero of 47 in the pilot's claims tables, and no refutation signal anywhere in the 2,975-claim corpus. The genre explains and extols; it does not refute. The machinery is therefore demonstrated structurally here, not adversarially, and the </w:t>
      </w:r>
      <w:r>
        <w:rPr>
          <w:i/>
          <w:iCs/>
        </w:rPr>
        <w:t xml:space="preserve">Bodhicaryāvatāra</w:t>
      </w:r>
      <w:r>
        <w:t xml:space="preserve"> corpus already aligned behind this pipeline (7,279 spans across ten commentaries, including the textbook refutation exchanges) is where it will be demonstrated at full strength. The larger point is that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(§5.11).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(§5.10). We state the limit as plainly as the strength: a claims table is still a paraphrase of its sources, so close paraphrase remains possible in principle; the audit reads for it, the pre-publication review checks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This is a property of the registry, not of any one run.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with attestation basis, and a block-level source citation — plus sixteen spine maps and sixty-seven consolidated topic pages (Table 4), all as vault markdown, readable in the same editor the reviewers use.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4.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104"/>
        <w:gridCol w:w="789"/>
        <w:gridCol w:w="3814"/>
        <w:gridCol w:w="2893"/>
      </w:tblGrid>
      <w:tr>
        <w:trPr>
          <w:tblHeader/>
        </w:trPr>
        <w:tc>
          <w:tcPr>
            <w:tcW w:type="dxa" w:w="2104"/>
            <w:shd w:fill="E8E8E8" w:color="auto" w:val="clear"/>
          </w:tcPr>
          <w:p>
            <w:pPr>
              <w:spacing w:after="0" w:line="220"/>
            </w:pPr>
            <w:r>
              <w:rPr>
                <w:b/>
                <w:bCs/>
                <w:sz w:val="18"/>
                <w:szCs w:val="18"/>
              </w:rPr>
              <w:t xml:space="preserve">Commentary</w:t>
            </w:r>
          </w:p>
        </w:tc>
        <w:tc>
          <w:tcPr>
            <w:tcW w:type="dxa" w:w="789"/>
            <w:shd w:fill="E8E8E8" w:color="auto" w:val="clear"/>
          </w:tcPr>
          <w:p>
            <w:pPr>
              <w:spacing w:after="0" w:line="220"/>
            </w:pPr>
            <w:r>
              <w:rPr>
                <w:b/>
                <w:bCs/>
                <w:sz w:val="18"/>
                <w:szCs w:val="18"/>
              </w:rPr>
              <w:t xml:space="preserve">Claims</w:t>
            </w:r>
          </w:p>
        </w:tc>
        <w:tc>
          <w:tcPr>
            <w:tcW w:type="dxa" w:w="3814"/>
            <w:shd w:fill="E8E8E8" w:color="auto" w:val="clear"/>
          </w:tcPr>
          <w:p>
            <w:pPr>
              <w:spacing w:after="0" w:line="220"/>
            </w:pPr>
            <w:r>
              <w:rPr>
                <w:b/>
                <w:bCs/>
                <w:sz w:val="18"/>
                <w:szCs w:val="18"/>
              </w:rPr>
              <w:t xml:space="preserve">Commentary</w:t>
            </w:r>
          </w:p>
        </w:tc>
        <w:tc>
          <w:tcPr>
            <w:tcW w:type="dxa" w:w="2893"/>
            <w:shd w:fill="E8E8E8" w:color="auto" w:val="clear"/>
          </w:tcPr>
          <w:p>
            <w:pPr>
              <w:spacing w:after="0" w:line="220"/>
            </w:pPr>
            <w:r>
              <w:rPr>
                <w:b/>
                <w:bCs/>
                <w:sz w:val="18"/>
                <w:szCs w:val="18"/>
              </w:rPr>
              <w:t xml:space="preserve">Claims</w:t>
            </w:r>
          </w:p>
        </w:tc>
      </w:tr>
      <w:tr>
        <w:trPr>
          <w:tblHeader w:val="false"/>
        </w:trPr>
        <w:tc>
          <w:tcPr>
            <w:tcW w:type="dxa" w:w="2104"/>
          </w:tcPr>
          <w:p>
            <w:pPr>
              <w:spacing w:after="0" w:line="220"/>
            </w:pPr>
            <w:r>
              <w:rPr>
                <w:sz w:val="18"/>
                <w:szCs w:val="18"/>
              </w:rPr>
              <w:t xml:space="preserve">taranatha</w:t>
            </w:r>
          </w:p>
        </w:tc>
        <w:tc>
          <w:tcPr>
            <w:tcW w:type="dxa" w:w="789"/>
          </w:tcPr>
          <w:p>
            <w:pPr>
              <w:spacing w:after="0" w:line="220"/>
            </w:pPr>
            <w:r>
              <w:rPr>
                <w:sz w:val="18"/>
                <w:szCs w:val="18"/>
              </w:rPr>
              <w:t xml:space="preserve">368</w:t>
            </w:r>
          </w:p>
        </w:tc>
        <w:tc>
          <w:tcPr>
            <w:tcW w:type="dxa" w:w="3814"/>
          </w:tcPr>
          <w:p>
            <w:pPr>
              <w:spacing w:after="0" w:line="220"/>
            </w:pPr>
            <w:r>
              <w:rPr>
                <w:sz w:val="18"/>
                <w:szCs w:val="18"/>
              </w:rPr>
              <w:t xml:space="preserve">gendun-drub</w:t>
            </w:r>
          </w:p>
        </w:tc>
        <w:tc>
          <w:tcPr>
            <w:tcW w:type="dxa" w:w="2893"/>
          </w:tcPr>
          <w:p>
            <w:pPr>
              <w:spacing w:after="0" w:line="220"/>
            </w:pPr>
            <w:r>
              <w:rPr>
                <w:sz w:val="18"/>
                <w:szCs w:val="18"/>
              </w:rPr>
              <w:t xml:space="preserve">131</w:t>
            </w:r>
          </w:p>
        </w:tc>
      </w:tr>
      <w:tr>
        <w:trPr>
          <w:tblHeader w:val="false"/>
        </w:trPr>
        <w:tc>
          <w:tcPr>
            <w:tcW w:type="dxa" w:w="2104"/>
          </w:tcPr>
          <w:p>
            <w:pPr>
              <w:spacing w:after="0" w:line="220"/>
            </w:pPr>
            <w:r>
              <w:rPr>
                <w:sz w:val="18"/>
                <w:szCs w:val="18"/>
              </w:rPr>
              <w:t xml:space="preserve">tsultrim-namdak</w:t>
            </w:r>
          </w:p>
        </w:tc>
        <w:tc>
          <w:tcPr>
            <w:tcW w:type="dxa" w:w="789"/>
          </w:tcPr>
          <w:p>
            <w:pPr>
              <w:spacing w:after="0" w:line="220"/>
            </w:pPr>
            <w:r>
              <w:rPr>
                <w:sz w:val="18"/>
                <w:szCs w:val="18"/>
              </w:rPr>
              <w:t xml:space="preserve">329</w:t>
            </w:r>
          </w:p>
        </w:tc>
        <w:tc>
          <w:tcPr>
            <w:tcW w:type="dxa" w:w="3814"/>
          </w:tcPr>
          <w:p>
            <w:pPr>
              <w:spacing w:after="0" w:line="220"/>
            </w:pPr>
            <w:r>
              <w:rPr>
                <w:sz w:val="18"/>
                <w:szCs w:val="18"/>
              </w:rPr>
              <w:t xml:space="preserve">konchok-thabkhe</w:t>
            </w:r>
          </w:p>
        </w:tc>
        <w:tc>
          <w:tcPr>
            <w:tcW w:type="dxa" w:w="2893"/>
          </w:tcPr>
          <w:p>
            <w:pPr>
              <w:spacing w:after="0" w:line="220"/>
            </w:pPr>
            <w:r>
              <w:rPr>
                <w:sz w:val="18"/>
                <w:szCs w:val="18"/>
              </w:rPr>
              <w:t xml:space="preserve">132</w:t>
            </w:r>
          </w:p>
        </w:tc>
      </w:tr>
      <w:tr>
        <w:trPr>
          <w:tblHeader w:val="false"/>
        </w:trPr>
        <w:tc>
          <w:tcPr>
            <w:tcW w:type="dxa" w:w="2104"/>
          </w:tcPr>
          <w:p>
            <w:pPr>
              <w:spacing w:after="0" w:line="220"/>
            </w:pPr>
            <w:r>
              <w:rPr>
                <w:sz w:val="18"/>
                <w:szCs w:val="18"/>
              </w:rPr>
              <w:t xml:space="preserve">tenzin-dhonzang</w:t>
            </w:r>
          </w:p>
        </w:tc>
        <w:tc>
          <w:tcPr>
            <w:tcW w:type="dxa" w:w="789"/>
          </w:tcPr>
          <w:p>
            <w:pPr>
              <w:spacing w:after="0" w:line="220"/>
            </w:pPr>
            <w:r>
              <w:rPr>
                <w:sz w:val="18"/>
                <w:szCs w:val="18"/>
              </w:rPr>
              <w:t xml:space="preserve">327</w:t>
            </w:r>
          </w:p>
        </w:tc>
        <w:tc>
          <w:tcPr>
            <w:tcW w:type="dxa" w:w="3814"/>
          </w:tcPr>
          <w:p>
            <w:pPr>
              <w:spacing w:after="0" w:line="220"/>
            </w:pPr>
            <w:r>
              <w:rPr>
                <w:sz w:val="18"/>
                <w:szCs w:val="18"/>
              </w:rPr>
              <w:t xml:space="preserve">sangye-nyentrul</w:t>
            </w:r>
          </w:p>
        </w:tc>
        <w:tc>
          <w:tcPr>
            <w:tcW w:type="dxa" w:w="2893"/>
          </w:tcPr>
          <w:p>
            <w:pPr>
              <w:spacing w:after="0" w:line="220"/>
            </w:pPr>
            <w:r>
              <w:rPr>
                <w:sz w:val="18"/>
                <w:szCs w:val="18"/>
              </w:rPr>
              <w:t xml:space="preserve">125</w:t>
            </w:r>
          </w:p>
        </w:tc>
      </w:tr>
      <w:tr>
        <w:trPr>
          <w:tblHeader w:val="false"/>
        </w:trPr>
        <w:tc>
          <w:tcPr>
            <w:tcW w:type="dxa" w:w="2104"/>
          </w:tcPr>
          <w:p>
            <w:pPr>
              <w:spacing w:after="0" w:line="220"/>
            </w:pPr>
            <w:r>
              <w:rPr>
                <w:sz w:val="18"/>
                <w:szCs w:val="18"/>
              </w:rPr>
              <w:t xml:space="preserve">palden-sherab</w:t>
            </w:r>
          </w:p>
        </w:tc>
        <w:tc>
          <w:tcPr>
            <w:tcW w:type="dxa" w:w="789"/>
          </w:tcPr>
          <w:p>
            <w:pPr>
              <w:spacing w:after="0" w:line="220"/>
            </w:pPr>
            <w:r>
              <w:rPr>
                <w:sz w:val="18"/>
                <w:szCs w:val="18"/>
              </w:rPr>
              <w:t xml:space="preserve">282</w:t>
            </w:r>
          </w:p>
        </w:tc>
        <w:tc>
          <w:tcPr>
            <w:tcW w:type="dxa" w:w="3814"/>
          </w:tcPr>
          <w:p>
            <w:pPr>
              <w:spacing w:after="0" w:line="220"/>
            </w:pPr>
            <w:r>
              <w:rPr>
                <w:sz w:val="18"/>
                <w:szCs w:val="18"/>
              </w:rPr>
              <w:t xml:space="preserve">pema-namgyal</w:t>
            </w:r>
          </w:p>
        </w:tc>
        <w:tc>
          <w:tcPr>
            <w:tcW w:type="dxa" w:w="2893"/>
          </w:tcPr>
          <w:p>
            <w:pPr>
              <w:spacing w:after="0" w:line="220"/>
            </w:pPr>
            <w:r>
              <w:rPr>
                <w:sz w:val="18"/>
                <w:szCs w:val="18"/>
              </w:rPr>
              <w:t xml:space="preserve">104</w:t>
            </w:r>
          </w:p>
        </w:tc>
      </w:tr>
      <w:tr>
        <w:trPr>
          <w:tblHeader w:val="false"/>
        </w:trPr>
        <w:tc>
          <w:tcPr>
            <w:tcW w:type="dxa" w:w="2104"/>
          </w:tcPr>
          <w:p>
            <w:pPr>
              <w:spacing w:after="0" w:line="220"/>
            </w:pPr>
            <w:r>
              <w:rPr>
                <w:sz w:val="18"/>
                <w:szCs w:val="18"/>
              </w:rPr>
              <w:t xml:space="preserve">anon-trinle-char</w:t>
            </w:r>
          </w:p>
        </w:tc>
        <w:tc>
          <w:tcPr>
            <w:tcW w:type="dxa" w:w="789"/>
          </w:tcPr>
          <w:p>
            <w:pPr>
              <w:spacing w:after="0" w:line="220"/>
            </w:pPr>
            <w:r>
              <w:rPr>
                <w:sz w:val="18"/>
                <w:szCs w:val="18"/>
              </w:rPr>
              <w:t xml:space="preserve">258</w:t>
            </w:r>
          </w:p>
        </w:tc>
        <w:tc>
          <w:tcPr>
            <w:tcW w:type="dxa" w:w="3814"/>
          </w:tcPr>
          <w:p>
            <w:pPr>
              <w:spacing w:after="0" w:line="220"/>
            </w:pPr>
            <w:r>
              <w:rPr>
                <w:sz w:val="18"/>
                <w:szCs w:val="18"/>
              </w:rPr>
              <w:t xml:space="preserve">lobsang-dawa</w:t>
            </w:r>
          </w:p>
        </w:tc>
        <w:tc>
          <w:tcPr>
            <w:tcW w:type="dxa" w:w="2893"/>
          </w:tcPr>
          <w:p>
            <w:pPr>
              <w:spacing w:after="0" w:line="220"/>
            </w:pPr>
            <w:r>
              <w:rPr>
                <w:sz w:val="18"/>
                <w:szCs w:val="18"/>
              </w:rPr>
              <w:t xml:space="preserve">87</w:t>
            </w:r>
          </w:p>
        </w:tc>
      </w:tr>
      <w:tr>
        <w:trPr>
          <w:tblHeader w:val="false"/>
        </w:trPr>
        <w:tc>
          <w:tcPr>
            <w:tcW w:type="dxa" w:w="2104"/>
          </w:tcPr>
          <w:p>
            <w:pPr>
              <w:spacing w:after="0" w:line="220"/>
            </w:pPr>
            <w:r>
              <w:rPr>
                <w:sz w:val="18"/>
                <w:szCs w:val="18"/>
              </w:rPr>
              <w:t xml:space="preserve">karma-maitri</w:t>
            </w:r>
          </w:p>
        </w:tc>
        <w:tc>
          <w:tcPr>
            <w:tcW w:type="dxa" w:w="789"/>
          </w:tcPr>
          <w:p>
            <w:pPr>
              <w:spacing w:after="0" w:line="220"/>
            </w:pPr>
            <w:r>
              <w:rPr>
                <w:sz w:val="18"/>
                <w:szCs w:val="18"/>
              </w:rPr>
              <w:t xml:space="preserve">163</w:t>
            </w:r>
          </w:p>
        </w:tc>
        <w:tc>
          <w:tcPr>
            <w:tcW w:type="dxa" w:w="3814"/>
          </w:tcPr>
          <w:p>
            <w:pPr>
              <w:spacing w:after="0" w:line="220"/>
            </w:pPr>
            <w:r>
              <w:rPr>
                <w:sz w:val="18"/>
                <w:szCs w:val="18"/>
              </w:rPr>
              <w:t xml:space="preserve">gendun-gyatso</w:t>
            </w:r>
          </w:p>
        </w:tc>
        <w:tc>
          <w:tcPr>
            <w:tcW w:type="dxa" w:w="2893"/>
          </w:tcPr>
          <w:p>
            <w:pPr>
              <w:spacing w:after="0" w:line="220"/>
            </w:pPr>
            <w:r>
              <w:rPr>
                <w:sz w:val="18"/>
                <w:szCs w:val="18"/>
              </w:rPr>
              <w:t xml:space="preserve">62</w:t>
            </w:r>
          </w:p>
        </w:tc>
      </w:tr>
      <w:tr>
        <w:trPr>
          <w:tblHeader w:val="false"/>
        </w:trPr>
        <w:tc>
          <w:tcPr>
            <w:tcW w:type="dxa" w:w="2104"/>
          </w:tcPr>
          <w:p>
            <w:pPr>
              <w:spacing w:after="0" w:line="220"/>
            </w:pPr>
            <w:r>
              <w:rPr>
                <w:sz w:val="18"/>
                <w:szCs w:val="18"/>
              </w:rPr>
              <w:t xml:space="preserve">sungrab-tulku</w:t>
            </w:r>
          </w:p>
        </w:tc>
        <w:tc>
          <w:tcPr>
            <w:tcW w:type="dxa" w:w="789"/>
          </w:tcPr>
          <w:p>
            <w:pPr>
              <w:spacing w:after="0" w:line="220"/>
            </w:pPr>
            <w:r>
              <w:rPr>
                <w:sz w:val="18"/>
                <w:szCs w:val="18"/>
              </w:rPr>
              <w:t xml:space="preserve">160</w:t>
            </w:r>
          </w:p>
        </w:tc>
        <w:tc>
          <w:tcPr>
            <w:tcW w:type="dxa" w:w="3814"/>
          </w:tcPr>
          <w:p>
            <w:pPr>
              <w:spacing w:after="0" w:line="220"/>
            </w:pPr>
            <w:r>
              <w:rPr>
                <w:sz w:val="18"/>
                <w:szCs w:val="18"/>
              </w:rPr>
              <w:t xml:space="preserve">Total claims</w:t>
            </w:r>
          </w:p>
        </w:tc>
        <w:tc>
          <w:tcPr>
            <w:tcW w:type="dxa" w:w="2893"/>
          </w:tcPr>
          <w:p>
            <w:pPr>
              <w:spacing w:after="0" w:line="220"/>
            </w:pPr>
            <w:r>
              <w:rPr>
                <w:sz w:val="18"/>
                <w:szCs w:val="18"/>
              </w:rPr>
              <w:t xml:space="preserve">2,975</w:t>
            </w:r>
          </w:p>
        </w:tc>
      </w:tr>
      <w:tr>
        <w:trPr>
          <w:tblHeader w:val="false"/>
        </w:trPr>
        <w:tc>
          <w:tcPr>
            <w:tcW w:type="dxa" w:w="2104"/>
          </w:tcPr>
          <w:p>
            <w:pPr>
              <w:spacing w:after="0" w:line="220"/>
            </w:pPr>
            <w:r>
              <w:rPr>
                <w:sz w:val="18"/>
                <w:szCs w:val="18"/>
              </w:rPr>
              <w:t xml:space="preserve">tenga-tulku</w:t>
            </w:r>
          </w:p>
        </w:tc>
        <w:tc>
          <w:tcPr>
            <w:tcW w:type="dxa" w:w="789"/>
          </w:tcPr>
          <w:p>
            <w:pPr>
              <w:spacing w:after="0" w:line="220"/>
            </w:pPr>
            <w:r>
              <w:rPr>
                <w:sz w:val="18"/>
                <w:szCs w:val="18"/>
              </w:rPr>
              <w:t xml:space="preserve">157</w:t>
            </w:r>
          </w:p>
        </w:tc>
        <w:tc>
          <w:tcPr>
            <w:tcW w:type="dxa" w:w="3814"/>
          </w:tcPr>
          <w:p>
            <w:pPr>
              <w:spacing w:after="0" w:line="220"/>
            </w:pPr>
            <w:r>
              <w:rPr>
                <w:sz w:val="18"/>
                <w:szCs w:val="18"/>
              </w:rPr>
              <w:t xml:space="preserve">Spine maps</w:t>
            </w:r>
          </w:p>
        </w:tc>
        <w:tc>
          <w:tcPr>
            <w:tcW w:type="dxa" w:w="2893"/>
          </w:tcPr>
          <w:p>
            <w:pPr>
              <w:spacing w:after="0" w:line="220"/>
            </w:pPr>
            <w:r>
              <w:rPr>
                <w:sz w:val="18"/>
                <w:szCs w:val="18"/>
              </w:rPr>
              <w:t xml:space="preserve">16</w:t>
            </w:r>
          </w:p>
        </w:tc>
      </w:tr>
      <w:tr>
        <w:trPr>
          <w:tblHeader w:val="false"/>
        </w:trPr>
        <w:tc>
          <w:tcPr>
            <w:tcW w:type="dxa" w:w="2104"/>
          </w:tcPr>
          <w:p>
            <w:pPr>
              <w:spacing w:after="0" w:line="220"/>
            </w:pPr>
            <w:r>
              <w:rPr>
                <w:sz w:val="18"/>
                <w:szCs w:val="18"/>
              </w:rPr>
              <w:t xml:space="preserve">anon-utpala</w:t>
            </w:r>
          </w:p>
        </w:tc>
        <w:tc>
          <w:tcPr>
            <w:tcW w:type="dxa" w:w="789"/>
          </w:tcPr>
          <w:p>
            <w:pPr>
              <w:spacing w:after="0" w:line="220"/>
            </w:pPr>
            <w:r>
              <w:rPr>
                <w:sz w:val="18"/>
                <w:szCs w:val="18"/>
              </w:rPr>
              <w:t xml:space="preserve">148</w:t>
            </w:r>
          </w:p>
        </w:tc>
        <w:tc>
          <w:tcPr>
            <w:tcW w:type="dxa" w:w="3814"/>
          </w:tcPr>
          <w:p>
            <w:pPr>
              <w:spacing w:after="0" w:line="220"/>
            </w:pPr>
            <w:r>
              <w:rPr>
                <w:sz w:val="18"/>
                <w:szCs w:val="18"/>
              </w:rPr>
              <w:t xml:space="preserve">Consolidated topic pages</w:t>
            </w:r>
          </w:p>
        </w:tc>
        <w:tc>
          <w:tcPr>
            <w:tcW w:type="dxa" w:w="2893"/>
          </w:tcPr>
          <w:p>
            <w:pPr>
              <w:spacing w:after="0" w:line="220"/>
            </w:pPr>
            <w:r>
              <w:rPr>
                <w:sz w:val="18"/>
                <w:szCs w:val="18"/>
              </w:rPr>
              <w:t xml:space="preserve">24 slot + 43 term = 67</w:t>
            </w:r>
          </w:p>
        </w:tc>
      </w:tr>
      <w:tr>
        <w:trPr>
          <w:tblHeader w:val="false"/>
        </w:trPr>
        <w:tc>
          <w:tcPr>
            <w:tcW w:type="dxa" w:w="2104"/>
          </w:tcPr>
          <w:p>
            <w:pPr>
              <w:spacing w:after="0" w:line="220"/>
            </w:pPr>
            <w:r>
              <w:rPr>
                <w:sz w:val="18"/>
                <w:szCs w:val="18"/>
              </w:rPr>
              <w:t xml:space="preserve">drakpa-gyaltsen</w:t>
            </w:r>
          </w:p>
        </w:tc>
        <w:tc>
          <w:tcPr>
            <w:tcW w:type="dxa" w:w="789"/>
          </w:tcPr>
          <w:p>
            <w:pPr>
              <w:spacing w:after="0" w:line="220"/>
            </w:pPr>
            <w:r>
              <w:rPr>
                <w:sz w:val="18"/>
                <w:szCs w:val="18"/>
              </w:rPr>
              <w:t xml:space="preserve">142</w:t>
            </w:r>
          </w:p>
        </w:tc>
        <w:tc>
          <w:tcPr>
            <w:tcW w:type="dxa" w:w="3814"/>
          </w:tcPr>
          <w:p>
            <w:pPr>
              <w:spacing w:after="0" w:line="220"/>
            </w:pPr>
            <w:r>
              <w:rPr>
                <w:sz w:val="18"/>
                <w:szCs w:val="18"/>
              </w:rPr>
              <w:t xml:space="preserve">Drafted articles (two routes)</w:t>
            </w:r>
          </w:p>
        </w:tc>
        <w:tc>
          <w:tcPr>
            <w:tcW w:type="dxa" w:w="2893"/>
          </w:tcPr>
          <w:p>
            <w:pPr>
              <w:spacing w:after="0" w:line="220"/>
            </w:pPr>
            <w:r>
              <w:rPr>
                <w:sz w:val="18"/>
                <w:szCs w:val="18"/>
              </w:rPr>
              <w:t xml:space="preserve">3 + 66</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The result is reproducible in the strict sense: the corpus was rebuilt from the raw upload on a second machine and the verification reports came back identical. Across the batch's 42 imported articles the same gate reports </w:t>
      </w:r>
      <w:r>
        <w:rPr>
          <w:b/>
          <w:bCs/>
        </w:rPr>
        <w:t xml:space="preserve">861 of 882 quotations (97.6%) character-for-character exact</w:t>
      </w:r>
      <w:r>
        <w:t xml:space="preserve"> — a pre-fix-pass distribution, each of the 21 misses enumerated per article in the batch report (two are import artifacts rather than model errors), where the pilot's 100% is the post-fix state the batch is being walked toward. This measures a different thing than the statement-support rates reported for English-language systems — WikiCrow's 86.1% citation precision is a rater's judgment that a source supports a statement; ours is character-level identity of the quoted evidence. The gate proves the quoted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5).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5.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any honest report. The auditor shows round-to-round variance — re-auditing the fixed articles three times each gave pass rates of 0.67, 0.67 and 1.0 — which is why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Every one of 418 unique citations across three consolidated topic pages was re-checked by a fresh context: </w:t>
      </w:r>
      <w:r>
        <w:rPr>
          <w:b/>
          <w:bCs/>
        </w:rPr>
        <w:t xml:space="preserve">zero fabricated claim IDs; 1 critical, 1 moderate, ~16 minor findings</w:t>
      </w:r>
      <w:r>
        <w:t xml:space="preserve"> (§5.8), a taxonomy converted wholesale into eight executable rules and two standing gates. Attribution integrity in the pilot articles: of 34 sub-consensus claims, attribution survived on all but the two cases in Table 5,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Alignment offered 18k, 41k and 165k characters of commentary for the three pilot terms; extraction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not rhetorical — batch the question smaller rather than shout louder in the prompt. Everything downstream is tight: 100% of extracted quotes character-exact at extract time, 100% of passages used by at least one claim, zero claims dropped at parse, 100% of claims placed by the outline and cited in the draft.</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0 majority-with-dissent) → 81 rendered citations, drawing on 5, 16 and 10 distinct commentaries respectively and citing all 16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all below the 1,500 target, a known extraction-volume limitation under active tuning.</w:t>
      </w:r>
    </w:p>
    <w:p>
      <w:pPr>
        <w:spacing w:after="120" w:line="252"/>
        <w:jc w:val="both"/>
      </w:pPr>
      <w:r>
        <w:rPr>
          <w:b/>
          <w:bCs/>
        </w:rPr>
        <w:t xml:space="preserve">Pipeline statistics (batch, on disk).</w:t>
      </w:r>
      <w:r>
        <w:t xml:space="preserve"> The subject funnel of §5.4 ran end to end: 367 Tibetan terms → 114 past the viability gate → 44 standalone subjects (25 update / 19 create against the live wiki). From the 67 consolidated pages, </w:t>
      </w:r>
      <w:r>
        <w:rPr>
          <w:b/>
          <w:bCs/>
        </w:rPr>
        <w:t xml:space="preserve">43 term articles and 23 slot articles were drafted; one subject was refused for lack of citable claims</w:t>
      </w:r>
      <w:r>
        <w:t xml:space="preserve"> — the refusal itself evidence that the claims-only rule binds. 42 articles are imported into the code pipeline and batch-verified (the fidelity distribution above; one article of 42 validator-clean, with 269 of 293 validator findings a single mechanical reference-format mismatch between the two drafting routes). The per-article audit stage and the second consolidation gate have run over only part of the batch — and where the consolidation audit ran, it found four critical meaning-level defects on pages whose quotations were all character-perfect (§5.8), which is the batch's own confirmation of RQ2. The native-reviewer loop is mid-flight: three style-revised pilot articles await linguist approval before the corpus-wide redraft. Batch audit pass rates, reviewer-minutes, and rubric ratings remain </w:t>
      </w:r>
      <w:r>
        <w:rPr>
          <w:b/>
          <w:bCs/>
        </w:rPr>
        <w:t xml:space="preserve">[TO FILL]</w:t>
      </w:r>
      <w:r>
        <w:t xml:space="preserve">.</w:t>
      </w:r>
    </w:p>
    <w:p>
      <w:pPr>
        <w:spacing w:after="120" w:line="252"/>
        <w:jc w:val="both"/>
      </w:pPr>
      <w:r>
        <w:rPr>
          <w:i/>
          <w:iCs/>
        </w:rPr>
        <w:t xml:space="preserve">Table 6.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building the pipeline and bringing a corpus into it is skilled up-front engineering that amortizes across every article and corpus, where manual writing has no fixed-cost term to amortize.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Batch audit pass rates (the per-article audit stage over the 42 imported articles, and the second consolidation gate over the remaining topic pages); native-speaker rating by three named raters on a seven-dimension rubric, with an AIS-style statement-support audit on a stratified sample; reviewer-minutes against a from-scratch writing-time control by the same editors, which is the RQ3 number; a </w:t>
      </w:r>
      <w:r>
        <w:rPr>
          <w:b/>
          <w:bCs/>
        </w:rPr>
        <w:t xml:space="preserve">zero-shot baseline ablation</w:t>
      </w:r>
      <w:r>
        <w:t xml:space="preserve"> drafting the same three terms with no pipeline and auditing identically, the cheapest honest way to quantify what the machinery buys; a </w:t>
      </w:r>
      <w:r>
        <w:rPr>
          <w:b/>
          <w:bCs/>
        </w:rPr>
        <w:t xml:space="preserve">guardrail before/after</w:t>
      </w:r>
      <w:r>
        <w:t xml:space="preserve">, both consolidation gates re-run over the topic pages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verification deterministic where possible and adversarial where not,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rather than something the pipeline improvises. The model asymmetry in Tibetan is real and measured (§8's extraction-capture cliff), and both drafting and auditing ride on models trained mostly on other languages — the cyclical argument of §1, felt from inside the pipeline. The artifacts record their own defects, and we repeat them rather than hide them: the corpus exists in two annotated copies; the batch's articles were drafted from consolidated pages still marked draft, with the responsible human accepting that risk explicitly and per-article warnings recording it; no citation yet carries a public URL, so no quotation is reader-checkable online — the single largest pre-publication debt; the second consolidation gate has run over only part of the batch, and where it ran it found critical meaning-level defects behind character-perfect quotes, so it is not skippable; most drafted articles still carry the pre-review prose register and old-form author names, awaiting the gated corpus-wide redraft; one tree's line pointers drifted after a post-QC re-stamp; the two superseded extraction methods have no surviving outputs, so that comparison cannot be re-run; claim-level judgments are not yet human-validated;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aligned over the </w:t>
      </w:r>
      <w:r>
        <w:rPr>
          <w:i/>
          <w:iCs/>
        </w:rPr>
        <w:t xml:space="preserve">Bodhicaryāvatāra</w:t>
      </w:r>
      <w:r>
        <w:t xml:space="preserve"> (ten commentaries, 7,279 spans),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segmentation behind a no-loss assertion; structure extracted in isolated passes and gated by two deterministic checkers; claims extracted node-by-node under five measured guards; routing separated from interpretation; questions generated rather than authored; consolidation audited twice, once by script and once by an adversarial fresh context; articles drafted from claims alone; a character-exact gate no model verdict can waive; native-reviewer feedback versioned into the drafting rules themselves rather than left as advice; and a human hand, working in the corpus itself, on the only switch that publishes. The per-article artifacts are small; the machine they came from is not — a reusable editorial system whose every safeguard is a testable invariant, and a growing claims database over the commentarial tradition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recording what it derives from and why it changed), the wikitext validator and the verification reports are maintained in the project repository; the corpus rebuild is scripted, and was reproduced byte for byte on a second machine as part of the reported review.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a human being the publisher rather than a reviewer of last resort;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2026-08-19T07:01:36.199Z</dcterms:created>
  <dcterms:modified xsi:type="dcterms:W3CDTF">2026-08-19T07:01:36.200Z</dcterms:modified>
</cp:coreProperties>
</file>

<file path=docProps/custom.xml><?xml version="1.0" encoding="utf-8"?>
<Properties xmlns="http://schemas.openxmlformats.org/officeDocument/2006/custom-properties" xmlns:vt="http://schemas.openxmlformats.org/officeDocument/2006/docPropsVTypes"/>
</file>