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如是我聞：一時，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世尊在王舍城，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與一切眷屬大眾俱。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爾時，金剛幢菩薩在會中，從座而起，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「世尊！具足何法，是般若波羅蜜多？」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「金剛幢！當具足四法。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云何為四？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謂：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應修諸法性空；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應知諸行無常、知苦；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應修具足離諸戲論法性；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應於一切中，修無分別，知一切法，皆不可得。」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「復次，若具四法，是般若生因。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云何為四？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初者、依止說法補特伽羅，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二者、聞其［所說］正法，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三者、［既聞所說，］趣入其義，篤行思惟，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四者、復能立志如理為他宣說。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是為般若生因。」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「復次，善男子！諸菩薩應知：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一切法自性清淨，故其性空、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無我、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無實，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本性無相，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無縛無解，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無隱無顯，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是故諸菩薩應學般若波羅蜜多，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應以一切法無生無住理趣，學般若波羅蜜多。」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世尊告言：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「應修無實有，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信般若生因，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應離一切相，是學般若義。」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金剛幢菩薩及天、人、非天、乾闥婆等世間［大眾］，皆大歡喜，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聖般若波羅蜜多金剛幢大乘經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