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頂禮一切佛菩薩。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世尊在王舍城。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爾時金剛手菩薩在眷屬中，從座而起，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白世尊言：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「世尊！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菩薩應云何學般若波羅蜜多？」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世尊告曰：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「金剛手！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菩薩應如是學般若波羅蜜多，謂：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應以一切法無生，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學般若波羅蜜多；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復次，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應以色等諸法無自性、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無相、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離實有、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不可得，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學般若波羅蜜多；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應以內空、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無法空故，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學般若波羅蜜多。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金剛手！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般若波羅蜜多是三世諸佛之母，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其大明咒句如是：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嗡．牟尼．牟尼．摩訶牟那耶．莎訶。Om muni muni mahāmunaye svāhā.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「若人受持此般若波羅蜜多，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即受持三世諸佛之法，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彼能自憶宿命，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斷諸無暇，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得無量福果，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常與諸佛世尊同共止住，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具菩提心。」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金剛手菩薩及天、人、非天、乾闥婆等世間大眾，皆大歡喜，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於世尊所說，稱揚讚歎。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般若波羅蜜多金剛手大乘經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