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commentary-fact-check Skill — Detection Benchmark</w:t>
      </w:r>
    </w:p>
    <w:p>
      <w:pPr>
        <w:spacing w:after="60"/>
      </w:pPr>
      <w:r>
        <w:rPr>
          <w:rFonts w:ascii="Calibri" w:cs="Calibri" w:eastAsia="Calibri" w:hAnsi="Calibri"/>
          <w:i/>
          <w:iCs/>
          <w:sz w:val="22"/>
          <w:szCs w:val="22"/>
        </w:rPr>
        <w:t xml:space="preserve">Padmakara (2006) translation, Chapter 1 (verses 1-1 to 1-36) vs. Khenpo Zhenga's commentary (BCAC19_KS_bo.md)</w:t>
      </w:r>
    </w:p>
    <w:p>
      <w:pPr>
        <w:spacing w:after="160"/>
      </w:pPr>
      <w:r>
        <w:rPr>
          <w:rFonts w:ascii="Calibri" w:cs="Calibri" w:eastAsia="Calibri" w:hAnsi="Calibri"/>
          <w:i/>
          <w:iCs/>
          <w:color w:val="555555"/>
          <w:sz w:val="20"/>
          <w:szCs w:val="20"/>
        </w:rPr>
        <w:t xml:space="preserve">Prepared for Monlam — August 10, 2026</w:t>
      </w:r>
    </w:p>
    <w:p>
      <w:pPr>
        <w:pStyle w:val="Heading1"/>
        <w:spacing w:after="150" w:before="300"/>
      </w:pPr>
      <w:r>
        <w:t xml:space="preserve">1. Purpose</w:t>
      </w:r>
    </w:p>
    <w:p>
      <w:pPr>
        <w:spacing w:after="160"/>
      </w:pPr>
      <w:r>
        <w:rPr>
          <w:rFonts w:ascii="Calibri" w:cs="Calibri" w:eastAsia="Calibri" w:hAnsi="Calibri"/>
          <w:sz w:val="22"/>
          <w:szCs w:val="22"/>
        </w:rPr>
        <w:t xml:space="preserve">This benchmark tests whether the vault's commentary-fact-check skill actually catches the class of errors it was designed for — fluent English that quietly names the wrong referent (wrong body/mind/dharma, wrong named entity, wrong number, wrong simile target, wrong agent, wrong enumeration order) — rather than assuming its documented method works as described. The method is fault injection: a set of English lines with known, deliberately planted errors is run through the skill's normal procedure, and the skill's output is scored against an answer key it never saw.</w:t>
      </w:r>
    </w:p>
    <w:p>
      <w:pPr>
        <w:pStyle w:val="Heading1"/>
        <w:spacing w:after="150" w:before="300"/>
      </w:pPr>
      <w:r>
        <w:t xml:space="preserve">2. Methodology</w:t>
      </w:r>
    </w:p>
    <w:p>
      <w:pPr>
        <w:pStyle w:val="Heading2"/>
        <w:spacing w:after="120" w:before="250"/>
      </w:pPr>
      <w:r>
        <w:t xml:space="preserve">2.1 Test corpus</w:t>
      </w:r>
    </w:p>
    <w:p>
      <w:pPr>
        <w:spacing w:after="160"/>
      </w:pPr>
      <w:r>
        <w:rPr>
          <w:rFonts w:ascii="Calibri" w:cs="Calibri" w:eastAsia="Calibri" w:hAnsi="Calibri"/>
          <w:sz w:val="22"/>
          <w:szCs w:val="22"/>
        </w:rPr>
        <w:t xml:space="preserve">Chapter 1 of the Padmakara (2006) English translation (36 verses) was checked against Khenpo Zhenga's Tibetan commentary (BCAC19_KS_bo.md), which has full verse-by-verse coverage of this chapter (36 transclusions, 0 empty extraction buckets). Twenty errors were deliberately injected into the English, each anchored to a term the commentary itself explicitly glosses — so every injected case falls squarely inside the skill's stated scope, and any miss is a genuine detection failure rather than an out-of-scope complaint. The 20 cases were distributed across all seven error categories named in the skill's own documentation, plus one adjacent “wrong body-part referent” case. Five verses were left completely unmodified as formal negative controls; a further thirteen verses in the chapter were also untouched incidentally, giving 18 untouched verses in total against which to measure false positives.</w:t>
      </w:r>
    </w:p>
    <w:p>
      <w:pPr>
        <w:spacing w:after="160"/>
      </w:pPr>
      <w:r>
        <w:rPr>
          <w:rFonts w:ascii="Calibri" w:cs="Calibri" w:eastAsia="Calibri" w:hAnsi="Calibri"/>
          <w:sz w:val="22"/>
          <w:szCs w:val="22"/>
        </w:rPr>
        <w:t xml:space="preserve">Two independent instances of the correct wording were deliberately chosen to mirror the skill's own worked examples verbatim — the “dharmakāya → dharma” case (kāya/dharma/mind) and the “lightning reveals forms, not the sky” case (simile tenor) — as a sanity check that the method catches the textbook case it was written around, plus the “virtue / friend / merit” enumeration example.</w:t>
      </w:r>
    </w:p>
    <w:p>
      <w:pPr>
        <w:pStyle w:val="Heading2"/>
        <w:spacing w:after="120" w:before="250"/>
      </w:pPr>
      <w:r>
        <w:t xml:space="preserve">2.2 A format-compatibility issue, found and worked around</w:t>
      </w:r>
    </w:p>
    <w:p>
      <w:pPr>
        <w:spacing w:after="160"/>
      </w:pPr>
      <w:r>
        <w:rPr>
          <w:rFonts w:ascii="Calibri" w:cs="Calibri" w:eastAsia="Calibri" w:hAnsi="Calibri"/>
          <w:sz w:val="22"/>
          <w:szCs w:val="22"/>
        </w:rPr>
        <w:t xml:space="preserve">Before injecting anything, the skill's own extract_translation.py was read closely. It parses one verse per single line ending in “^chapter-verse” — the format used by the vault's graded bca-en-&lt;grade&gt;.md files. The actual source file, 1-SOURCES/Translations/en-Padmakara_2006.md, instead uses four-line stanzas with the block ID only on the last line. Run unmodified against that file, the script would silently capture only each verse's final line and drop the other three — which is where most of the planned injections would have lived. Testing the skill against the real file as-is would therefore have measured an input-format bug, not the term-alignment method the skill is actually built around.</w:t>
      </w:r>
    </w:p>
    <w:p>
      <w:pPr>
        <w:spacing w:after="160"/>
      </w:pPr>
      <w:r>
        <w:rPr>
          <w:rFonts w:ascii="Calibri" w:cs="Calibri" w:eastAsia="Calibri" w:hAnsi="Calibri"/>
          <w:sz w:val="22"/>
          <w:szCs w:val="22"/>
        </w:rPr>
        <w:t xml:space="preserve">Per instruction, the chapter was reformatted to one line per verse (wording otherwise unchanged from the published translation) before injecting errors, so the benchmark measures the semantic detection method rather than this upstream parsing mismatch. This incompatibility is nonetheless a real, separate finding: as currently packaged, commentary-fact-check cannot be pointed directly at 1-SOURCES/Translations/en-Padmakara_2006.md (or any other multi-line-stanza translation source) without this kind of reformatting step first.</w:t>
      </w:r>
    </w:p>
    <w:p>
      <w:pPr>
        <w:pStyle w:val="Heading2"/>
        <w:spacing w:after="120" w:before="250"/>
      </w:pPr>
      <w:r>
        <w:t xml:space="preserve">2.3 Blind detection run</w:t>
      </w:r>
    </w:p>
    <w:p>
      <w:pPr>
        <w:spacing w:after="160"/>
      </w:pPr>
      <w:r>
        <w:rPr>
          <w:rFonts w:ascii="Calibri" w:cs="Calibri" w:eastAsia="Calibri" w:hAnsi="Calibri"/>
          <w:sz w:val="22"/>
          <w:szCs w:val="22"/>
        </w:rPr>
        <w:t xml:space="preserve">The mutated Chapter 1 file and the answer key were kept apart. A separate agent instance was given only the commentary path, the mutated translation path, and the chapter-1 scope — no knowledge of which lines had been altered or how — and instructed to follow the commentary-fact-check SKILL.md procedure exactly: extract both files with the bundled scripts, build a term-by-term alignment table per verse before rendering any verdict, run the mandated second pass on the highest-miss categories, and write the standard report. Its output was then scored against the answer key.</w:t>
      </w:r>
    </w:p>
    <w:p>
      <w:pPr>
        <w:pStyle w:val="Heading1"/>
        <w:spacing w:after="150" w:before="300"/>
      </w:pPr>
      <w:r>
        <w:t xml:space="preserve">3. Results</w:t>
      </w:r>
    </w:p>
    <w:p>
      <w:pPr>
        <w:pStyle w:val="Heading2"/>
        <w:spacing w:after="120" w:before="250"/>
      </w:pPr>
      <w:r>
        <w:t xml:space="preserve">3.1 Overall</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5400"/>
        <w:gridCol w:w="2200"/>
      </w:tblGrid>
      <w:tr>
        <w:tc>
          <w:tcPr>
            <w:tcW w:type="dxa" w:w="5400"/>
            <w:shd w:fill="4472C4" w:val="clear"/>
            <w:tcMar>
              <w:top w:type="dxa" w:w="60"/>
              <w:left w:type="dxa" w:w="100"/>
              <w:bottom w:type="dxa" w:w="60"/>
              <w:right w:type="dxa" w:w="100"/>
            </w:tcMar>
          </w:tcPr>
          <w:p>
            <w:r>
              <w:rPr>
                <w:rFonts w:ascii="Calibri" w:cs="Calibri" w:eastAsia="Calibri" w:hAnsi="Calibri"/>
                <w:b/>
                <w:bCs/>
                <w:color w:val="FFFFFF"/>
                <w:sz w:val="19"/>
                <w:szCs w:val="19"/>
              </w:rPr>
              <w:t xml:space="preserve">Metric</w:t>
            </w:r>
          </w:p>
        </w:tc>
        <w:tc>
          <w:tcPr>
            <w:tcW w:type="dxa" w:w="2200"/>
            <w:shd w:fill="4472C4" w:val="clear"/>
            <w:tcMar>
              <w:top w:type="dxa" w:w="60"/>
              <w:left w:type="dxa" w:w="100"/>
              <w:bottom w:type="dxa" w:w="60"/>
              <w:right w:type="dxa" w:w="100"/>
            </w:tcMar>
          </w:tcPr>
          <w:p>
            <w:r>
              <w:rPr>
                <w:rFonts w:ascii="Calibri" w:cs="Calibri" w:eastAsia="Calibri" w:hAnsi="Calibri"/>
                <w:b/>
                <w:bCs/>
                <w:color w:val="FFFFFF"/>
                <w:sz w:val="19"/>
                <w:szCs w:val="19"/>
              </w:rPr>
              <w:t xml:space="preserve">Value</w:t>
            </w:r>
          </w:p>
        </w:tc>
      </w:tr>
      <w:tr>
        <w:tc>
          <w:tcPr>
            <w:tcW w:type="dxa" w:w="5400"/>
            <w:shd w:fill="FFFFFF" w:val="clear"/>
            <w:tcMar>
              <w:top w:type="dxa" w:w="60"/>
              <w:left w:type="dxa" w:w="100"/>
              <w:bottom w:type="dxa" w:w="60"/>
              <w:right w:type="dxa" w:w="100"/>
            </w:tcMar>
          </w:tcPr>
          <w:p>
            <w:r>
              <w:rPr>
                <w:rFonts w:ascii="Calibri" w:cs="Calibri" w:eastAsia="Calibri" w:hAnsi="Calibri"/>
                <w:b w:val="false"/>
                <w:bCs w:val="false"/>
                <w:sz w:val="19"/>
                <w:szCs w:val="19"/>
              </w:rPr>
              <w:t xml:space="preserve">Total injected errors</w:t>
            </w:r>
          </w:p>
        </w:tc>
        <w:tc>
          <w:tcPr>
            <w:tcW w:type="dxa" w:w="2200"/>
            <w:shd w:fill="FFFFFF" w:val="clear"/>
            <w:tcMar>
              <w:top w:type="dxa" w:w="60"/>
              <w:left w:type="dxa" w:w="100"/>
              <w:bottom w:type="dxa" w:w="60"/>
              <w:right w:type="dxa" w:w="100"/>
            </w:tcMar>
          </w:tcPr>
          <w:p>
            <w:r>
              <w:rPr>
                <w:rFonts w:ascii="Calibri" w:cs="Calibri" w:eastAsia="Calibri" w:hAnsi="Calibri"/>
                <w:b w:val="false"/>
                <w:bCs w:val="false"/>
                <w:sz w:val="19"/>
                <w:szCs w:val="19"/>
              </w:rPr>
              <w:t xml:space="preserve">20</w:t>
            </w:r>
          </w:p>
        </w:tc>
      </w:tr>
      <w:tr>
        <w:tc>
          <w:tcPr>
            <w:tcW w:type="dxa" w:w="54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Detected (True Positives)</w:t>
            </w:r>
          </w:p>
        </w:tc>
        <w:tc>
          <w:tcPr>
            <w:tcW w:type="dxa" w:w="22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15</w:t>
            </w:r>
          </w:p>
        </w:tc>
      </w:tr>
      <w:tr>
        <w:tc>
          <w:tcPr>
            <w:tcW w:type="dxa" w:w="5400"/>
            <w:shd w:fill="FFFFFF" w:val="clear"/>
            <w:tcMar>
              <w:top w:type="dxa" w:w="60"/>
              <w:left w:type="dxa" w:w="100"/>
              <w:bottom w:type="dxa" w:w="60"/>
              <w:right w:type="dxa" w:w="100"/>
            </w:tcMar>
          </w:tcPr>
          <w:p>
            <w:r>
              <w:rPr>
                <w:rFonts w:ascii="Calibri" w:cs="Calibri" w:eastAsia="Calibri" w:hAnsi="Calibri"/>
                <w:b w:val="false"/>
                <w:bCs w:val="false"/>
                <w:sz w:val="19"/>
                <w:szCs w:val="19"/>
              </w:rPr>
              <w:t xml:space="preserve">Missed (False Negatives)</w:t>
            </w:r>
          </w:p>
        </w:tc>
        <w:tc>
          <w:tcPr>
            <w:tcW w:type="dxa" w:w="2200"/>
            <w:shd w:fill="FFFFFF" w:val="clear"/>
            <w:tcMar>
              <w:top w:type="dxa" w:w="60"/>
              <w:left w:type="dxa" w:w="100"/>
              <w:bottom w:type="dxa" w:w="60"/>
              <w:right w:type="dxa" w:w="100"/>
            </w:tcMar>
          </w:tcPr>
          <w:p>
            <w:r>
              <w:rPr>
                <w:rFonts w:ascii="Calibri" w:cs="Calibri" w:eastAsia="Calibri" w:hAnsi="Calibri"/>
                <w:b w:val="false"/>
                <w:bCs w:val="false"/>
                <w:sz w:val="19"/>
                <w:szCs w:val="19"/>
              </w:rPr>
              <w:t xml:space="preserve">5</w:t>
            </w:r>
          </w:p>
        </w:tc>
      </w:tr>
      <w:tr>
        <w:tc>
          <w:tcPr>
            <w:tcW w:type="dxa" w:w="54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Recall</w:t>
            </w:r>
          </w:p>
        </w:tc>
        <w:tc>
          <w:tcPr>
            <w:tcW w:type="dxa" w:w="22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75.0%</w:t>
            </w:r>
          </w:p>
        </w:tc>
      </w:tr>
      <w:tr>
        <w:tc>
          <w:tcPr>
            <w:tcW w:type="dxa" w:w="5400"/>
            <w:shd w:fill="FFFFFF" w:val="clear"/>
            <w:tcMar>
              <w:top w:type="dxa" w:w="60"/>
              <w:left w:type="dxa" w:w="100"/>
              <w:bottom w:type="dxa" w:w="60"/>
              <w:right w:type="dxa" w:w="100"/>
            </w:tcMar>
          </w:tcPr>
          <w:p>
            <w:r>
              <w:rPr>
                <w:rFonts w:ascii="Calibri" w:cs="Calibri" w:eastAsia="Calibri" w:hAnsi="Calibri"/>
                <w:b w:val="false"/>
                <w:bCs w:val="false"/>
                <w:sz w:val="19"/>
                <w:szCs w:val="19"/>
              </w:rPr>
              <w:t xml:space="preserve">ERROR rows the skill produced</w:t>
            </w:r>
          </w:p>
        </w:tc>
        <w:tc>
          <w:tcPr>
            <w:tcW w:type="dxa" w:w="2200"/>
            <w:shd w:fill="FFFFFF" w:val="clear"/>
            <w:tcMar>
              <w:top w:type="dxa" w:w="60"/>
              <w:left w:type="dxa" w:w="100"/>
              <w:bottom w:type="dxa" w:w="60"/>
              <w:right w:type="dxa" w:w="100"/>
            </w:tcMar>
          </w:tcPr>
          <w:p>
            <w:r>
              <w:rPr>
                <w:rFonts w:ascii="Calibri" w:cs="Calibri" w:eastAsia="Calibri" w:hAnsi="Calibri"/>
                <w:b w:val="false"/>
                <w:bCs w:val="false"/>
                <w:sz w:val="19"/>
                <w:szCs w:val="19"/>
              </w:rPr>
              <w:t xml:space="preserve">16</w:t>
            </w:r>
          </w:p>
        </w:tc>
      </w:tr>
      <w:tr>
        <w:tc>
          <w:tcPr>
            <w:tcW w:type="dxa" w:w="54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Precision (rows matching an injected error)</w:t>
            </w:r>
          </w:p>
        </w:tc>
        <w:tc>
          <w:tcPr>
            <w:tcW w:type="dxa" w:w="22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93.8% (15/16)</w:t>
            </w:r>
          </w:p>
        </w:tc>
      </w:tr>
      <w:tr>
        <w:tc>
          <w:tcPr>
            <w:tcW w:type="dxa" w:w="5400"/>
            <w:shd w:fill="FFFFFF" w:val="clear"/>
            <w:tcMar>
              <w:top w:type="dxa" w:w="60"/>
              <w:left w:type="dxa" w:w="100"/>
              <w:bottom w:type="dxa" w:w="60"/>
              <w:right w:type="dxa" w:w="100"/>
            </w:tcMar>
          </w:tcPr>
          <w:p>
            <w:r>
              <w:rPr>
                <w:rFonts w:ascii="Calibri" w:cs="Calibri" w:eastAsia="Calibri" w:hAnsi="Calibri"/>
                <w:b w:val="false"/>
                <w:bCs w:val="false"/>
                <w:sz w:val="19"/>
                <w:szCs w:val="19"/>
              </w:rPr>
              <w:t xml:space="preserve">Negative controls (untouched verses)</w:t>
            </w:r>
          </w:p>
        </w:tc>
        <w:tc>
          <w:tcPr>
            <w:tcW w:type="dxa" w:w="2200"/>
            <w:shd w:fill="FFFFFF" w:val="clear"/>
            <w:tcMar>
              <w:top w:type="dxa" w:w="60"/>
              <w:left w:type="dxa" w:w="100"/>
              <w:bottom w:type="dxa" w:w="60"/>
              <w:right w:type="dxa" w:w="100"/>
            </w:tcMar>
          </w:tcPr>
          <w:p>
            <w:r>
              <w:rPr>
                <w:rFonts w:ascii="Calibri" w:cs="Calibri" w:eastAsia="Calibri" w:hAnsi="Calibri"/>
                <w:b w:val="false"/>
                <w:bCs w:val="false"/>
                <w:sz w:val="19"/>
                <w:szCs w:val="19"/>
              </w:rPr>
              <w:t xml:space="preserve">18 (5 formal + 13 incidental)</w:t>
            </w:r>
          </w:p>
        </w:tc>
      </w:tr>
      <w:tr>
        <w:tc>
          <w:tcPr>
            <w:tcW w:type="dxa" w:w="54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False positives on untouched verses</w:t>
            </w:r>
          </w:p>
        </w:tc>
        <w:tc>
          <w:tcPr>
            <w:tcW w:type="dxa" w:w="220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0 (0.0%)</w:t>
            </w:r>
          </w:p>
        </w:tc>
      </w:tr>
    </w:tbl>
    <w:p>
      <w:pPr>
        <w:spacing w:after="200"/>
      </w:pPr>
    </w:p>
    <w:p>
      <w:pPr>
        <w:spacing w:after="160"/>
      </w:pPr>
      <w:r>
        <w:rPr>
          <w:rFonts w:ascii="Calibri" w:cs="Calibri" w:eastAsia="Calibri" w:hAnsi="Calibri"/>
          <w:sz w:val="22"/>
          <w:szCs w:val="22"/>
        </w:rPr>
        <w:t xml:space="preserve">The skill correctly left every one of the 18 untouched verses clean — zero false positives — and correctly separated two pre-existing, non-injected omissions (a dropped “asuras” in the gods/asuras/humans triad at 1-9, and a dropped explicit “body” reference at 1-36) into soft “style note” flags rather than hard errors, exactly as its own rules specify for supplementary detail that doesn't rename a referent.</w:t>
      </w:r>
    </w:p>
    <w:p>
      <w:pPr>
        <w:pStyle w:val="Heading2"/>
        <w:spacing w:after="120" w:before="250"/>
      </w:pPr>
      <w:r>
        <w:t xml:space="preserve">3.2 Recall by category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600"/>
        <w:gridCol w:w="3000"/>
      </w:tblGrid>
      <w:tr>
        <w:tc>
          <w:tcPr>
            <w:tcW w:type="dxa" w:w="3600"/>
            <w:shd w:fill="4472C4" w:val="clear"/>
            <w:tcMar>
              <w:top w:type="dxa" w:w="60"/>
              <w:left w:type="dxa" w:w="100"/>
              <w:bottom w:type="dxa" w:w="60"/>
              <w:right w:type="dxa" w:w="100"/>
            </w:tcMar>
          </w:tcPr>
          <w:p>
            <w:r>
              <w:rPr>
                <w:rFonts w:ascii="Calibri" w:cs="Calibri" w:eastAsia="Calibri" w:hAnsi="Calibri"/>
                <w:b/>
                <w:bCs/>
                <w:color w:val="FFFFFF"/>
                <w:sz w:val="18"/>
                <w:szCs w:val="18"/>
              </w:rPr>
              <w:t xml:space="preserve">Category</w:t>
            </w:r>
          </w:p>
        </w:tc>
        <w:tc>
          <w:tcPr>
            <w:tcW w:type="dxa" w:w="1800"/>
            <w:shd w:fill="4472C4" w:val="clear"/>
            <w:tcMar>
              <w:top w:type="dxa" w:w="60"/>
              <w:left w:type="dxa" w:w="100"/>
              <w:bottom w:type="dxa" w:w="60"/>
              <w:right w:type="dxa" w:w="100"/>
            </w:tcMar>
          </w:tcPr>
          <w:p>
            <w:r>
              <w:rPr>
                <w:rFonts w:ascii="Calibri" w:cs="Calibri" w:eastAsia="Calibri" w:hAnsi="Calibri"/>
                <w:b/>
                <w:bCs/>
                <w:color w:val="FFFFFF"/>
                <w:sz w:val="18"/>
                <w:szCs w:val="18"/>
              </w:rPr>
              <w:t xml:space="preserve">Caught / Total</w:t>
            </w:r>
          </w:p>
        </w:tc>
        <w:tc>
          <w:tcPr>
            <w:tcW w:type="dxa" w:w="1600"/>
            <w:shd w:fill="4472C4" w:val="clear"/>
            <w:tcMar>
              <w:top w:type="dxa" w:w="60"/>
              <w:left w:type="dxa" w:w="100"/>
              <w:bottom w:type="dxa" w:w="60"/>
              <w:right w:type="dxa" w:w="100"/>
            </w:tcMar>
          </w:tcPr>
          <w:p>
            <w:r>
              <w:rPr>
                <w:rFonts w:ascii="Calibri" w:cs="Calibri" w:eastAsia="Calibri" w:hAnsi="Calibri"/>
                <w:b/>
                <w:bCs/>
                <w:color w:val="FFFFFF"/>
                <w:sz w:val="18"/>
                <w:szCs w:val="18"/>
              </w:rPr>
              <w:t xml:space="preserve">Recall</w:t>
            </w:r>
          </w:p>
        </w:tc>
        <w:tc>
          <w:tcPr>
            <w:tcW w:type="dxa" w:w="3000"/>
            <w:shd w:fill="4472C4" w:val="clear"/>
            <w:tcMar>
              <w:top w:type="dxa" w:w="60"/>
              <w:left w:type="dxa" w:w="100"/>
              <w:bottom w:type="dxa" w:w="60"/>
              <w:right w:type="dxa" w:w="100"/>
            </w:tcMar>
          </w:tcPr>
          <w:p>
            <w:r>
              <w:rPr>
                <w:rFonts w:ascii="Calibri" w:cs="Calibri" w:eastAsia="Calibri" w:hAnsi="Calibri"/>
                <w:b/>
                <w:bCs/>
                <w:color w:val="FFFFFF"/>
                <w:sz w:val="18"/>
                <w:szCs w:val="18"/>
              </w:rPr>
              <w:t xml:space="preserve">Notes</w:t>
            </w:r>
          </w:p>
        </w:tc>
      </w:tr>
      <w:tr>
        <w:tc>
          <w:tcPr>
            <w:tcW w:type="dxa" w:w="360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kāya / dharma / mind swaps</w:t>
            </w:r>
          </w:p>
        </w:tc>
        <w:tc>
          <w:tcPr>
            <w:tcW w:type="dxa" w:w="180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2 / 2</w:t>
            </w:r>
          </w:p>
        </w:tc>
        <w:tc>
          <w:tcPr>
            <w:tcW w:type="dxa" w:w="160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100%</w:t>
            </w:r>
          </w:p>
        </w:tc>
        <w:tc>
          <w:tcPr>
            <w:tcW w:type="dxa" w:w="300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Includes the exact case cited in the skill's own docs (dharmakāya → “dharma”)</w:t>
            </w:r>
          </w:p>
        </w:tc>
      </w:tr>
      <w:tr>
        <w:tc>
          <w:tcPr>
            <w:tcW w:type="dxa" w:w="3600"/>
            <w:shd w:fill="F2F2F2" w:val="clear"/>
            <w:tcMar>
              <w:top w:type="dxa" w:w="60"/>
              <w:left w:type="dxa" w:w="100"/>
              <w:bottom w:type="dxa" w:w="60"/>
              <w:right w:type="dxa" w:w="100"/>
            </w:tcMar>
          </w:tcPr>
          <w:p>
            <w:r>
              <w:rPr>
                <w:rFonts w:ascii="Calibri" w:cs="Calibri" w:eastAsia="Calibri" w:hAnsi="Calibri"/>
                <w:b w:val="false"/>
                <w:bCs w:val="false"/>
                <w:sz w:val="18"/>
                <w:szCs w:val="18"/>
              </w:rPr>
              <w:t xml:space="preserve">Precise term softened to vague synonym</w:t>
            </w:r>
          </w:p>
        </w:tc>
        <w:tc>
          <w:tcPr>
            <w:tcW w:type="dxa" w:w="1800"/>
            <w:shd w:fill="F2F2F2" w:val="clear"/>
            <w:tcMar>
              <w:top w:type="dxa" w:w="60"/>
              <w:left w:type="dxa" w:w="100"/>
              <w:bottom w:type="dxa" w:w="60"/>
              <w:right w:type="dxa" w:w="100"/>
            </w:tcMar>
          </w:tcPr>
          <w:p>
            <w:r>
              <w:rPr>
                <w:rFonts w:ascii="Calibri" w:cs="Calibri" w:eastAsia="Calibri" w:hAnsi="Calibri"/>
                <w:b w:val="false"/>
                <w:bCs w:val="false"/>
                <w:sz w:val="18"/>
                <w:szCs w:val="18"/>
              </w:rPr>
              <w:t xml:space="preserve">3 / 3</w:t>
            </w:r>
          </w:p>
        </w:tc>
        <w:tc>
          <w:tcPr>
            <w:tcW w:type="dxa" w:w="1600"/>
            <w:shd w:fill="F2F2F2" w:val="clear"/>
            <w:tcMar>
              <w:top w:type="dxa" w:w="60"/>
              <w:left w:type="dxa" w:w="100"/>
              <w:bottom w:type="dxa" w:w="60"/>
              <w:right w:type="dxa" w:w="100"/>
            </w:tcMar>
          </w:tcPr>
          <w:p>
            <w:r>
              <w:rPr>
                <w:rFonts w:ascii="Calibri" w:cs="Calibri" w:eastAsia="Calibri" w:hAnsi="Calibri"/>
                <w:b w:val="false"/>
                <w:bCs w:val="false"/>
                <w:sz w:val="18"/>
                <w:szCs w:val="18"/>
              </w:rPr>
              <w:t xml:space="preserve">100%</w:t>
            </w:r>
          </w:p>
        </w:tc>
        <w:tc>
          <w:tcPr>
            <w:tcW w:type="dxa" w:w="3000"/>
            <w:shd w:fill="F2F2F2" w:val="clear"/>
            <w:tcMar>
              <w:top w:type="dxa" w:w="60"/>
              <w:left w:type="dxa" w:w="100"/>
              <w:bottom w:type="dxa" w:w="60"/>
              <w:right w:type="dxa" w:w="100"/>
            </w:tcMar>
          </w:tcPr>
          <w:p>
            <w:r>
              <w:rPr>
                <w:rFonts w:ascii="Calibri" w:cs="Calibri" w:eastAsia="Calibri" w:hAnsi="Calibri"/>
                <w:b w:val="false"/>
                <w:bCs w:val="false"/>
                <w:sz w:val="18"/>
                <w:szCs w:val="18"/>
              </w:rPr>
              <w:t xml:space="preserve">sdom, dge ba, theg dman all caught, matching the skill's own listed examples</w:t>
            </w:r>
          </w:p>
        </w:tc>
      </w:tr>
      <w:tr>
        <w:tc>
          <w:tcPr>
            <w:tcW w:type="dxa" w:w="360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Wrong named entity</w:t>
            </w:r>
          </w:p>
        </w:tc>
        <w:tc>
          <w:tcPr>
            <w:tcW w:type="dxa" w:w="180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3 / 3</w:t>
            </w:r>
          </w:p>
        </w:tc>
        <w:tc>
          <w:tcPr>
            <w:tcW w:type="dxa" w:w="160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100%</w:t>
            </w:r>
          </w:p>
        </w:tc>
        <w:tc>
          <w:tcPr>
            <w:tcW w:type="dxa" w:w="300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Sudhana→Maitreya, Subāhu→Sāriputra, Brahmā→Indra all caught</w:t>
            </w:r>
          </w:p>
        </w:tc>
      </w:tr>
      <w:tr>
        <w:tc>
          <w:tcPr>
            <w:tcW w:type="dxa" w:w="3600"/>
            <w:shd w:fill="F2F2F2" w:val="clear"/>
            <w:tcMar>
              <w:top w:type="dxa" w:w="60"/>
              <w:left w:type="dxa" w:w="100"/>
              <w:bottom w:type="dxa" w:w="60"/>
              <w:right w:type="dxa" w:w="100"/>
            </w:tcMar>
          </w:tcPr>
          <w:p>
            <w:r>
              <w:rPr>
                <w:rFonts w:ascii="Calibri" w:cs="Calibri" w:eastAsia="Calibri" w:hAnsi="Calibri"/>
                <w:b w:val="false"/>
                <w:bCs w:val="false"/>
                <w:sz w:val="18"/>
                <w:szCs w:val="18"/>
              </w:rPr>
              <w:t xml:space="preserve">Wrong number / scope</w:t>
            </w:r>
          </w:p>
        </w:tc>
        <w:tc>
          <w:tcPr>
            <w:tcW w:type="dxa" w:w="1800"/>
            <w:shd w:fill="F2F2F2" w:val="clear"/>
            <w:tcMar>
              <w:top w:type="dxa" w:w="60"/>
              <w:left w:type="dxa" w:w="100"/>
              <w:bottom w:type="dxa" w:w="60"/>
              <w:right w:type="dxa" w:w="100"/>
            </w:tcMar>
          </w:tcPr>
          <w:p>
            <w:r>
              <w:rPr>
                <w:rFonts w:ascii="Calibri" w:cs="Calibri" w:eastAsia="Calibri" w:hAnsi="Calibri"/>
                <w:b w:val="false"/>
                <w:bCs w:val="false"/>
                <w:sz w:val="18"/>
                <w:szCs w:val="18"/>
              </w:rPr>
              <w:t xml:space="preserve">3 / 5</w:t>
            </w:r>
          </w:p>
        </w:tc>
        <w:tc>
          <w:tcPr>
            <w:tcW w:type="dxa" w:w="1600"/>
            <w:shd w:fill="F2F2F2" w:val="clear"/>
            <w:tcMar>
              <w:top w:type="dxa" w:w="60"/>
              <w:left w:type="dxa" w:w="100"/>
              <w:bottom w:type="dxa" w:w="60"/>
              <w:right w:type="dxa" w:w="100"/>
            </w:tcMar>
          </w:tcPr>
          <w:p>
            <w:r>
              <w:rPr>
                <w:rFonts w:ascii="Calibri" w:cs="Calibri" w:eastAsia="Calibri" w:hAnsi="Calibri"/>
                <w:b w:val="false"/>
                <w:bCs w:val="false"/>
                <w:sz w:val="18"/>
                <w:szCs w:val="18"/>
              </w:rPr>
              <w:t xml:space="preserve">60%</w:t>
            </w:r>
          </w:p>
        </w:tc>
        <w:tc>
          <w:tcPr>
            <w:tcW w:type="dxa" w:w="3000"/>
            <w:shd w:fill="F2F2F2" w:val="clear"/>
            <w:tcMar>
              <w:top w:type="dxa" w:w="60"/>
              <w:left w:type="dxa" w:w="100"/>
              <w:bottom w:type="dxa" w:w="60"/>
              <w:right w:type="dxa" w:w="100"/>
            </w:tcMar>
          </w:tcPr>
          <w:p>
            <w:r>
              <w:rPr>
                <w:rFonts w:ascii="Calibri" w:cs="Calibri" w:eastAsia="Calibri" w:hAnsi="Calibri"/>
                <w:b w:val="false"/>
                <w:bCs w:val="false"/>
                <w:sz w:val="18"/>
                <w:szCs w:val="18"/>
              </w:rPr>
              <w:t xml:space="preserve">Two singular↔plural swaps missed (“in that instant”→“within moments”; “only guide”→“many guides”)</w:t>
            </w:r>
          </w:p>
        </w:tc>
      </w:tr>
      <w:tr>
        <w:tc>
          <w:tcPr>
            <w:tcW w:type="dxa" w:w="360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Wrong simile tenor</w:t>
            </w:r>
          </w:p>
        </w:tc>
        <w:tc>
          <w:tcPr>
            <w:tcW w:type="dxa" w:w="180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3 / 3</w:t>
            </w:r>
          </w:p>
        </w:tc>
        <w:tc>
          <w:tcPr>
            <w:tcW w:type="dxa" w:w="160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100%</w:t>
            </w:r>
          </w:p>
        </w:tc>
        <w:tc>
          <w:tcPr>
            <w:tcW w:type="dxa" w:w="300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Includes the exact case cited in the skill's own docs (lightning reveals forms, not the sky)</w:t>
            </w:r>
          </w:p>
        </w:tc>
      </w:tr>
      <w:tr>
        <w:tc>
          <w:tcPr>
            <w:tcW w:type="dxa" w:w="3600"/>
            <w:shd w:fill="F2F2F2" w:val="clear"/>
            <w:tcMar>
              <w:top w:type="dxa" w:w="60"/>
              <w:left w:type="dxa" w:w="100"/>
              <w:bottom w:type="dxa" w:w="60"/>
              <w:right w:type="dxa" w:w="100"/>
            </w:tcMar>
          </w:tcPr>
          <w:p>
            <w:r>
              <w:rPr>
                <w:rFonts w:ascii="Calibri" w:cs="Calibri" w:eastAsia="Calibri" w:hAnsi="Calibri"/>
                <w:b w:val="false"/>
                <w:bCs w:val="false"/>
                <w:sz w:val="18"/>
                <w:szCs w:val="18"/>
              </w:rPr>
              <w:t xml:space="preserve">Wrong grammatical agent / role</w:t>
            </w:r>
          </w:p>
        </w:tc>
        <w:tc>
          <w:tcPr>
            <w:tcW w:type="dxa" w:w="1800"/>
            <w:shd w:fill="F2F2F2" w:val="clear"/>
            <w:tcMar>
              <w:top w:type="dxa" w:w="60"/>
              <w:left w:type="dxa" w:w="100"/>
              <w:bottom w:type="dxa" w:w="60"/>
              <w:right w:type="dxa" w:w="100"/>
            </w:tcMar>
          </w:tcPr>
          <w:p>
            <w:r>
              <w:rPr>
                <w:rFonts w:ascii="Calibri" w:cs="Calibri" w:eastAsia="Calibri" w:hAnsi="Calibri"/>
                <w:b w:val="false"/>
                <w:bCs w:val="false"/>
                <w:sz w:val="18"/>
                <w:szCs w:val="18"/>
              </w:rPr>
              <w:t xml:space="preserve">0 / 2</w:t>
            </w:r>
          </w:p>
        </w:tc>
        <w:tc>
          <w:tcPr>
            <w:tcW w:type="dxa" w:w="1600"/>
            <w:shd w:fill="F2F2F2" w:val="clear"/>
            <w:tcMar>
              <w:top w:type="dxa" w:w="60"/>
              <w:left w:type="dxa" w:w="100"/>
              <w:bottom w:type="dxa" w:w="60"/>
              <w:right w:type="dxa" w:w="100"/>
            </w:tcMar>
          </w:tcPr>
          <w:p>
            <w:r>
              <w:rPr>
                <w:rFonts w:ascii="Calibri" w:cs="Calibri" w:eastAsia="Calibri" w:hAnsi="Calibri"/>
                <w:b w:val="false"/>
                <w:bCs w:val="false"/>
                <w:sz w:val="18"/>
                <w:szCs w:val="18"/>
              </w:rPr>
              <w:t xml:space="preserve">0%</w:t>
            </w:r>
          </w:p>
        </w:tc>
        <w:tc>
          <w:tcPr>
            <w:tcW w:type="dxa" w:w="3000"/>
            <w:shd w:fill="F2F2F2" w:val="clear"/>
            <w:tcMar>
              <w:top w:type="dxa" w:w="60"/>
              <w:left w:type="dxa" w:w="100"/>
              <w:bottom w:type="dxa" w:w="60"/>
              <w:right w:type="dxa" w:w="100"/>
            </w:tcMar>
          </w:tcPr>
          <w:p>
            <w:r>
              <w:rPr>
                <w:rFonts w:ascii="Calibri" w:cs="Calibri" w:eastAsia="Calibri" w:hAnsi="Calibri"/>
                <w:b w:val="false"/>
                <w:bCs w:val="false"/>
                <w:sz w:val="18"/>
                <w:szCs w:val="18"/>
              </w:rPr>
              <w:t xml:space="preserve">Both agent–patient reversals missed entirely</w:t>
            </w:r>
          </w:p>
        </w:tc>
      </w:tr>
      <w:tr>
        <w:tc>
          <w:tcPr>
            <w:tcW w:type="dxa" w:w="360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Wrong enumeration order</w:t>
            </w:r>
          </w:p>
        </w:tc>
        <w:tc>
          <w:tcPr>
            <w:tcW w:type="dxa" w:w="180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0 / 1</w:t>
            </w:r>
          </w:p>
        </w:tc>
        <w:tc>
          <w:tcPr>
            <w:tcW w:type="dxa" w:w="160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0%</w:t>
            </w:r>
          </w:p>
        </w:tc>
        <w:tc>
          <w:tcPr>
            <w:tcW w:type="dxa" w:w="300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Missed the exact case cited in the skill's own docs (virtue / friend / merit reordering)</w:t>
            </w:r>
          </w:p>
        </w:tc>
      </w:tr>
      <w:tr>
        <w:tc>
          <w:tcPr>
            <w:tcW w:type="dxa" w:w="3600"/>
            <w:shd w:fill="F2F2F2" w:val="clear"/>
            <w:tcMar>
              <w:top w:type="dxa" w:w="60"/>
              <w:left w:type="dxa" w:w="100"/>
              <w:bottom w:type="dxa" w:w="60"/>
              <w:right w:type="dxa" w:w="100"/>
            </w:tcMar>
          </w:tcPr>
          <w:p>
            <w:r>
              <w:rPr>
                <w:rFonts w:ascii="Calibri" w:cs="Calibri" w:eastAsia="Calibri" w:hAnsi="Calibri"/>
                <w:b w:val="false"/>
                <w:bCs w:val="false"/>
                <w:sz w:val="18"/>
                <w:szCs w:val="18"/>
              </w:rPr>
              <w:t xml:space="preserve">Other wrong referent (body part)</w:t>
            </w:r>
          </w:p>
        </w:tc>
        <w:tc>
          <w:tcPr>
            <w:tcW w:type="dxa" w:w="1800"/>
            <w:shd w:fill="F2F2F2" w:val="clear"/>
            <w:tcMar>
              <w:top w:type="dxa" w:w="60"/>
              <w:left w:type="dxa" w:w="100"/>
              <w:bottom w:type="dxa" w:w="60"/>
              <w:right w:type="dxa" w:w="100"/>
            </w:tcMar>
          </w:tcPr>
          <w:p>
            <w:r>
              <w:rPr>
                <w:rFonts w:ascii="Calibri" w:cs="Calibri" w:eastAsia="Calibri" w:hAnsi="Calibri"/>
                <w:b w:val="false"/>
                <w:bCs w:val="false"/>
                <w:sz w:val="18"/>
                <w:szCs w:val="18"/>
              </w:rPr>
              <w:t xml:space="preserve">1 / 1</w:t>
            </w:r>
          </w:p>
        </w:tc>
        <w:tc>
          <w:tcPr>
            <w:tcW w:type="dxa" w:w="1600"/>
            <w:shd w:fill="F2F2F2" w:val="clear"/>
            <w:tcMar>
              <w:top w:type="dxa" w:w="60"/>
              <w:left w:type="dxa" w:w="100"/>
              <w:bottom w:type="dxa" w:w="60"/>
              <w:right w:type="dxa" w:w="100"/>
            </w:tcMar>
          </w:tcPr>
          <w:p>
            <w:r>
              <w:rPr>
                <w:rFonts w:ascii="Calibri" w:cs="Calibri" w:eastAsia="Calibri" w:hAnsi="Calibri"/>
                <w:b w:val="false"/>
                <w:bCs w:val="false"/>
                <w:sz w:val="18"/>
                <w:szCs w:val="18"/>
              </w:rPr>
              <w:t xml:space="preserve">100%</w:t>
            </w:r>
          </w:p>
        </w:tc>
        <w:tc>
          <w:tcPr>
            <w:tcW w:type="dxa" w:w="3000"/>
            <w:shd w:fill="F2F2F2" w:val="clear"/>
            <w:tcMar>
              <w:top w:type="dxa" w:w="60"/>
              <w:left w:type="dxa" w:w="100"/>
              <w:bottom w:type="dxa" w:w="60"/>
              <w:right w:type="dxa" w:w="100"/>
            </w:tcMar>
          </w:tcPr>
          <w:p>
            <w:r>
              <w:rPr>
                <w:rFonts w:ascii="Calibri" w:cs="Calibri" w:eastAsia="Calibri" w:hAnsi="Calibri"/>
                <w:b w:val="false"/>
                <w:bCs w:val="false"/>
                <w:sz w:val="18"/>
                <w:szCs w:val="18"/>
              </w:rPr>
              <w:t xml:space="preserve">“heads”→“hearts” caught</w:t>
            </w:r>
          </w:p>
        </w:tc>
      </w:tr>
    </w:tbl>
    <w:p>
      <w:pPr>
        <w:spacing w:after="200"/>
      </w:pPr>
    </w:p>
    <w:p>
      <w:pPr>
        <w:pStyle w:val="Heading2"/>
        <w:spacing w:after="120" w:before="250"/>
      </w:pPr>
      <w:r>
        <w:t xml:space="preserve">3.3 Where it excelled</w:t>
      </w:r>
    </w:p>
    <w:p>
      <w:pPr>
        <w:spacing w:after="160"/>
      </w:pPr>
      <w:r>
        <w:rPr>
          <w:rFonts w:ascii="Calibri" w:cs="Calibri" w:eastAsia="Calibri" w:hAnsi="Calibri"/>
          <w:sz w:val="22"/>
          <w:szCs w:val="22"/>
        </w:rPr>
        <w:t xml:space="preserve">Four of the seven named categories were caught at 100%: kāya/dharma/mind swaps, precise-term softening, wrong named entities, and wrong simile tenor. Three representative hits: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400"/>
        <w:gridCol w:w="2300"/>
      </w:tblGrid>
      <w:tr>
        <w:tc>
          <w:tcPr>
            <w:tcW w:type="dxa" w:w="900"/>
            <w:shd w:fill="4472C4" w:val="clear"/>
            <w:tcMar>
              <w:top w:type="dxa" w:w="60"/>
              <w:left w:type="dxa" w:w="100"/>
              <w:bottom w:type="dxa" w:w="60"/>
              <w:right w:type="dxa" w:w="100"/>
            </w:tcMar>
          </w:tcPr>
          <w:p>
            <w:r>
              <w:rPr>
                <w:rFonts w:ascii="Calibri" w:cs="Calibri" w:eastAsia="Calibri" w:hAnsi="Calibri"/>
                <w:b/>
                <w:bCs/>
                <w:color w:val="FFFFFF"/>
                <w:sz w:val="18"/>
                <w:szCs w:val="18"/>
              </w:rPr>
              <w:t xml:space="preserve">Verse</w:t>
            </w:r>
          </w:p>
        </w:tc>
        <w:tc>
          <w:tcPr>
            <w:tcW w:type="dxa" w:w="3400"/>
            <w:shd w:fill="4472C4" w:val="clear"/>
            <w:tcMar>
              <w:top w:type="dxa" w:w="60"/>
              <w:left w:type="dxa" w:w="100"/>
              <w:bottom w:type="dxa" w:w="60"/>
              <w:right w:type="dxa" w:w="100"/>
            </w:tcMar>
          </w:tcPr>
          <w:p>
            <w:r>
              <w:rPr>
                <w:rFonts w:ascii="Calibri" w:cs="Calibri" w:eastAsia="Calibri" w:hAnsi="Calibri"/>
                <w:b/>
                <w:bCs/>
                <w:color w:val="FFFFFF"/>
                <w:sz w:val="18"/>
                <w:szCs w:val="18"/>
              </w:rPr>
              <w:t xml:space="preserve">Injected error</w:t>
            </w:r>
          </w:p>
        </w:tc>
        <w:tc>
          <w:tcPr>
            <w:tcW w:type="dxa" w:w="3400"/>
            <w:shd w:fill="4472C4" w:val="clear"/>
            <w:tcMar>
              <w:top w:type="dxa" w:w="60"/>
              <w:left w:type="dxa" w:w="100"/>
              <w:bottom w:type="dxa" w:w="60"/>
              <w:right w:type="dxa" w:w="100"/>
            </w:tcMar>
          </w:tcPr>
          <w:p>
            <w:r>
              <w:rPr>
                <w:rFonts w:ascii="Calibri" w:cs="Calibri" w:eastAsia="Calibri" w:hAnsi="Calibri"/>
                <w:b/>
                <w:bCs/>
                <w:color w:val="FFFFFF"/>
                <w:sz w:val="18"/>
                <w:szCs w:val="18"/>
              </w:rPr>
              <w:t xml:space="preserve">Skill's finding</w:t>
            </w:r>
          </w:p>
        </w:tc>
        <w:tc>
          <w:tcPr>
            <w:tcW w:type="dxa" w:w="2300"/>
            <w:shd w:fill="4472C4" w:val="clear"/>
            <w:tcMar>
              <w:top w:type="dxa" w:w="60"/>
              <w:left w:type="dxa" w:w="100"/>
              <w:bottom w:type="dxa" w:w="60"/>
              <w:right w:type="dxa" w:w="100"/>
            </w:tcMar>
          </w:tcPr>
          <w:p>
            <w:r>
              <w:rPr>
                <w:rFonts w:ascii="Calibri" w:cs="Calibri" w:eastAsia="Calibri" w:hAnsi="Calibri"/>
                <w:b/>
                <w:bCs/>
                <w:color w:val="FFFFFF"/>
                <w:sz w:val="18"/>
                <w:szCs w:val="18"/>
              </w:rPr>
              <w:t xml:space="preserve">Verdict</w:t>
            </w:r>
          </w:p>
        </w:tc>
      </w:tr>
      <w:tr>
        <w:tc>
          <w:tcPr>
            <w:tcW w:type="dxa" w:w="90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1-1</w:t>
            </w:r>
          </w:p>
        </w:tc>
        <w:tc>
          <w:tcPr>
            <w:tcW w:type="dxa" w:w="340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“dharmakāya they possess” → “the dharma they embody”</w:t>
            </w:r>
          </w:p>
        </w:tc>
        <w:tc>
          <w:tcPr>
            <w:tcW w:type="dxa" w:w="340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Flagged: dharmakāya wrongly collapsed to “dharma,” restructured as a separate object of homage</w:t>
            </w:r>
          </w:p>
        </w:tc>
        <w:tc>
          <w:tcPr>
            <w:tcW w:type="dxa" w:w="230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Caught</w:t>
            </w:r>
          </w:p>
        </w:tc>
      </w:tr>
      <w:tr>
        <w:tc>
          <w:tcPr>
            <w:tcW w:type="dxa" w:w="900"/>
            <w:shd w:fill="F2F2F2" w:val="clear"/>
            <w:tcMar>
              <w:top w:type="dxa" w:w="60"/>
              <w:left w:type="dxa" w:w="100"/>
              <w:bottom w:type="dxa" w:w="60"/>
              <w:right w:type="dxa" w:w="100"/>
            </w:tcMar>
          </w:tcPr>
          <w:p>
            <w:r>
              <w:rPr>
                <w:rFonts w:ascii="Calibri" w:cs="Calibri" w:eastAsia="Calibri" w:hAnsi="Calibri"/>
                <w:b w:val="false"/>
                <w:bCs w:val="false"/>
                <w:sz w:val="18"/>
                <w:szCs w:val="18"/>
              </w:rPr>
              <w:t xml:space="preserve">1-14</w:t>
            </w:r>
          </w:p>
        </w:tc>
        <w:tc>
          <w:tcPr>
            <w:tcW w:type="dxa" w:w="3400"/>
            <w:shd w:fill="F2F2F2" w:val="clear"/>
            <w:tcMar>
              <w:top w:type="dxa" w:w="60"/>
              <w:left w:type="dxa" w:w="100"/>
              <w:bottom w:type="dxa" w:w="60"/>
              <w:right w:type="dxa" w:w="100"/>
            </w:tcMar>
          </w:tcPr>
          <w:p>
            <w:r>
              <w:rPr>
                <w:rFonts w:ascii="Calibri" w:cs="Calibri" w:eastAsia="Calibri" w:hAnsi="Calibri"/>
                <w:b w:val="false"/>
                <w:bCs w:val="false"/>
                <w:sz w:val="18"/>
                <w:szCs w:val="18"/>
              </w:rPr>
              <w:t xml:space="preserve">“explained to Sudhana” → “explained to Maitreya”</w:t>
            </w:r>
          </w:p>
        </w:tc>
        <w:tc>
          <w:tcPr>
            <w:tcW w:type="dxa" w:w="3400"/>
            <w:shd w:fill="F2F2F2" w:val="clear"/>
            <w:tcMar>
              <w:top w:type="dxa" w:w="60"/>
              <w:left w:type="dxa" w:w="100"/>
              <w:bottom w:type="dxa" w:w="60"/>
              <w:right w:type="dxa" w:w="100"/>
            </w:tcMar>
          </w:tcPr>
          <w:p>
            <w:r>
              <w:rPr>
                <w:rFonts w:ascii="Calibri" w:cs="Calibri" w:eastAsia="Calibri" w:hAnsi="Calibri"/>
                <w:b w:val="false"/>
                <w:bCs w:val="false"/>
                <w:sz w:val="18"/>
                <w:szCs w:val="18"/>
              </w:rPr>
              <w:t xml:space="preserve">Flagged: Sudhana (Nor bzang) dropped; Maitreya wrongly repositioned as the recipient rather than the explainer</w:t>
            </w:r>
          </w:p>
        </w:tc>
        <w:tc>
          <w:tcPr>
            <w:tcW w:type="dxa" w:w="2300"/>
            <w:shd w:fill="F2F2F2" w:val="clear"/>
            <w:tcMar>
              <w:top w:type="dxa" w:w="60"/>
              <w:left w:type="dxa" w:w="100"/>
              <w:bottom w:type="dxa" w:w="60"/>
              <w:right w:type="dxa" w:w="100"/>
            </w:tcMar>
          </w:tcPr>
          <w:p>
            <w:r>
              <w:rPr>
                <w:rFonts w:ascii="Calibri" w:cs="Calibri" w:eastAsia="Calibri" w:hAnsi="Calibri"/>
                <w:b w:val="false"/>
                <w:bCs w:val="false"/>
                <w:sz w:val="18"/>
                <w:szCs w:val="18"/>
              </w:rPr>
              <w:t xml:space="preserve">Caught</w:t>
            </w:r>
          </w:p>
        </w:tc>
      </w:tr>
      <w:tr>
        <w:tc>
          <w:tcPr>
            <w:tcW w:type="dxa" w:w="90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1-5</w:t>
            </w:r>
          </w:p>
        </w:tc>
        <w:tc>
          <w:tcPr>
            <w:tcW w:type="dxa" w:w="340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“all is clearly shown” → “the whole sky is illuminated”</w:t>
            </w:r>
          </w:p>
        </w:tc>
        <w:tc>
          <w:tcPr>
            <w:tcW w:type="dxa" w:w="340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Flagged: lightning reveals objects/forms in the commentary's gloss, not “the sky”</w:t>
            </w:r>
          </w:p>
        </w:tc>
        <w:tc>
          <w:tcPr>
            <w:tcW w:type="dxa" w:w="230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Caught</w:t>
            </w:r>
          </w:p>
        </w:tc>
      </w:tr>
    </w:tbl>
    <w:p>
      <w:pPr>
        <w:pStyle w:val="Heading2"/>
        <w:spacing w:after="120" w:before="250"/>
      </w:pPr>
      <w:r>
        <w:t xml:space="preserve">3.4 Where it missed</w:t>
      </w:r>
    </w:p>
    <w:p>
      <w:pPr>
        <w:spacing w:after="160"/>
      </w:pPr>
      <w:r>
        <w:rPr>
          <w:rFonts w:ascii="Calibri" w:cs="Calibri" w:eastAsia="Calibri" w:hAnsi="Calibri"/>
          <w:sz w:val="22"/>
          <w:szCs w:val="22"/>
        </w:rPr>
        <w:t xml:space="preserve">Two categories fell to 0% recall, and one (number/scope) was mixed: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400"/>
        <w:gridCol w:w="2300"/>
      </w:tblGrid>
      <w:tr>
        <w:tc>
          <w:tcPr>
            <w:tcW w:type="dxa" w:w="900"/>
            <w:shd w:fill="4472C4" w:val="clear"/>
            <w:tcMar>
              <w:top w:type="dxa" w:w="60"/>
              <w:left w:type="dxa" w:w="100"/>
              <w:bottom w:type="dxa" w:w="60"/>
              <w:right w:type="dxa" w:w="100"/>
            </w:tcMar>
          </w:tcPr>
          <w:p>
            <w:r>
              <w:rPr>
                <w:rFonts w:ascii="Calibri" w:cs="Calibri" w:eastAsia="Calibri" w:hAnsi="Calibri"/>
                <w:b/>
                <w:bCs/>
                <w:color w:val="FFFFFF"/>
                <w:sz w:val="18"/>
                <w:szCs w:val="18"/>
              </w:rPr>
              <w:t xml:space="preserve">Verse</w:t>
            </w:r>
          </w:p>
        </w:tc>
        <w:tc>
          <w:tcPr>
            <w:tcW w:type="dxa" w:w="3400"/>
            <w:shd w:fill="4472C4" w:val="clear"/>
            <w:tcMar>
              <w:top w:type="dxa" w:w="60"/>
              <w:left w:type="dxa" w:w="100"/>
              <w:bottom w:type="dxa" w:w="60"/>
              <w:right w:type="dxa" w:w="100"/>
            </w:tcMar>
          </w:tcPr>
          <w:p>
            <w:r>
              <w:rPr>
                <w:rFonts w:ascii="Calibri" w:cs="Calibri" w:eastAsia="Calibri" w:hAnsi="Calibri"/>
                <w:b/>
                <w:bCs/>
                <w:color w:val="FFFFFF"/>
                <w:sz w:val="18"/>
                <w:szCs w:val="18"/>
              </w:rPr>
              <w:t xml:space="preserve">Injected error</w:t>
            </w:r>
          </w:p>
        </w:tc>
        <w:tc>
          <w:tcPr>
            <w:tcW w:type="dxa" w:w="3400"/>
            <w:shd w:fill="4472C4" w:val="clear"/>
            <w:tcMar>
              <w:top w:type="dxa" w:w="60"/>
              <w:left w:type="dxa" w:w="100"/>
              <w:bottom w:type="dxa" w:w="60"/>
              <w:right w:type="dxa" w:w="100"/>
            </w:tcMar>
          </w:tcPr>
          <w:p>
            <w:r>
              <w:rPr>
                <w:rFonts w:ascii="Calibri" w:cs="Calibri" w:eastAsia="Calibri" w:hAnsi="Calibri"/>
                <w:b/>
                <w:bCs/>
                <w:color w:val="FFFFFF"/>
                <w:sz w:val="18"/>
                <w:szCs w:val="18"/>
              </w:rPr>
              <w:t xml:space="preserve">Skill's finding</w:t>
            </w:r>
          </w:p>
        </w:tc>
        <w:tc>
          <w:tcPr>
            <w:tcW w:type="dxa" w:w="2300"/>
            <w:shd w:fill="4472C4" w:val="clear"/>
            <w:tcMar>
              <w:top w:type="dxa" w:w="60"/>
              <w:left w:type="dxa" w:w="100"/>
              <w:bottom w:type="dxa" w:w="60"/>
              <w:right w:type="dxa" w:w="100"/>
            </w:tcMar>
          </w:tcPr>
          <w:p>
            <w:r>
              <w:rPr>
                <w:rFonts w:ascii="Calibri" w:cs="Calibri" w:eastAsia="Calibri" w:hAnsi="Calibri"/>
                <w:b/>
                <w:bCs/>
                <w:color w:val="FFFFFF"/>
                <w:sz w:val="18"/>
                <w:szCs w:val="18"/>
              </w:rPr>
              <w:t xml:space="preserve">Verdict</w:t>
            </w:r>
          </w:p>
        </w:tc>
      </w:tr>
      <w:tr>
        <w:tc>
          <w:tcPr>
            <w:tcW w:type="dxa" w:w="90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1-30</w:t>
            </w:r>
          </w:p>
        </w:tc>
        <w:tc>
          <w:tcPr>
            <w:tcW w:type="dxa" w:w="340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Enumeration reordered: “what friend… what virtue…” instead of “what virtue… what friend…”</w:t>
            </w:r>
          </w:p>
        </w:tc>
        <w:tc>
          <w:tcPr>
            <w:tcW w:type="dxa" w:w="340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Not flagged — verse marked clean</w:t>
            </w:r>
          </w:p>
        </w:tc>
        <w:tc>
          <w:tcPr>
            <w:tcW w:type="dxa" w:w="230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Missed</w:t>
            </w:r>
          </w:p>
        </w:tc>
      </w:tr>
      <w:tr>
        <w:tc>
          <w:tcPr>
            <w:tcW w:type="dxa" w:w="900"/>
            <w:shd w:fill="F2F2F2" w:val="clear"/>
            <w:tcMar>
              <w:top w:type="dxa" w:w="60"/>
              <w:left w:type="dxa" w:w="100"/>
              <w:bottom w:type="dxa" w:w="60"/>
              <w:right w:type="dxa" w:w="100"/>
            </w:tcMar>
          </w:tcPr>
          <w:p>
            <w:r>
              <w:rPr>
                <w:rFonts w:ascii="Calibri" w:cs="Calibri" w:eastAsia="Calibri" w:hAnsi="Calibri"/>
                <w:b w:val="false"/>
                <w:bCs w:val="false"/>
                <w:sz w:val="18"/>
                <w:szCs w:val="18"/>
              </w:rPr>
              <w:t xml:space="preserve">1-28</w:t>
            </w:r>
          </w:p>
        </w:tc>
        <w:tc>
          <w:tcPr>
            <w:tcW w:type="dxa" w:w="3400"/>
            <w:shd w:fill="F2F2F2" w:val="clear"/>
            <w:tcMar>
              <w:top w:type="dxa" w:w="60"/>
              <w:left w:type="dxa" w:w="100"/>
              <w:bottom w:type="dxa" w:w="60"/>
              <w:right w:type="dxa" w:w="100"/>
            </w:tcMar>
          </w:tcPr>
          <w:p>
            <w:r>
              <w:rPr>
                <w:rFonts w:ascii="Calibri" w:cs="Calibri" w:eastAsia="Calibri" w:hAnsi="Calibri"/>
                <w:b w:val="false"/>
                <w:bCs w:val="false"/>
                <w:sz w:val="18"/>
                <w:szCs w:val="18"/>
              </w:rPr>
              <w:t xml:space="preserve">Agent–patient reversal: “misery itself pursues them” instead of “misery itself they follow and pursue”</w:t>
            </w:r>
          </w:p>
        </w:tc>
        <w:tc>
          <w:tcPr>
            <w:tcW w:type="dxa" w:w="3400"/>
            <w:shd w:fill="F2F2F2" w:val="clear"/>
            <w:tcMar>
              <w:top w:type="dxa" w:w="60"/>
              <w:left w:type="dxa" w:w="100"/>
              <w:bottom w:type="dxa" w:w="60"/>
              <w:right w:type="dxa" w:w="100"/>
            </w:tcMar>
          </w:tcPr>
          <w:p>
            <w:r>
              <w:rPr>
                <w:rFonts w:ascii="Calibri" w:cs="Calibri" w:eastAsia="Calibri" w:hAnsi="Calibri"/>
                <w:b w:val="false"/>
                <w:bCs w:val="false"/>
                <w:sz w:val="18"/>
                <w:szCs w:val="18"/>
              </w:rPr>
              <w:t xml:space="preserve">Not flagged — verse marked clean</w:t>
            </w:r>
          </w:p>
        </w:tc>
        <w:tc>
          <w:tcPr>
            <w:tcW w:type="dxa" w:w="2300"/>
            <w:shd w:fill="F2F2F2" w:val="clear"/>
            <w:tcMar>
              <w:top w:type="dxa" w:w="60"/>
              <w:left w:type="dxa" w:w="100"/>
              <w:bottom w:type="dxa" w:w="60"/>
              <w:right w:type="dxa" w:w="100"/>
            </w:tcMar>
          </w:tcPr>
          <w:p>
            <w:r>
              <w:rPr>
                <w:rFonts w:ascii="Calibri" w:cs="Calibri" w:eastAsia="Calibri" w:hAnsi="Calibri"/>
                <w:b w:val="false"/>
                <w:bCs w:val="false"/>
                <w:sz w:val="18"/>
                <w:szCs w:val="18"/>
              </w:rPr>
              <w:t xml:space="preserve">Missed</w:t>
            </w:r>
          </w:p>
        </w:tc>
      </w:tr>
      <w:tr>
        <w:tc>
          <w:tcPr>
            <w:tcW w:type="dxa" w:w="90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1-29</w:t>
            </w:r>
          </w:p>
        </w:tc>
        <w:tc>
          <w:tcPr>
            <w:tcW w:type="dxa" w:w="340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Agent–patient reversal: “those whom bliss fills” instead of “those who fill with bliss”</w:t>
            </w:r>
          </w:p>
        </w:tc>
        <w:tc>
          <w:tcPr>
            <w:tcW w:type="dxa" w:w="340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Verse WAS flagged as ERROR, but for an unrelated, pre-existing issue (the commentary's “great love / great compassion” terms are absent from the English) — the actual agent swap was not identified or corrected by the suggested fix</w:t>
            </w:r>
          </w:p>
        </w:tc>
        <w:tc>
          <w:tcPr>
            <w:tcW w:type="dxa" w:w="230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Missed (flagged for the wrong reason)</w:t>
            </w:r>
          </w:p>
        </w:tc>
      </w:tr>
      <w:tr>
        <w:tc>
          <w:tcPr>
            <w:tcW w:type="dxa" w:w="900"/>
            <w:shd w:fill="F2F2F2" w:val="clear"/>
            <w:tcMar>
              <w:top w:type="dxa" w:w="60"/>
              <w:left w:type="dxa" w:w="100"/>
              <w:bottom w:type="dxa" w:w="60"/>
              <w:right w:type="dxa" w:w="100"/>
            </w:tcMar>
          </w:tcPr>
          <w:p>
            <w:r>
              <w:rPr>
                <w:rFonts w:ascii="Calibri" w:cs="Calibri" w:eastAsia="Calibri" w:hAnsi="Calibri"/>
                <w:b w:val="false"/>
                <w:bCs w:val="false"/>
                <w:sz w:val="18"/>
                <w:szCs w:val="18"/>
              </w:rPr>
              <w:t xml:space="preserve">1-9</w:t>
            </w:r>
          </w:p>
        </w:tc>
        <w:tc>
          <w:tcPr>
            <w:tcW w:type="dxa" w:w="3400"/>
            <w:shd w:fill="F2F2F2" w:val="clear"/>
            <w:tcMar>
              <w:top w:type="dxa" w:w="60"/>
              <w:left w:type="dxa" w:w="100"/>
              <w:bottom w:type="dxa" w:w="60"/>
              <w:right w:type="dxa" w:w="100"/>
            </w:tcMar>
          </w:tcPr>
          <w:p>
            <w:r>
              <w:rPr>
                <w:rFonts w:ascii="Calibri" w:cs="Calibri" w:eastAsia="Calibri" w:hAnsi="Calibri"/>
                <w:b w:val="false"/>
                <w:bCs w:val="false"/>
                <w:sz w:val="18"/>
                <w:szCs w:val="18"/>
              </w:rPr>
              <w:t xml:space="preserve">“in that instant” → “within moments” (singular instant → vague plural)</w:t>
            </w:r>
          </w:p>
        </w:tc>
        <w:tc>
          <w:tcPr>
            <w:tcW w:type="dxa" w:w="3400"/>
            <w:shd w:fill="F2F2F2" w:val="clear"/>
            <w:tcMar>
              <w:top w:type="dxa" w:w="60"/>
              <w:left w:type="dxa" w:w="100"/>
              <w:bottom w:type="dxa" w:w="60"/>
              <w:right w:type="dxa" w:w="100"/>
            </w:tcMar>
          </w:tcPr>
          <w:p>
            <w:r>
              <w:rPr>
                <w:rFonts w:ascii="Calibri" w:cs="Calibri" w:eastAsia="Calibri" w:hAnsi="Calibri"/>
                <w:b w:val="false"/>
                <w:bCs w:val="false"/>
                <w:sz w:val="18"/>
                <w:szCs w:val="18"/>
              </w:rPr>
              <w:t xml:space="preserve">Not flagged as an ERROR (a different, pre-existing omission on the same verse was correctly caught as a soft note instead)</w:t>
            </w:r>
          </w:p>
        </w:tc>
        <w:tc>
          <w:tcPr>
            <w:tcW w:type="dxa" w:w="2300"/>
            <w:shd w:fill="F2F2F2" w:val="clear"/>
            <w:tcMar>
              <w:top w:type="dxa" w:w="60"/>
              <w:left w:type="dxa" w:w="100"/>
              <w:bottom w:type="dxa" w:w="60"/>
              <w:right w:type="dxa" w:w="100"/>
            </w:tcMar>
          </w:tcPr>
          <w:p>
            <w:r>
              <w:rPr>
                <w:rFonts w:ascii="Calibri" w:cs="Calibri" w:eastAsia="Calibri" w:hAnsi="Calibri"/>
                <w:b w:val="false"/>
                <w:bCs w:val="false"/>
                <w:sz w:val="18"/>
                <w:szCs w:val="18"/>
              </w:rPr>
              <w:t xml:space="preserve">Missed</w:t>
            </w:r>
          </w:p>
        </w:tc>
      </w:tr>
      <w:tr>
        <w:tc>
          <w:tcPr>
            <w:tcW w:type="dxa" w:w="90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1-11</w:t>
            </w:r>
          </w:p>
        </w:tc>
        <w:tc>
          <w:tcPr>
            <w:tcW w:type="dxa" w:w="340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“the only guide of beings” → “the many guides of beings”</w:t>
            </w:r>
          </w:p>
        </w:tc>
        <w:tc>
          <w:tcPr>
            <w:tcW w:type="dxa" w:w="340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Not flagged — verse marked clean</w:t>
            </w:r>
          </w:p>
        </w:tc>
        <w:tc>
          <w:tcPr>
            <w:tcW w:type="dxa" w:w="2300"/>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Missed</w:t>
            </w:r>
          </w:p>
        </w:tc>
      </w:tr>
    </w:tbl>
    <w:p>
      <w:pPr>
        <w:spacing w:after="160"/>
      </w:pPr>
      <w:r>
        <w:rPr>
          <w:rFonts w:ascii="Calibri" w:cs="Calibri" w:eastAsia="Calibri" w:hAnsi="Calibri"/>
          <w:sz w:val="22"/>
          <w:szCs w:val="22"/>
        </w:rPr>
        <w:t xml:space="preserve">The common thread in every miss: each relies on function words, word order, or singular/plural marking rather than a content noun the commentary explicitly glosses. The skill's method — anchor on terms the commentary defines, names, or counts, then check the English word used for that term — has no anchor for a grammatical role reversal or a clause-order swap, because no single glossed lemma changed; only the relationship between lemmas did.</w:t>
      </w:r>
    </w:p>
    <w:p>
      <w:pPr>
        <w:pStyle w:val="Heading1"/>
        <w:spacing w:after="150" w:before="300"/>
      </w:pPr>
      <w:r>
        <w:t xml:space="preserve">4. Assessment</w:t>
      </w:r>
    </w:p>
    <w:p>
      <w:pPr>
        <w:pStyle w:val="ListParagraph"/>
        <w:numPr>
          <w:ilvl w:val="0"/>
          <w:numId w:val="1"/>
        </w:numPr>
        <w:spacing w:after="90"/>
      </w:pPr>
      <w:r>
        <w:t xml:space="preserve">Strong, reliable detection (100% recall, 0% false positives) on referent-naming errors anchored to a single glossed term: wrong body/mind/dharma, wrong named entity, wrong simile target, precise-term-to-vague-synonym softening. This is exactly the failure mode the skill was built to catch, and it catches it.</w:t>
      </w:r>
    </w:p>
    <w:p>
      <w:pPr>
        <w:pStyle w:val="ListParagraph"/>
        <w:numPr>
          <w:ilvl w:val="0"/>
          <w:numId w:val="1"/>
        </w:numPr>
        <w:spacing w:after="90"/>
      </w:pPr>
      <w:r>
        <w:t xml:space="preserve">Weak to blind on errors that preserve every glossed term but change the relationship between them: agent–patient reversal (0/2) and enumeration order (0/1). The method's per-term alignment table has no mechanism for checking word order or grammatical role, since those aren't properties of any single lemma.</w:t>
      </w:r>
    </w:p>
    <w:p>
      <w:pPr>
        <w:pStyle w:val="ListParagraph"/>
        <w:numPr>
          <w:ilvl w:val="0"/>
          <w:numId w:val="1"/>
        </w:numPr>
        <w:spacing w:after="90"/>
      </w:pPr>
      <w:r>
        <w:t xml:space="preserve">Mixed on number/scope (60%, 3/5): clear quantity words (“each and every” → “a few”; “countless” → “a handful”) were caught; subtler singular/plural swaps embedded in ordinary phrasing (“in that instant” → “within moments”; “only guide” → “many guides”) were not.</w:t>
      </w:r>
    </w:p>
    <w:p>
      <w:pPr>
        <w:pStyle w:val="ListParagraph"/>
        <w:numPr>
          <w:ilvl w:val="0"/>
          <w:numId w:val="1"/>
        </w:numPr>
        <w:spacing w:after="90"/>
      </w:pPr>
      <w:r>
        <w:t xml:space="preserve">Operationally, the skill's bundled extraction script cannot be pointed directly at the vault's own 1-SOURCES/Translations/en-Padmakara_2006.md (or any multi-line-stanza translation) without a reformatting step first — worth fixing or documenting explicitly, since running it “as advertised” on that file would silently under-check three of every four lines with no error message.</w:t>
      </w:r>
    </w:p>
    <w:p>
      <w:pPr>
        <w:pStyle w:val="Heading1"/>
        <w:spacing w:after="150" w:before="300"/>
      </w:pPr>
      <w:r>
        <w:t xml:space="preserve">5. Recommendations</w:t>
      </w:r>
    </w:p>
    <w:p>
      <w:pPr>
        <w:pStyle w:val="ListParagraph"/>
        <w:numPr>
          <w:ilvl w:val="0"/>
          <w:numId w:val="1"/>
        </w:numPr>
        <w:spacing w:after="90"/>
      </w:pPr>
      <w:r>
        <w:t xml:space="preserve">Treat commentary-fact-check as strong for lexical/referent audits and weak for word-order/agent audits; pair it with a read-through (or translation-qa's fluency/accuracy pass) specifically for clause-level accuracy, not just term accuracy.</w:t>
      </w:r>
    </w:p>
    <w:p>
      <w:pPr>
        <w:pStyle w:val="ListParagraph"/>
        <w:numPr>
          <w:ilvl w:val="0"/>
          <w:numId w:val="1"/>
        </w:numPr>
        <w:spacing w:after="90"/>
      </w:pPr>
      <w:r>
        <w:t xml:space="preserve">Consider adding an explicit third alignment step for verses whose commentary describes a clear agent→action→patient structure: state who does what to whom, not just which nouns appear.</w:t>
      </w:r>
    </w:p>
    <w:p>
      <w:pPr>
        <w:pStyle w:val="ListParagraph"/>
        <w:numPr>
          <w:ilvl w:val="0"/>
          <w:numId w:val="1"/>
        </w:numPr>
        <w:spacing w:after="90"/>
      </w:pPr>
      <w:r>
        <w:t xml:space="preserve">Add a normalization or documented pre-step for multi-line-stanza translation sources so extract_translation.py's single-line assumption doesn't silently under-extract source files like the Padmakara translation.</w:t>
      </w:r>
    </w:p>
    <w:p>
      <w:pPr>
        <w:pStyle w:val="ListParagraph"/>
        <w:numPr>
          <w:ilvl w:val="0"/>
          <w:numId w:val="1"/>
        </w:numPr>
        <w:spacing w:after="90"/>
      </w:pPr>
      <w:r>
        <w:t xml:space="preserve">This benchmark used one chapter and one commentary; recall figures (especially the small-n categories: agent role n=2, enumeration order n=1) should be treated as directional, not final, until repeated on more chapters.</w:t>
      </w:r>
    </w:p>
    <w:p>
      <w:pPr>
        <w:pStyle w:val="Heading1"/>
        <w:spacing w:after="150" w:before="300"/>
      </w:pPr>
      <w:r>
        <w:t xml:space="preserve">6. Companion data</w:t>
      </w:r>
    </w:p>
    <w:p>
      <w:pPr>
        <w:spacing w:after="160"/>
      </w:pPr>
      <w:r>
        <w:rPr>
          <w:rFonts w:ascii="Calibri" w:cs="Calibri" w:eastAsia="Calibri" w:hAnsi="Calibri"/>
          <w:sz w:val="22"/>
          <w:szCs w:val="22"/>
        </w:rPr>
        <w:t xml:space="preserve">The full 25-row scored dataset (all 20 injected cases and 5 controls, with category, original/injected wording, and result) and the same metrics as live formulas are in commentary-fact-check-benchmark.xlsx. The raw detection-run report produced by the blind pass is in commentary-fact-check-report-BCAC19_KS-padmakara-ch1-test.md, and the answer key used to score it is in answer_key.json.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808080"/>
        <w:sz w:val="16"/>
        <w:szCs w:val="16"/>
      </w:rPr>
      <w:t xml:space="preserve">commentary-fact-check — Detection Benchmark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2026-08-10T12:06:19.536Z</dcterms:created>
  <dcterms:modified xsi:type="dcterms:W3CDTF">2026-08-10T12:06:19.537Z</dcterms:modified>
</cp:coreProperties>
</file>

<file path=docProps/custom.xml><?xml version="1.0" encoding="utf-8"?>
<Properties xmlns="http://schemas.openxmlformats.org/officeDocument/2006/custom-properties" xmlns:vt="http://schemas.openxmlformats.org/officeDocument/2006/docPropsVTypes"/>
</file>