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b/>
          <w:bCs/>
          <w:sz w:val="26"/>
          <w:szCs w:val="26"/>
        </w:rPr>
        <w:t xml:space="preserve">《入菩薩行論》第一品　五版對照表</w:t>
      </w:r>
    </w:p>
    <w:p>
      <w:pPr>
        <w:spacing w:after="200"/>
        <w:jc w:val="center"/>
      </w:pPr>
      <w:r>
        <w:rPr>
          <w:color w:val="555555"/>
          <w:sz w:val="15"/>
          <w:szCs w:val="15"/>
        </w:rPr>
        <w:t xml:space="preserve">如石法師（深綠）｜Padmakara 白話中文（琥珀底）｜隆蓮法師（深灰）｜索達吉堪布（藍）</w:t>
      </w:r>
    </w:p>
    <w:tbl>
      <w:tblPr>
        <w:tblW w:type="dxa" w:w="146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300"/>
        <w:gridCol w:w="4800"/>
        <w:gridCol w:w="2500"/>
        <w:gridCol w:w="4678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8F0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偈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8F0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如石法師譯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6C8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Padmakara 英譯→白話中文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8F0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隆蓮法師譯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8F0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索達吉堪布譯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1.1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遍禮佛佛子，及諸應敬者；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依教今略說：佛子律儀行。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向圓具法身的善逝如來，向一切菩薩，向一切值得禮敬之處，我恭敬頂禮。依循經典的教導，我將在此簡要說明菩薩的修行之道。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善逝具足法身及佛子，一切應禮敬處敬禮已，如來勝子律儀趣入處，遵依經教總攝當宣說。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善逝法身佛子伴，及諸應敬我悉禮。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今當依教略宣說，趨入佛子律儀法。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1.2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昔無論未說，詩韻吾不善，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豈敢言利他？撰此為修心。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這裡我不會說任何前人未曾說過的事，在詩律的技藝上我也毫無能力。因此，我並無利益他人的想法；這部著作，只是為了讓自己的心習慣於這些道理。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昔所未聞此中既未述，韻音善巧亦非我所能，故我亦非意樂為利他，唯為自心煉修造斯論。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此論未宣昔所無，詩韻吾亦不善巧，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是故未敢言利他，為修自心撰此論。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1.3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循此修善故，信亦暫增長；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善緣等我者，見此容獲益。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藉此，我的信念或許能稍有增長，讓自己更加熟習這善法之道。而其他與我有緣的人，也許能得到同等的利益。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為修善法我心淨信力，因作斯論萬一能增長，與我根機相等餘有情，由見斯論或能成義利。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循此修習善法故，吾信亦得暫增長，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善緣等我諸學人，若得見此容獲益。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1.4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暇滿極難得，既得能成利，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倘若利未辦，後世豈復得？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能夠獲得這樣的閒暇與圓滿，使人生最深遠的目標得以成就，實屬難得。若我如今未能善加利用，這樣的機緣又如何再得？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暇滿此身獲得甚艱難，士夫義利即今能成辦，若於此時不勤作饒益，後時此事何從得圓滿？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暇滿人生極難得，既得能辦人生利，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倘若今生利未辦，後世怎得此圓滿。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1.5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猶於烏雲夜，剎那耀閃電；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如是因佛力，世萌修福意。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就如同在烏雲密布的黑暗長夜，閃電突然劃破，萬象清晰顯現。同樣地，由於諸佛的力量，世間人偶爾也能短暫升起修善的福德與智慧。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猶如長夜黑暗陰雲覆，剎那電閃萬象暫顯明，如是以佛神力加持故，世人福慧萬一須臾生。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猶如烏雲暗夜中，剎那閃電極明亮，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如是因佛威德力，世人暫萌修福意。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1.6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故善恆微弱，惡大極難堪，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捨此菩提心，餘善豈能勝？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善業因此是微弱的，而惡業卻始終強大而勢不可擋。除了圓滿的菩提心，還有什麼善業能夠降伏它？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如是常以微弱之善根，極難對抗罪障大勢力，是時若無圓滿菩提心，餘善威力何能遮彼罪！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以是善行恆微弱，罪惡力大極難擋，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捨此圓滿菩提心，何有餘善能勝彼。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1.7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多劫佛深思，見此最饒益。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眾生依於此，順利獲勝樂。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大能仁在無數劫中深廣思惟，看見了菩提心的利益——藉此，無數眾生能夠安穩地獲得至高的安樂。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於多劫中恒時作護念，諸能仁主觀見此利益，無量士夫多資糧所成，勝樂由斯不難安隱得。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佛於多劫深思維，見此覺心最饒益，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無量眾生依於此，順利能獲最勝樂。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1.8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欲滅三有苦，及除眾不安，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欲享福樂者，恆莫捨覺心。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那些希望消滅輪迴諸多苦痛的人，那些希望平息有情眾生苦痛的人，那些希望體驗無數安樂的人，永遠不應背離菩提心。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百千生死苦痛欲摧壞，有情憂惱不安欲遣除，眾多百千妙樂欲受享，菩提心體常應不捨離。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欲滅三有百般苦，及除有情眾不安，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欲享百種快樂者，恆常莫捨菩提心。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1.9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生死獄中囚，若生菩提心，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即刻名佛子，人天應禮敬。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若菩提心在被輪迴牢籠囚禁的眾生中誕生，在那一瞬間，他們便被稱為菩薩，值得世間人天的禮敬。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若發菩提心者剎那間，生死囹圄堅牢苦逼身，即名一切如來殊勝子，世間天人悉皆應恭敬。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生死獄繫苦有情，倘若生起菩提心，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即刻得名諸佛子，世間人天應禮敬。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1.10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如勝冶金料，得此垢身成，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無價佛陀身，故應持覺心。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如同煉金師的至上靈藥，能將我們不淨的血肉轉化為佛陀的身體——那是無價的珍寶。這就是菩提心，讓我們緊緊把握！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如丹點金轉成殊勝相，將此不淨之身能轉成，希有無價大寶如來身，是故於菩提心應堅持。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猶如最勝冶金料，垢身得此將轉成，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無價之寶佛陀身，故應堅持菩提心。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1.11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導師以慧觀，見彼極珍貴；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欲出三界者，宜善持覺心。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由於眾生唯一的嚮導——諸佛——以無盡的智慧深加審視，認識到菩提心的無價之寶，那些希望脫離輪迴的人，應當牢牢守護這顆珍貴的菩提心。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眾生唯一導師無量慧，善巧普觀見為極珍奇，五趣眾生欲求出離者，大寶菩提妙心應堅持。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眾生導師以慧觀，徹見彼心極珍貴，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諸欲出離三界者，宜善堅持菩提心。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1.12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餘善如芭蕉，生果即枯槁；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覺心樹生果，不枯反增茂。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其他一切善業，如同芭蕉樹，結果之後便力竭，不再生長。唯有菩提心這棵樹，不斷地結果，並持續生長，永不止息。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一切餘善不久如芭蕉，一次生果凋謝不再生，菩提妙心嘉樹常茂密，與果恒時無盡輾轉增。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其餘善行如芭蕉，果實生已終枯槁，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菩提心樹恆生果，非僅不盡反增茂。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1.13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如人雖犯罪，依士得除畏；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若有令脫者，畏者何不依？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即使造下了極重的惡業，如同依靠一位英勇的勇士便能脫免巨大的怖畏，依靠菩提心也能在頃刻之間得到解脫。那些畏懼罪業的人，為何不依靠它？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如作極惡難容諸重罪，須依有力勇者脫諸怖，若於誰人歸投即蒙救，諸謹畏者於彼何不歸。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如人雖犯極重罪，然依勇士得除畏，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若有速令解脫者，畏罪之人何不依。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1.14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覺心如劫火，剎那毀諸罪。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彌勒諭善財：覺心德無量。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如同將毀滅世界的烈火，巨大的罪業必然且立刻被它消盡。它的利益因此是無邊的，如同智慧的慈氏菩薩（彌勒）向善財童子所解說的。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菩提妙心猶如劫盡火，剎那能焚諸罪盡無餘，是故發心功德量無邊，慈氏依怙廣為善財說。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菩提心如末劫火，剎那能毀諸重罪。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智者彌勒諭善財，彼心利益無限量。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1.15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略攝菩提心，當知有二種：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願求菩提心、趣行菩提心。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菩提心，概括而言有兩個面向：首先是發願菩提心，即心中渴望覺悟的意願；然後是行菩提心，即實際踏上修行之道的行動。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總攝而言菩提心，應知有二種差別，謂即發起菩提願，及與趣入菩提行。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略攝菩提心，當知有二種，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願求菩提心，趣行菩提心。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1.16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如人盡了知，欲行正行別；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如是智者知，二心次第別。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如同想要出發，與已然踏上旅途——兩者的差別一目了然。智者應當以同樣清晰的方式，了知這兩顆心之間的次第差別。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如人欲行與趣行，差別如何易了知，如其次第願行別，智者當知亦如是。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如人盡了知，欲行正行別，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如是智者知：二心次第別。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1.17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願心於生死，雖生廣大果，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猶不如行心，相續增福德。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發願菩提心雖然也能為仍在輪迴中的人生起廣大果報，然而福德並不像行菩提心那樣，能以連綿不斷的洪流湧現。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願菩提心雖亦能，於生死中興大果，然不如行菩提心，出生福德恒無盡。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願心於生死，雖生廣大果，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猶不如行心，相續增福德。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1.18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何時為度盡，無邊眾有情，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立志不退轉，受持此行心；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當心以不可逆轉的意願真實受持菩提心，願意解脫無盡的眾生——在那一瞬間，從那一刻起，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普為無邊有情界，悉皆解脫安隱故，發心堅固無退轉，何時真發如是心。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何時為度盡，無邊眾有情，</w:t>
            </w:r>
          </w:p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立志不退轉，受持此行心，</w:t>
            </w:r>
          </w:p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即自彼時起，縱眠或放逸，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福德相續生，量多等虛空。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1.19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即自彼時起，縱眠或放逸，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福德相續生，量多等虛空。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即便在睡眠或散亂的時候，廣大如虛空的福德力量，也持續不斷地湧現。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即當從於彼時起，縱令倚臥行放逸，福德勢力流無盡，量等虛空遍出生。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為信小乘者，妙臂問經中，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如來自宣說，其益極應理。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1.20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為信小乘者，妙臂問經中，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如來自故說；其益極應理。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這是如來在妙臂所請問的經典中，以合理的論證所說的，為那些傾向小乘道的人而宣說。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此有經文可為證，出於《妙臂請問經》，為利小心有情故，如來歡喜親宣說。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若僅思療愈，有情諸頭疾，</w:t>
            </w:r>
          </w:p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具此饒益心，獲福無窮盡，</w:t>
            </w:r>
          </w:p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況欲除有情，無量不安樂，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乃至欲成就，有情無量德。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1.21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若僅思療癒，有情諸頭疾，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具此饒益心，獲福無窮盡。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若僅僅生起一念，想為眾生撫慰頭痛這樣的小疾，那帶著饒益意念的一念，功德便已無邊無際。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若人但略一思維，欲為有情除首疾，亦為具足饒益想，所有福德亦無量。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是父抑或母，誰具此心耶？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1.22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況欲除有情，無量不安樂，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乃至欲成就，有情無量德。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更何況是發願為每一位眾生驅除無盡的苦痛，並為他們帶來無邊的善益——那樣的功德，又何須多言。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況為別別眾有情，各欲為除無量苦，無量功德各成辦，其為福德何待言。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是仙或欲天，梵天有此耶？</w:t>
            </w:r>
          </w:p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彼等為自利，尚且未夢及，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況為他有情，生此饒益心？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1.23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是父抑或母，誰具此心耶？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是仙或欲天，梵天有此耶？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我們的父親或母親，曾有過這樣的饒益之心嗎？即使是天神、仙人，甚至梵天，也曾有過這樣的心嗎？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縱令若父或若母，孰有如斯饒益心，諸天仙人梵行者，寧有何人心似此。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他人為自利，尚且未能發，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珍貴此願心，能生誠稀有！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1.24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彼等為自利，尚且未夢及，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況為他有情，生此饒益心？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因為在過去，他們從未——即使在夢中——為自己希望過類似的事情。他們又如何能為他人而如此？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彼諸有情於往昔，為自利故如是心，夢中尚未暫夢見，此利他心從何生。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珍貴菩提心，眾生安樂因，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除苦妙甘霖，其福何能量？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1.25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他人為自利，尚且未能發；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生此珍貴心，稀有誠空前！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這顆為利益眾生而升起的珍寶之心——其他人甚至不為自己都不曾有過這樣的願望——這空前希有的奇珍，就這樣真實地誕生了。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反是絕不求自利，唯為利益諸有情，殊勝菩提心妙寶，空前希有始誕生。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僅思利眾生，福勝供諸佛，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何況勤精進，利樂諸有情。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1.26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珍貴菩提心，眾生安樂因，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除苦妙甘霖，其福何能量？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這是一切眾生喜樂的根源，也是療癒眾生苦痛的良藥——這顆珍寶之心所積累的功德，如何計算？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一切有情喜樂因，有情諸苦普療藥，菩提妙心福云何，於彼以何量可測。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眾生欲除苦，反行痛苦因，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愚人雖求樂，毀樂如滅仇。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1.27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僅思利眾生，福勝供諸佛；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何況勤精進，利樂諸有情。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若單純想要幫助他人的念頭，就已超越了對諸佛的供養，何須再說那些實際帶來眾生福祉的行動？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僅唯發起饒益心，猶勝供養諸如來，況於無餘眾有情，勤作利益安樂事。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於諸乏樂者，多苦諸眾生，</w:t>
            </w:r>
          </w:p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足以眾安樂，斷彼一切苦，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更復盡其癡，寧有等此善！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1.28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眾生欲除苦，奈何苦更增，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愚人雖求樂，毀樂如滅仇。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眾生渴望將自己從苦難中解脫，卻追隨並尋求苦難本身。他們渴望喜樂，但在愚昧中，他們像對待仇敵一樣摧毀它。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心欲捨離諸苦痛，現於諸苦轉趣近，雖欲安樂而愚昧，摧壞己樂如仇人。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安得似此友！豈有如此福！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1.29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於諸乏樂者，多苦諸眾生，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足以眾安樂，斷彼一切苦，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但那些以安樂充滿所有缺乏喜樂的眾生，截斷所有被苦難壓制者的痛苦，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若人匱乏安樂具，具足眾多痛苦事，誰以諸樂令滿足，復為斷除諸苦痛。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若人酬恩施，尚且應稱讚，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何況未受托，菩薩自樂為。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1.30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更復盡其癡；寧有等此善？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安得似此友？豈有如此福？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還能驅散他們無明的黑暗——有什麼功德能與之相比？有什麼朋友能與之相比？有什麼福德能與此相似？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愚癡暗昧能遣除，如此善心何能匹，如斯善友何可得，如斯福德何能及。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偶備微劣食，嗟施少眾生，</w:t>
            </w:r>
          </w:p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令得半日飽，人敬為善士，</w:t>
            </w:r>
          </w:p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何況恆施予，無邊有情眾，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善逝無上樂，滿彼一切願。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1.31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若人酬恩施，尚且應稱讚；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何況未受託，菩薩自樂為。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若一個回報恩情的人值得稱揚，那些即使未受請求也行善的菩薩，又何須多言？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或為受恩作酬報，彼亦尚應獲稱揚，況為眾生不請友，菩提薩埵何待言。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博施諸佛子，若人生惡心，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佛言彼墮獄，長如心數劫。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1.32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偶備微劣食，嗟施少眾生，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令得半日飽，人敬為善士。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人們讚揚那些以輕視的態度，以普通的食物供養少數人的施主——片刻的布施，只夠半日的食糧。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於少有情作摶食，剎那施與一餔醊，輕心嗟來半日施，世人敬讚猶稱善。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若人生淨信，得果較前勝。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1.33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何況恆施與，無邊有情眾，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善逝無上樂，滿彼一切願。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何須再說那些長久地將善逝如來無上的安樂施予無數眾生、使其所有願望圓滿實現的人？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況於無邊諸有情，無上菩提大安樂，隨心所欲悉圓滿，恒時施與何待言。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佛子雖逢難，善增罪不生。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1.34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博施諸佛子，若人生惡心，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佛言彼墮獄，久如心數劫。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所有那些在心中對這些慷慨的施主、菩薩懷有惡意的人，大能仁說，他們將在地獄中停留，長達與惡念瞬間等同的劫數。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如是佛子大施主，若誰於彼起惡心，佛言隨其心念數，當墮泥犁爾許劫。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何人生此心，我禮彼人身，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加害結樂緣，皈依樂源尊。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1.35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若人生淨信，得果較前增；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佛子雖逢難，善增罪不生。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若有人對菩薩生起歡喜的心，那份善果比前述的業果增長得更為迅速。即使在巨大的困難中，菩薩也不生過失；他們的功德自然增長。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若誰於彼生淨信，其果如前信轉增，於諸佛子極珍重，罪垢不生善自增。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（第一品終）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1.36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何人生此心，我禮彼人身！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誰令怨敵樂，歸敬彼樂源！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向那些心中生起了這顆珍寶菩提心的人，我恭敬頂禮！我向這安樂的源泉皈依——即便傷害了他們的人，也會因此而與安樂相連。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誰具勝義妙寶心，於彼之身當敬禮，縱損彼者猶霑樂，安樂生處我皈依。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（見1.34）</w:t>
            </w:r>
          </w:p>
        </w:tc>
      </w:tr>
    </w:tbl>
    <w:sectPr>
      <w:pgSz w:w="16838" w:h="11906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 Unicode MS" w:cs="Arial Unicode MS" w:eastAsia="Arial Unicode MS" w:hAnsi="Arial Unicode MS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40" w:before="0"/>
      <w:outlineLvl w:val="0"/>
    </w:pPr>
    <w:rPr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2026-06-01T07:31:42.860Z</dcterms:created>
  <dcterms:modified xsi:type="dcterms:W3CDTF">2026-06-01T07:31:42.860Z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