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4"/>
        </w:rPr>
        <w:t>CAD Readers and Data Exchange</w:t>
      </w:r>
    </w:p>
    <w:p>
      <w:r>
        <w:rPr>
          <w:b/>
          <w:color w:val="17315C"/>
          <w:sz w:val="23"/>
        </w:rPr>
        <w:t>As of JobLine G-Code for VS Code 0.3.12</w:t>
      </w:r>
    </w:p>
    <w:p>
      <w:pPr>
        <w:keepNext/>
        <w:spacing w:before="160" w:after="60"/>
      </w:pPr>
      <w:r>
        <w:rPr>
          <w:b/>
          <w:sz w:val="22"/>
        </w:rPr>
        <w:t>Models and setup data</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997"/>
            <w:shd w:val="clear" w:color="auto" w:fill="17315C"/>
          </w:tcPr>
          <w:p>
            <w:pPr>
              <w:spacing w:after="0"/>
            </w:pPr>
            <w:r>
              <w:rPr>
                <w:b/>
                <w:color w:val="FFFFFF"/>
                <w:sz w:val="15"/>
              </w:rPr>
              <w:t>CAD System / Data</w:t>
            </w:r>
          </w:p>
        </w:tc>
        <w:tc>
          <w:tcPr>
            <w:tcW w:type="dxa" w:w="1997"/>
            <w:shd w:val="clear" w:color="auto" w:fill="17315C"/>
          </w:tcPr>
          <w:p>
            <w:pPr>
              <w:spacing w:after="0"/>
            </w:pPr>
            <w:r>
              <w:rPr>
                <w:b/>
                <w:color w:val="FFFFFF"/>
                <w:sz w:val="15"/>
              </w:rPr>
              <w:t>Format</w:t>
            </w:r>
          </w:p>
        </w:tc>
        <w:tc>
          <w:tcPr>
            <w:tcW w:type="dxa" w:w="2313"/>
            <w:shd w:val="clear" w:color="auto" w:fill="17315C"/>
          </w:tcPr>
          <w:p>
            <w:pPr>
              <w:spacing w:after="0"/>
            </w:pPr>
            <w:r>
              <w:rPr>
                <w:b/>
                <w:color w:val="FFFFFF"/>
                <w:sz w:val="15"/>
              </w:rPr>
              <w:t>Version</w:t>
            </w:r>
          </w:p>
        </w:tc>
        <w:tc>
          <w:tcPr>
            <w:tcW w:type="dxa" w:w="841"/>
            <w:shd w:val="clear" w:color="auto" w:fill="17315C"/>
          </w:tcPr>
          <w:p>
            <w:pPr>
              <w:spacing w:after="0"/>
              <w:jc w:val="center"/>
            </w:pPr>
            <w:r>
              <w:rPr>
                <w:b/>
                <w:color w:val="FFFFFF"/>
                <w:sz w:val="15"/>
              </w:rPr>
              <w:t>Read</w:t>
            </w:r>
          </w:p>
        </w:tc>
        <w:tc>
          <w:tcPr>
            <w:tcW w:type="dxa" w:w="841"/>
            <w:shd w:val="clear" w:color="auto" w:fill="17315C"/>
          </w:tcPr>
          <w:p>
            <w:pPr>
              <w:spacing w:after="0"/>
              <w:jc w:val="center"/>
            </w:pPr>
            <w:r>
              <w:rPr>
                <w:b/>
                <w:color w:val="FFFFFF"/>
                <w:sz w:val="15"/>
              </w:rPr>
              <w:t>Write</w:t>
            </w:r>
          </w:p>
        </w:tc>
        <w:tc>
          <w:tcPr>
            <w:tcW w:type="dxa" w:w="1367"/>
            <w:shd w:val="clear" w:color="auto" w:fill="17315C"/>
          </w:tcPr>
          <w:p>
            <w:pPr>
              <w:spacing w:after="0"/>
              <w:jc w:val="center"/>
            </w:pPr>
            <w:r>
              <w:rPr>
                <w:b/>
                <w:color w:val="FFFFFF"/>
                <w:sz w:val="15"/>
              </w:rPr>
              <w:t>Feature / Data Exchange</w:t>
            </w:r>
          </w:p>
        </w:tc>
        <w:tc>
          <w:tcPr>
            <w:tcW w:type="dxa" w:w="1156"/>
            <w:shd w:val="clear" w:color="auto" w:fill="17315C"/>
          </w:tcPr>
          <w:p>
            <w:pPr>
              <w:spacing w:after="0"/>
              <w:jc w:val="center"/>
            </w:pPr>
            <w:r>
              <w:rPr>
                <w:b/>
                <w:color w:val="FFFFFF"/>
                <w:sz w:val="15"/>
              </w:rPr>
              <w:t>Sketch / 2D Data</w:t>
            </w:r>
          </w:p>
        </w:tc>
      </w:tr>
      <w:tr>
        <w:tc>
          <w:tcPr>
            <w:tcW w:type="dxa" w:w="1997"/>
          </w:tcPr>
          <w:p>
            <w:pPr>
              <w:spacing w:after="0"/>
            </w:pPr>
            <w:r>
              <w:rPr>
                <w:b/>
                <w:sz w:val="15"/>
              </w:rPr>
              <w:t>STEP</w:t>
            </w:r>
          </w:p>
        </w:tc>
        <w:tc>
          <w:tcPr>
            <w:tcW w:type="dxa" w:w="1997"/>
          </w:tcPr>
          <w:p>
            <w:pPr>
              <w:spacing w:after="0"/>
            </w:pPr>
            <w:r>
              <w:rPr>
                <w:sz w:val="15"/>
              </w:rPr>
              <w:t>*.stp, *.step</w:t>
            </w:r>
          </w:p>
        </w:tc>
        <w:tc>
          <w:tcPr>
            <w:tcW w:type="dxa" w:w="2313"/>
          </w:tcPr>
          <w:p>
            <w:pPr>
              <w:spacing w:after="0"/>
            </w:pPr>
            <w:r>
              <w:rPr>
                <w:sz w:val="15"/>
              </w:rPr>
              <w:t>AP203 / AP214 / AP242 (ISO 10303-21)</w:t>
            </w:r>
          </w:p>
        </w:tc>
        <w:tc>
          <w:tcPr>
            <w:tcW w:type="dxa" w:w="841"/>
          </w:tcPr>
          <w:p>
            <w:pPr>
              <w:spacing w:after="0"/>
              <w:jc w:val="center"/>
            </w:pPr>
            <w:r>
              <w:rPr>
                <w:b/>
                <w:color w:val="00B98E"/>
                <w:sz w:val="19"/>
              </w:rPr>
              <w:t>✓</w:t>
            </w:r>
            <w:r>
              <w:rPr>
                <w:sz w:val="15"/>
                <w:vertAlign w:val="superscript"/>
              </w:rPr>
              <w:t>1</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r>
        <w:tc>
          <w:tcPr>
            <w:tcW w:type="dxa" w:w="1997"/>
          </w:tcPr>
          <w:p>
            <w:pPr>
              <w:spacing w:after="0"/>
            </w:pPr>
            <w:r>
              <w:rPr>
                <w:b/>
                <w:sz w:val="15"/>
              </w:rPr>
              <w:t>STL</w:t>
            </w:r>
          </w:p>
        </w:tc>
        <w:tc>
          <w:tcPr>
            <w:tcW w:type="dxa" w:w="1997"/>
          </w:tcPr>
          <w:p>
            <w:pPr>
              <w:spacing w:after="0"/>
            </w:pPr>
            <w:r>
              <w:rPr>
                <w:sz w:val="15"/>
              </w:rPr>
              <w:t>*.stl</w:t>
            </w:r>
          </w:p>
        </w:tc>
        <w:tc>
          <w:tcPr>
            <w:tcW w:type="dxa" w:w="2313"/>
          </w:tcPr>
          <w:p>
            <w:pPr>
              <w:spacing w:after="0"/>
            </w:pPr>
            <w:r>
              <w:rPr>
                <w:sz w:val="15"/>
              </w:rPr>
              <w:t>ASCII and binary</w:t>
            </w:r>
          </w:p>
        </w:tc>
        <w:tc>
          <w:tcPr>
            <w:tcW w:type="dxa" w:w="841"/>
          </w:tcPr>
          <w:p>
            <w:pPr>
              <w:spacing w:after="0"/>
              <w:jc w:val="center"/>
            </w:pPr>
            <w:r>
              <w:rPr>
                <w:b/>
                <w:color w:val="00B98E"/>
                <w:sz w:val="19"/>
              </w:rPr>
              <w:t>✓</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r>
        <w:tc>
          <w:tcPr>
            <w:tcW w:type="dxa" w:w="1997"/>
          </w:tcPr>
          <w:p>
            <w:pPr>
              <w:spacing w:after="0"/>
            </w:pPr>
            <w:r>
              <w:rPr>
                <w:b/>
                <w:sz w:val="15"/>
              </w:rPr>
              <w:t>Parasolid (text)</w:t>
            </w:r>
          </w:p>
        </w:tc>
        <w:tc>
          <w:tcPr>
            <w:tcW w:type="dxa" w:w="1997"/>
          </w:tcPr>
          <w:p>
            <w:pPr>
              <w:spacing w:after="0"/>
            </w:pPr>
            <w:r>
              <w:rPr>
                <w:sz w:val="15"/>
              </w:rPr>
              <w:t>*.x_t, *.xmt_txt, *.xmt</w:t>
            </w:r>
          </w:p>
        </w:tc>
        <w:tc>
          <w:tcPr>
            <w:tcW w:type="dxa" w:w="2313"/>
          </w:tcPr>
          <w:p>
            <w:pPr>
              <w:spacing w:after="0"/>
            </w:pPr>
            <w:r>
              <w:rPr>
                <w:sz w:val="15"/>
              </w:rPr>
              <w:t>Text transmit files</w:t>
            </w:r>
          </w:p>
        </w:tc>
        <w:tc>
          <w:tcPr>
            <w:tcW w:type="dxa" w:w="841"/>
          </w:tcPr>
          <w:p>
            <w:pPr>
              <w:spacing w:after="0"/>
              <w:jc w:val="center"/>
            </w:pPr>
            <w:r>
              <w:rPr>
                <w:b/>
                <w:color w:val="00B98E"/>
                <w:sz w:val="19"/>
              </w:rPr>
              <w:t>✓</w:t>
            </w:r>
            <w:r>
              <w:rPr>
                <w:sz w:val="15"/>
                <w:vertAlign w:val="superscript"/>
              </w:rPr>
              <w:t>2</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r>
        <w:tc>
          <w:tcPr>
            <w:tcW w:type="dxa" w:w="1997"/>
          </w:tcPr>
          <w:p>
            <w:pPr>
              <w:spacing w:after="0"/>
            </w:pPr>
            <w:r>
              <w:rPr>
                <w:b/>
                <w:sz w:val="15"/>
              </w:rPr>
              <w:t>Parasolid (binary)</w:t>
            </w:r>
          </w:p>
        </w:tc>
        <w:tc>
          <w:tcPr>
            <w:tcW w:type="dxa" w:w="1997"/>
          </w:tcPr>
          <w:p>
            <w:pPr>
              <w:spacing w:after="0"/>
            </w:pPr>
            <w:r>
              <w:rPr>
                <w:sz w:val="15"/>
              </w:rPr>
              <w:t>*.x_b</w:t>
            </w:r>
          </w:p>
        </w:tc>
        <w:tc>
          <w:tcPr>
            <w:tcW w:type="dxa" w:w="2313"/>
          </w:tcPr>
          <w:p>
            <w:pPr>
              <w:spacing w:after="0"/>
            </w:pPr>
            <w:r>
              <w:rPr>
                <w:sz w:val="15"/>
              </w:rPr>
              <w:t>—</w:t>
            </w:r>
          </w:p>
        </w:tc>
        <w:tc>
          <w:tcPr>
            <w:tcW w:type="dxa" w:w="841"/>
          </w:tcPr>
          <w:p>
            <w:pPr>
              <w:spacing w:after="0"/>
              <w:jc w:val="center"/>
            </w:pPr>
            <w:r>
              <w:rPr>
                <w:sz w:val="15"/>
                <w:vertAlign w:val="superscript"/>
              </w:rPr>
              <w:t>3</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r>
        <w:tc>
          <w:tcPr>
            <w:tcW w:type="dxa" w:w="1997"/>
          </w:tcPr>
          <w:p>
            <w:pPr>
              <w:spacing w:after="0"/>
            </w:pPr>
            <w:r>
              <w:rPr>
                <w:b/>
                <w:sz w:val="15"/>
              </w:rPr>
              <w:t>Autodesk Fusion setup</w:t>
            </w:r>
          </w:p>
        </w:tc>
        <w:tc>
          <w:tcPr>
            <w:tcW w:type="dxa" w:w="1997"/>
          </w:tcPr>
          <w:p>
            <w:pPr>
              <w:spacing w:after="0"/>
            </w:pPr>
            <w:r>
              <w:rPr>
                <w:sz w:val="15"/>
              </w:rPr>
              <w:t>*.f3d</w:t>
            </w:r>
          </w:p>
        </w:tc>
        <w:tc>
          <w:tcPr>
            <w:tcW w:type="dxa" w:w="2313"/>
          </w:tcPr>
          <w:p>
            <w:pPr>
              <w:spacing w:after="0"/>
            </w:pPr>
            <w:r>
              <w:rPr>
                <w:sz w:val="15"/>
              </w:rPr>
              <w:t>Fusion archive (ZIP)</w:t>
            </w:r>
          </w:p>
        </w:tc>
        <w:tc>
          <w:tcPr>
            <w:tcW w:type="dxa" w:w="841"/>
          </w:tcPr>
          <w:p>
            <w:pPr>
              <w:spacing w:after="0"/>
              <w:jc w:val="center"/>
            </w:pPr>
            <w:r>
              <w:rPr>
                <w:b/>
                <w:color w:val="00B98E"/>
                <w:sz w:val="19"/>
              </w:rPr>
              <w:t>✓</w:t>
            </w:r>
            <w:r>
              <w:rPr>
                <w:sz w:val="15"/>
                <w:vertAlign w:val="superscript"/>
              </w:rPr>
              <w:t>4</w:t>
            </w:r>
          </w:p>
        </w:tc>
        <w:tc>
          <w:tcPr>
            <w:tcW w:type="dxa" w:w="841"/>
          </w:tcPr>
          <w:p>
            <w:pPr>
              <w:spacing w:after="0"/>
              <w:jc w:val="center"/>
            </w:pPr>
          </w:p>
        </w:tc>
        <w:tc>
          <w:tcPr>
            <w:tcW w:type="dxa" w:w="1367"/>
          </w:tcPr>
          <w:p>
            <w:pPr>
              <w:spacing w:after="0"/>
              <w:jc w:val="center"/>
            </w:pPr>
            <w:r>
              <w:rPr>
                <w:b/>
                <w:color w:val="00B98E"/>
                <w:sz w:val="19"/>
              </w:rPr>
              <w:t>✓</w:t>
            </w:r>
            <w:r>
              <w:rPr>
                <w:sz w:val="15"/>
                <w:vertAlign w:val="superscript"/>
              </w:rPr>
              <w:t>4</w:t>
            </w:r>
          </w:p>
        </w:tc>
        <w:tc>
          <w:tcPr>
            <w:tcW w:type="dxa" w:w="1156"/>
          </w:tcPr>
          <w:p>
            <w:pPr>
              <w:spacing w:after="0"/>
              <w:jc w:val="center"/>
            </w:pPr>
          </w:p>
        </w:tc>
      </w:tr>
      <w:tr>
        <w:tc>
          <w:tcPr>
            <w:tcW w:type="dxa" w:w="1997"/>
          </w:tcPr>
          <w:p>
            <w:pPr>
              <w:spacing w:after="0"/>
            </w:pPr>
            <w:r>
              <w:rPr>
                <w:b/>
                <w:sz w:val="15"/>
              </w:rPr>
              <w:t>JobLine machine</w:t>
            </w:r>
          </w:p>
        </w:tc>
        <w:tc>
          <w:tcPr>
            <w:tcW w:type="dxa" w:w="1997"/>
          </w:tcPr>
          <w:p>
            <w:pPr>
              <w:spacing w:after="0"/>
            </w:pPr>
            <w:r>
              <w:rPr>
                <w:sz w:val="15"/>
              </w:rPr>
              <w:t>*.jblmachine (JSON)</w:t>
            </w:r>
          </w:p>
        </w:tc>
        <w:tc>
          <w:tcPr>
            <w:tcW w:type="dxa" w:w="2313"/>
          </w:tcPr>
          <w:p>
            <w:pPr>
              <w:spacing w:after="0"/>
            </w:pPr>
            <w:r>
              <w:rPr>
                <w:sz w:val="15"/>
              </w:rPr>
              <w:t>Format 1.0</w:t>
            </w:r>
          </w:p>
        </w:tc>
        <w:tc>
          <w:tcPr>
            <w:tcW w:type="dxa" w:w="841"/>
          </w:tcPr>
          <w:p>
            <w:pPr>
              <w:spacing w:after="0"/>
              <w:jc w:val="center"/>
            </w:pPr>
            <w:r>
              <w:rPr>
                <w:b/>
                <w:color w:val="00B98E"/>
                <w:sz w:val="19"/>
              </w:rPr>
              <w:t>✓</w:t>
            </w:r>
          </w:p>
        </w:tc>
        <w:tc>
          <w:tcPr>
            <w:tcW w:type="dxa" w:w="841"/>
          </w:tcPr>
          <w:p>
            <w:pPr>
              <w:spacing w:after="0"/>
              <w:jc w:val="center"/>
            </w:pPr>
            <w:r>
              <w:rPr>
                <w:b/>
                <w:color w:val="00B98E"/>
                <w:sz w:val="19"/>
              </w:rPr>
              <w:t>✓</w:t>
            </w:r>
          </w:p>
        </w:tc>
        <w:tc>
          <w:tcPr>
            <w:tcW w:type="dxa" w:w="1367"/>
          </w:tcPr>
          <w:p>
            <w:pPr>
              <w:spacing w:after="0"/>
              <w:jc w:val="center"/>
            </w:pPr>
            <w:r>
              <w:rPr>
                <w:b/>
                <w:color w:val="00B98E"/>
                <w:sz w:val="19"/>
              </w:rPr>
              <w:t>✓</w:t>
            </w:r>
            <w:r>
              <w:rPr>
                <w:sz w:val="15"/>
                <w:vertAlign w:val="superscript"/>
              </w:rPr>
              <w:t>5</w:t>
            </w:r>
          </w:p>
        </w:tc>
        <w:tc>
          <w:tcPr>
            <w:tcW w:type="dxa" w:w="1156"/>
          </w:tcPr>
          <w:p>
            <w:pPr>
              <w:spacing w:after="0"/>
              <w:jc w:val="center"/>
            </w:pPr>
          </w:p>
        </w:tc>
      </w:tr>
      <w:tr>
        <w:tc>
          <w:tcPr>
            <w:tcW w:type="dxa" w:w="1997"/>
          </w:tcPr>
          <w:p>
            <w:pPr>
              <w:spacing w:after="0"/>
            </w:pPr>
            <w:r>
              <w:rPr>
                <w:b/>
                <w:sz w:val="15"/>
              </w:rPr>
              <w:t>RevPack</w:t>
            </w:r>
          </w:p>
        </w:tc>
        <w:tc>
          <w:tcPr>
            <w:tcW w:type="dxa" w:w="1997"/>
          </w:tcPr>
          <w:p>
            <w:pPr>
              <w:spacing w:after="0"/>
            </w:pPr>
            <w:r>
              <w:rPr>
                <w:sz w:val="15"/>
              </w:rPr>
              <w:t>revpack.json</w:t>
            </w:r>
          </w:p>
        </w:tc>
        <w:tc>
          <w:tcPr>
            <w:tcW w:type="dxa" w:w="2313"/>
          </w:tcPr>
          <w:p>
            <w:pPr>
              <w:spacing w:after="0"/>
            </w:pPr>
            <w:r>
              <w:rPr>
                <w:rFonts w:ascii="Consolas" w:hAnsi="Consolas"/>
                <w:color w:val="17315C"/>
                <w:sz w:val="15"/>
              </w:rPr>
              <w:t>jobline.revpack/2</w:t>
            </w:r>
          </w:p>
        </w:tc>
        <w:tc>
          <w:tcPr>
            <w:tcW w:type="dxa" w:w="841"/>
          </w:tcPr>
          <w:p>
            <w:pPr>
              <w:spacing w:after="0"/>
              <w:jc w:val="center"/>
            </w:pPr>
            <w:r>
              <w:rPr>
                <w:sz w:val="15"/>
                <w:vertAlign w:val="superscript"/>
              </w:rPr>
              <w:t>6</w:t>
            </w:r>
          </w:p>
        </w:tc>
        <w:tc>
          <w:tcPr>
            <w:tcW w:type="dxa" w:w="841"/>
          </w:tcPr>
          <w:p>
            <w:pPr>
              <w:spacing w:after="0"/>
              <w:jc w:val="center"/>
            </w:pPr>
          </w:p>
        </w:tc>
        <w:tc>
          <w:tcPr>
            <w:tcW w:type="dxa" w:w="1367"/>
          </w:tcPr>
          <w:p>
            <w:pPr>
              <w:spacing w:after="0"/>
              <w:jc w:val="center"/>
            </w:pPr>
            <w:r>
              <w:rPr>
                <w:sz w:val="15"/>
                <w:vertAlign w:val="superscript"/>
              </w:rPr>
              <w:t>6</w:t>
            </w:r>
          </w:p>
        </w:tc>
        <w:tc>
          <w:tcPr>
            <w:tcW w:type="dxa" w:w="1156"/>
          </w:tcPr>
          <w:p>
            <w:pPr>
              <w:spacing w:after="0"/>
              <w:jc w:val="center"/>
            </w:pPr>
          </w:p>
        </w:tc>
      </w:tr>
      <w:tr>
        <w:tc>
          <w:tcPr>
            <w:tcW w:type="dxa" w:w="1997"/>
          </w:tcPr>
          <w:p>
            <w:pPr>
              <w:spacing w:after="0"/>
            </w:pPr>
            <w:r>
              <w:rPr>
                <w:b/>
                <w:sz w:val="15"/>
              </w:rPr>
              <w:t>RevPack (v1 manifest)</w:t>
            </w:r>
          </w:p>
        </w:tc>
        <w:tc>
          <w:tcPr>
            <w:tcW w:type="dxa" w:w="1997"/>
          </w:tcPr>
          <w:p>
            <w:pPr>
              <w:spacing w:after="0"/>
            </w:pPr>
            <w:r>
              <w:rPr>
                <w:sz w:val="15"/>
              </w:rPr>
              <w:t>manifest JSON</w:t>
            </w:r>
          </w:p>
        </w:tc>
        <w:tc>
          <w:tcPr>
            <w:tcW w:type="dxa" w:w="2313"/>
          </w:tcPr>
          <w:p>
            <w:pPr>
              <w:spacing w:after="0"/>
            </w:pPr>
            <w:r>
              <w:rPr>
                <w:sz w:val="15"/>
              </w:rPr>
              <w:t>v1 (gcode + goal models)</w:t>
            </w:r>
          </w:p>
        </w:tc>
        <w:tc>
          <w:tcPr>
            <w:tcW w:type="dxa" w:w="841"/>
          </w:tcPr>
          <w:p>
            <w:pPr>
              <w:spacing w:after="0"/>
              <w:jc w:val="center"/>
            </w:pPr>
            <w:r>
              <w:rPr>
                <w:sz w:val="15"/>
                <w:vertAlign w:val="superscript"/>
              </w:rPr>
              <w:t>7</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r>
        <w:tc>
          <w:tcPr>
            <w:tcW w:type="dxa" w:w="1997"/>
          </w:tcPr>
          <w:p>
            <w:pPr>
              <w:spacing w:after="0"/>
            </w:pPr>
            <w:r>
              <w:rPr>
                <w:b/>
                <w:sz w:val="15"/>
              </w:rPr>
              <w:t>Lathe insert codes</w:t>
            </w:r>
          </w:p>
        </w:tc>
        <w:tc>
          <w:tcPr>
            <w:tcW w:type="dxa" w:w="1997"/>
          </w:tcPr>
          <w:p>
            <w:pPr>
              <w:spacing w:after="0"/>
            </w:pPr>
            <w:r>
              <w:rPr>
                <w:sz w:val="15"/>
              </w:rPr>
              <w:t>ISO designation</w:t>
            </w:r>
          </w:p>
        </w:tc>
        <w:tc>
          <w:tcPr>
            <w:tcW w:type="dxa" w:w="2313"/>
          </w:tcPr>
          <w:p>
            <w:pPr>
              <w:spacing w:after="0"/>
            </w:pPr>
            <w:r>
              <w:rPr>
                <w:sz w:val="15"/>
              </w:rPr>
              <w:t>Shapes C, D, R, S, T, V, W</w:t>
            </w:r>
          </w:p>
        </w:tc>
        <w:tc>
          <w:tcPr>
            <w:tcW w:type="dxa" w:w="841"/>
          </w:tcPr>
          <w:p>
            <w:pPr>
              <w:spacing w:after="0"/>
              <w:jc w:val="center"/>
            </w:pPr>
            <w:r>
              <w:rPr>
                <w:b/>
                <w:color w:val="00B98E"/>
                <w:sz w:val="19"/>
              </w:rPr>
              <w:t>✓</w:t>
            </w:r>
          </w:p>
        </w:tc>
        <w:tc>
          <w:tcPr>
            <w:tcW w:type="dxa" w:w="841"/>
          </w:tcPr>
          <w:p>
            <w:pPr>
              <w:spacing w:after="0"/>
              <w:jc w:val="center"/>
            </w:pPr>
          </w:p>
        </w:tc>
        <w:tc>
          <w:tcPr>
            <w:tcW w:type="dxa" w:w="1367"/>
          </w:tcPr>
          <w:p>
            <w:pPr>
              <w:spacing w:after="0"/>
              <w:jc w:val="center"/>
            </w:pPr>
          </w:p>
        </w:tc>
        <w:tc>
          <w:tcPr>
            <w:tcW w:type="dxa" w:w="1156"/>
          </w:tcPr>
          <w:p>
            <w:pPr>
              <w:spacing w:after="0"/>
              <w:jc w:val="center"/>
            </w:pPr>
          </w:p>
        </w:tc>
      </w:tr>
    </w:tbl>
    <w:p>
      <w:pPr>
        <w:spacing w:after="40"/>
      </w:pPr>
    </w:p>
    <w:p>
      <w:pPr>
        <w:spacing w:after="20"/>
      </w:pPr>
      <w:r>
        <w:rPr>
          <w:sz w:val="14"/>
          <w:vertAlign w:val="superscript"/>
        </w:rPr>
        <w:t>1</w:t>
      </w:r>
      <w:r>
        <w:rPr>
          <w:color w:val="374151"/>
          <w:sz w:val="14"/>
        </w:rPr>
        <w:t xml:space="preserve"> Tessellated through OpenCascade (occt-import-js 0.0.23, at most 300,000 triangles) and shown as a scene or target model. The schema name comes from FILE_SCHEMA. Features, PMI and assembly structure are not read.</w:t>
      </w:r>
    </w:p>
    <w:p>
      <w:pPr>
        <w:spacing w:after="20"/>
      </w:pPr>
      <w:r>
        <w:rPr>
          <w:sz w:val="14"/>
          <w:vertAlign w:val="superscript"/>
        </w:rPr>
        <w:t>2</w:t>
      </w:r>
      <w:r>
        <w:rPr>
          <w:color w:val="374151"/>
          <w:sz w:val="14"/>
        </w:rPr>
        <w:t xml:space="preserve"> Bounds only: every 3D point in the file is collected and the bounding envelope is drawn. Surfaces are not rebuilt.</w:t>
      </w:r>
    </w:p>
    <w:p>
      <w:pPr>
        <w:spacing w:after="20"/>
      </w:pPr>
      <w:r>
        <w:rPr>
          <w:sz w:val="14"/>
          <w:vertAlign w:val="superscript"/>
        </w:rPr>
        <w:t>3</w:t>
      </w:r>
      <w:r>
        <w:rPr>
          <w:color w:val="374151"/>
          <w:sz w:val="14"/>
        </w:rPr>
        <w:t xml:space="preserve"> The import dialog lists *.x_b, but the file is read as text, so binary Parasolid is not decoded. Treat it as not supported and export *.x_t or STEP.</w:t>
      </w:r>
    </w:p>
    <w:p>
      <w:pPr>
        <w:spacing w:after="20"/>
      </w:pPr>
      <w:r>
        <w:rPr>
          <w:sz w:val="14"/>
          <w:vertAlign w:val="superscript"/>
        </w:rPr>
        <w:t>4</w:t>
      </w:r>
      <w:r>
        <w:rPr>
          <w:color w:val="374151"/>
          <w:sz w:val="14"/>
        </w:rPr>
        <w:t xml:space="preserve"> Reads the active setup's stock size and allowances, work offset, WCS orientation and origin, operation names, the model envelope and the preview PNG. The solid model and toolpaths are not read.</w:t>
      </w:r>
    </w:p>
    <w:p>
      <w:pPr>
        <w:spacing w:after="20"/>
      </w:pPr>
      <w:r>
        <w:rPr>
          <w:sz w:val="14"/>
          <w:vertAlign w:val="superscript"/>
        </w:rPr>
        <w:t>5</w:t>
      </w:r>
      <w:r>
        <w:rPr>
          <w:color w:val="374151"/>
          <w:sz w:val="14"/>
        </w:rPr>
        <w:t xml:space="preserve"> </w:t>
      </w:r>
      <w:r>
        <w:rPr>
          <w:rFonts w:ascii="Consolas" w:hAnsi="Consolas"/>
          <w:color w:val="17315C"/>
          <w:sz w:val="14"/>
        </w:rPr>
        <w:t>.jblmachine</w:t>
      </w:r>
      <w:r>
        <w:rPr>
          <w:color w:val="374151"/>
          <w:sz w:val="14"/>
        </w:rPr>
        <w:t xml:space="preserve"> is byte-identical in the extension, jobline.ai-CAM and the JobLine.ai platform (</w:t>
      </w:r>
      <w:r>
        <w:rPr>
          <w:rFonts w:ascii="Consolas" w:hAnsi="Consolas"/>
          <w:color w:val="17315C"/>
          <w:sz w:val="14"/>
        </w:rPr>
        <w:t>src/presets/jblMachine.ts</w:t>
      </w:r>
      <w:r>
        <w:rPr>
          <w:color w:val="374151"/>
          <w:sz w:val="14"/>
        </w:rPr>
        <w:t>), so a machine exported from one opens in the others.</w:t>
      </w:r>
    </w:p>
    <w:p>
      <w:pPr>
        <w:spacing w:after="20"/>
      </w:pPr>
      <w:r>
        <w:rPr>
          <w:sz w:val="14"/>
          <w:vertAlign w:val="superscript"/>
        </w:rPr>
        <w:t>6</w:t>
      </w:r>
      <w:r>
        <w:rPr>
          <w:color w:val="374151"/>
          <w:sz w:val="14"/>
        </w:rPr>
        <w:t xml:space="preserve"> In draft PR #7, not released (0.3.14 on that branch): RevPack v2 loads target, stock, workholding, tools and machine. STEP targets go through OpenCascade and are cross-checked against the paired STL. Its AR4 real-part checks compare STEP and STL digests from local, gitignored Annin AR4 files.</w:t>
      </w:r>
    </w:p>
    <w:p>
      <w:pPr>
        <w:spacing w:after="20"/>
      </w:pPr>
      <w:r>
        <w:rPr>
          <w:sz w:val="14"/>
          <w:vertAlign w:val="superscript"/>
        </w:rPr>
        <w:t>7</w:t>
      </w:r>
      <w:r>
        <w:rPr>
          <w:color w:val="374151"/>
          <w:sz w:val="14"/>
        </w:rPr>
        <w:t xml:space="preserve"> Development harness only (</w:t>
      </w:r>
      <w:r>
        <w:rPr>
          <w:rFonts w:ascii="Consolas" w:hAnsi="Consolas"/>
          <w:color w:val="17315C"/>
          <w:sz w:val="14"/>
        </w:rPr>
        <w:t>npm run visualizer:harness:revpack</w:t>
      </w:r>
      <w:r>
        <w:rPr>
          <w:color w:val="374151"/>
          <w:sz w:val="14"/>
        </w:rPr>
        <w:t>), not a user command.</w:t>
      </w:r>
    </w:p>
    <w:p>
      <w:r>
        <w:br w:type="page"/>
      </w:r>
    </w:p>
    <w:p>
      <w:pPr>
        <w:keepNext/>
        <w:spacing w:before="160" w:after="60"/>
      </w:pPr>
      <w:r>
        <w:rPr>
          <w:b/>
          <w:sz w:val="22"/>
        </w:rPr>
        <w:t>G-code and control dialects</w:t>
      </w:r>
    </w:p>
    <w:p>
      <w:r>
        <w:rPr>
          <w:color w:val="374151"/>
          <w:sz w:val="17"/>
        </w:rPr>
        <w:t>JobLine's equivalent of a CAD reader: the program formats the extension opens, checks and explains. Any G-code file also gets highlighting, the toolpath visualizer, the explainer and the Toolbox edits.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472"/>
            <w:shd w:val="clear" w:color="auto" w:fill="17315C"/>
          </w:tcPr>
          <w:p>
            <w:pPr>
              <w:spacing w:after="0"/>
            </w:pPr>
            <w:r>
              <w:rPr>
                <w:b/>
                <w:color w:val="FFFFFF"/>
                <w:sz w:val="15"/>
              </w:rPr>
              <w:t>Control</w:t>
            </w:r>
          </w:p>
        </w:tc>
        <w:tc>
          <w:tcPr>
            <w:tcW w:type="dxa" w:w="1997"/>
            <w:shd w:val="clear" w:color="auto" w:fill="17315C"/>
          </w:tcPr>
          <w:p>
            <w:pPr>
              <w:spacing w:after="0"/>
            </w:pPr>
            <w:r>
              <w:rPr>
                <w:b/>
                <w:color w:val="FFFFFF"/>
                <w:sz w:val="15"/>
              </w:rPr>
              <w:t>Program files</w:t>
            </w:r>
          </w:p>
        </w:tc>
        <w:tc>
          <w:tcPr>
            <w:tcW w:type="dxa" w:w="1787"/>
            <w:shd w:val="clear" w:color="auto" w:fill="17315C"/>
          </w:tcPr>
          <w:p>
            <w:pPr>
              <w:spacing w:after="0"/>
            </w:pPr>
            <w:r>
              <w:rPr>
                <w:b/>
                <w:color w:val="FFFFFF"/>
                <w:sz w:val="15"/>
              </w:rPr>
              <w:t>Models named in the app</w:t>
            </w:r>
          </w:p>
        </w:tc>
        <w:tc>
          <w:tcPr>
            <w:tcW w:type="dxa" w:w="631"/>
            <w:shd w:val="clear" w:color="auto" w:fill="17315C"/>
          </w:tcPr>
          <w:p>
            <w:pPr>
              <w:spacing w:after="0"/>
              <w:jc w:val="center"/>
            </w:pPr>
            <w:r>
              <w:rPr>
                <w:b/>
                <w:color w:val="FFFFFF"/>
                <w:sz w:val="15"/>
              </w:rPr>
              <w:t>Read</w:t>
            </w:r>
          </w:p>
        </w:tc>
        <w:tc>
          <w:tcPr>
            <w:tcW w:type="dxa" w:w="841"/>
            <w:shd w:val="clear" w:color="auto" w:fill="17315C"/>
          </w:tcPr>
          <w:p>
            <w:pPr>
              <w:spacing w:after="0"/>
              <w:jc w:val="center"/>
            </w:pPr>
            <w:r>
              <w:rPr>
                <w:b/>
                <w:color w:val="FFFFFF"/>
                <w:sz w:val="15"/>
              </w:rPr>
              <w:t>Validate</w:t>
            </w:r>
          </w:p>
        </w:tc>
        <w:tc>
          <w:tcPr>
            <w:tcW w:type="dxa" w:w="631"/>
            <w:shd w:val="clear" w:color="auto" w:fill="17315C"/>
          </w:tcPr>
          <w:p>
            <w:pPr>
              <w:spacing w:after="0"/>
              <w:jc w:val="center"/>
            </w:pPr>
            <w:r>
              <w:rPr>
                <w:b/>
                <w:color w:val="FFFFFF"/>
                <w:sz w:val="15"/>
              </w:rPr>
              <w:t>Post</w:t>
            </w:r>
          </w:p>
        </w:tc>
        <w:tc>
          <w:tcPr>
            <w:tcW w:type="dxa" w:w="3154"/>
            <w:shd w:val="clear" w:color="auto" w:fill="17315C"/>
          </w:tcPr>
          <w:p>
            <w:pPr>
              <w:spacing w:after="0"/>
            </w:pPr>
            <w:r>
              <w:rPr>
                <w:b/>
                <w:color w:val="FFFFFF"/>
                <w:sz w:val="15"/>
              </w:rPr>
              <w:t>Dialect-specific parsing</w:t>
            </w:r>
          </w:p>
        </w:tc>
      </w:tr>
      <w:tr>
        <w:tc>
          <w:tcPr>
            <w:tcW w:type="dxa" w:w="1472"/>
          </w:tcPr>
          <w:p>
            <w:pPr>
              <w:spacing w:after="0"/>
            </w:pPr>
            <w:r>
              <w:rPr>
                <w:b/>
                <w:sz w:val="15"/>
              </w:rPr>
              <w:t>Fanuc</w:t>
            </w:r>
          </w:p>
        </w:tc>
        <w:tc>
          <w:tcPr>
            <w:tcW w:type="dxa" w:w="1997"/>
          </w:tcPr>
          <w:p>
            <w:pPr>
              <w:spacing w:after="0"/>
            </w:pPr>
            <w:r>
              <w:rPr>
                <w:sz w:val="15"/>
              </w:rPr>
              <w:t>*.nc, *.tap, *.sub, *.lib</w:t>
            </w:r>
          </w:p>
        </w:tc>
        <w:tc>
          <w:tcPr>
            <w:tcW w:type="dxa" w:w="1787"/>
          </w:tcPr>
          <w:p>
            <w:pPr>
              <w:spacing w:after="0"/>
            </w:pPr>
            <w:r>
              <w:rPr>
                <w:sz w:val="15"/>
              </w:rPr>
              <w:t>0i / 30i / 31i</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Macro B variables and expressions. In draft PR #9: Fanuc G list, variable ranges, WHILE/DO/END and GOTO targets, O-number and M-per-block limits</w:t>
            </w:r>
          </w:p>
        </w:tc>
      </w:tr>
      <w:tr>
        <w:tc>
          <w:tcPr>
            <w:tcW w:type="dxa" w:w="1472"/>
          </w:tcPr>
          <w:p>
            <w:pPr>
              <w:spacing w:after="0"/>
            </w:pPr>
            <w:r>
              <w:rPr>
                <w:b/>
                <w:sz w:val="15"/>
              </w:rPr>
              <w:t>Haas</w:t>
            </w:r>
          </w:p>
        </w:tc>
        <w:tc>
          <w:tcPr>
            <w:tcW w:type="dxa" w:w="1997"/>
          </w:tcPr>
          <w:p>
            <w:pPr>
              <w:spacing w:after="0"/>
            </w:pPr>
            <w:r>
              <w:rPr>
                <w:sz w:val="15"/>
              </w:rPr>
              <w:t>*.nc, *.5ax, *.ncc, *.ncp, *.ncf, *.nc1</w:t>
            </w:r>
          </w:p>
        </w:tc>
        <w:tc>
          <w:tcPr>
            <w:tcW w:type="dxa" w:w="1787"/>
          </w:tcPr>
          <w:p>
            <w:pPr>
              <w:spacing w:after="0"/>
            </w:pPr>
            <w:r>
              <w:rPr>
                <w:sz w:val="15"/>
              </w:rPr>
              <w:t>NGC</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Fanuc-style; Haas Classic not separate. In draft PR #9: Haas G list (G47, G150, G187, G234…), M97 P→N targets, 5-digit O</w:t>
            </w:r>
          </w:p>
        </w:tc>
      </w:tr>
      <w:tr>
        <w:tc>
          <w:tcPr>
            <w:tcW w:type="dxa" w:w="1472"/>
          </w:tcPr>
          <w:p>
            <w:pPr>
              <w:spacing w:after="0"/>
            </w:pPr>
            <w:r>
              <w:rPr>
                <w:b/>
                <w:sz w:val="15"/>
              </w:rPr>
              <w:t>Siemens Sinumerik</w:t>
            </w:r>
          </w:p>
        </w:tc>
        <w:tc>
          <w:tcPr>
            <w:tcW w:type="dxa" w:w="1997"/>
          </w:tcPr>
          <w:p>
            <w:pPr>
              <w:spacing w:after="0"/>
            </w:pPr>
            <w:r>
              <w:rPr>
                <w:sz w:val="15"/>
              </w:rPr>
              <w:t>*.mpf, *.spf</w:t>
            </w:r>
          </w:p>
        </w:tc>
        <w:tc>
          <w:tcPr>
            <w:tcW w:type="dxa" w:w="1787"/>
          </w:tcPr>
          <w:p>
            <w:pPr>
              <w:spacing w:after="0"/>
            </w:pPr>
            <w:r>
              <w:rPr>
                <w:sz w:val="15"/>
              </w:rPr>
              <w:t>840D / 828D</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CYCLExx, MCALL, HOLES1/2, POCKET1–4, SLOT1/2, LONGHOLE, SWIVEL; R-parameters. In draft PR #9: DEF placement, IF/WHILE/FOR/LOOP/REPEAT pairing, GOTOF/GOTOB labels, R range, MCALL left on, ISO-isms, G291/G290</w:t>
            </w:r>
          </w:p>
        </w:tc>
      </w:tr>
      <w:tr>
        <w:tc>
          <w:tcPr>
            <w:tcW w:type="dxa" w:w="1472"/>
          </w:tcPr>
          <w:p>
            <w:pPr>
              <w:spacing w:after="0"/>
            </w:pPr>
            <w:r>
              <w:rPr>
                <w:b/>
                <w:sz w:val="15"/>
              </w:rPr>
              <w:t>Okuma OSP</w:t>
            </w:r>
          </w:p>
        </w:tc>
        <w:tc>
          <w:tcPr>
            <w:tcW w:type="dxa" w:w="1997"/>
          </w:tcPr>
          <w:p>
            <w:pPr>
              <w:spacing w:after="0"/>
            </w:pPr>
            <w:r>
              <w:rPr>
                <w:sz w:val="15"/>
              </w:rPr>
              <w:t>*.min, *.prg</w:t>
            </w:r>
          </w:p>
        </w:tc>
        <w:tc>
          <w:tcPr>
            <w:tcW w:type="dxa" w:w="1787"/>
          </w:tcPr>
          <w:p>
            <w:pPr>
              <w:spacing w:after="0"/>
            </w:pPr>
            <w:r>
              <w:rPr>
                <w:sz w:val="15"/>
              </w:rPr>
              <w:t>OSP-P</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 program headers, #V variables, CALL OBn; lathe detection. In draft PR #9: V-not-# variables, G56 tool length, N-label jumps, RTS on called subs</w:t>
            </w:r>
          </w:p>
        </w:tc>
      </w:tr>
      <w:tr>
        <w:tc>
          <w:tcPr>
            <w:tcW w:type="dxa" w:w="1472"/>
          </w:tcPr>
          <w:p>
            <w:pPr>
              <w:spacing w:after="0"/>
            </w:pPr>
            <w:r>
              <w:rPr>
                <w:b/>
                <w:sz w:val="15"/>
              </w:rPr>
              <w:t>Mazak</w:t>
            </w:r>
          </w:p>
        </w:tc>
        <w:tc>
          <w:tcPr>
            <w:tcW w:type="dxa" w:w="1997"/>
          </w:tcPr>
          <w:p>
            <w:pPr>
              <w:spacing w:after="0"/>
            </w:pPr>
            <w:r>
              <w:rPr>
                <w:sz w:val="15"/>
              </w:rPr>
              <w:t>*.eia, *.iso</w:t>
            </w:r>
          </w:p>
        </w:tc>
        <w:tc>
          <w:tcPr>
            <w:tcW w:type="dxa" w:w="1787"/>
          </w:tcPr>
          <w:p>
            <w:pPr>
              <w:spacing w:after="0"/>
            </w:pPr>
            <w:r>
              <w:rPr>
                <w:sz w:val="15"/>
              </w:rPr>
              <w:t>Smooth / Matrix (EIA/ISO)</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EIA/ISO G-code only. In draft PR #9: Mazak G list, 8-digit O; Mazatrol detected and skipped, not read</w:t>
            </w:r>
          </w:p>
        </w:tc>
      </w:tr>
      <w:tr>
        <w:tc>
          <w:tcPr>
            <w:tcW w:type="dxa" w:w="1472"/>
          </w:tcPr>
          <w:p>
            <w:pPr>
              <w:spacing w:after="0"/>
            </w:pPr>
            <w:r>
              <w:rPr>
                <w:b/>
                <w:sz w:val="15"/>
              </w:rPr>
              <w:t>Fadal</w:t>
            </w:r>
          </w:p>
        </w:tc>
        <w:tc>
          <w:tcPr>
            <w:tcW w:type="dxa" w:w="1997"/>
          </w:tcPr>
          <w:p>
            <w:pPr>
              <w:spacing w:after="0"/>
            </w:pPr>
            <w:r>
              <w:rPr>
                <w:sz w:val="15"/>
              </w:rPr>
              <w:t>*.fgc</w:t>
            </w:r>
          </w:p>
        </w:tc>
        <w:tc>
          <w:tcPr>
            <w:tcW w:type="dxa" w:w="1787"/>
          </w:tcPr>
          <w:p>
            <w:pPr>
              <w:spacing w:after="0"/>
            </w:pPr>
            <w:r>
              <w:rPr>
                <w:sz w:val="15"/>
              </w:rPr>
              <w:t>Format 2</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In draft PR #9: Fadal macros (#V1=…, #IF … THEN GOTO :LABEL), V1–V100, label targets</w:t>
            </w:r>
          </w:p>
        </w:tc>
      </w:tr>
      <w:tr>
        <w:tc>
          <w:tcPr>
            <w:tcW w:type="dxa" w:w="1472"/>
          </w:tcPr>
          <w:p>
            <w:pPr>
              <w:spacing w:after="0"/>
            </w:pPr>
            <w:r>
              <w:rPr>
                <w:b/>
                <w:sz w:val="15"/>
              </w:rPr>
              <w:t>Generic / LinuxCNC</w:t>
            </w:r>
          </w:p>
        </w:tc>
        <w:tc>
          <w:tcPr>
            <w:tcW w:type="dxa" w:w="1997"/>
          </w:tcPr>
          <w:p>
            <w:pPr>
              <w:spacing w:after="0"/>
            </w:pPr>
            <w:r>
              <w:rPr>
                <w:sz w:val="15"/>
              </w:rPr>
              <w:t>*.gcode, *.ngc, *.g, *.cnc, *.dnc</w:t>
            </w:r>
          </w:p>
        </w:tc>
        <w:tc>
          <w:tcPr>
            <w:tcW w:type="dxa" w:w="1787"/>
          </w:tcPr>
          <w:p>
            <w:pPr>
              <w:spacing w:after="0"/>
            </w:pPr>
            <w:r>
              <w:rPr>
                <w:sz w:val="15"/>
              </w:rPr>
              <w:t>—</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8</w:t>
            </w:r>
          </w:p>
        </w:tc>
        <w:tc>
          <w:tcPr>
            <w:tcW w:type="dxa" w:w="631"/>
          </w:tcPr>
          <w:p>
            <w:pPr>
              <w:spacing w:after="0"/>
              <w:jc w:val="center"/>
            </w:pPr>
            <w:r>
              <w:rPr>
                <w:sz w:val="15"/>
                <w:vertAlign w:val="superscript"/>
              </w:rPr>
              <w:t>9</w:t>
            </w:r>
          </w:p>
        </w:tc>
        <w:tc>
          <w:tcPr>
            <w:tcW w:type="dxa" w:w="3154"/>
          </w:tcPr>
          <w:p>
            <w:pPr>
              <w:spacing w:after="0"/>
            </w:pPr>
            <w:r>
              <w:rPr>
                <w:sz w:val="15"/>
              </w:rPr>
              <w:t>In draft PR #9: O-word sub/if/while/repeat structure and call targets</w:t>
            </w:r>
          </w:p>
        </w:tc>
      </w:tr>
      <w:tr>
        <w:tc>
          <w:tcPr>
            <w:tcW w:type="dxa" w:w="1472"/>
          </w:tcPr>
          <w:p>
            <w:pPr>
              <w:spacing w:after="0"/>
            </w:pPr>
            <w:r>
              <w:rPr>
                <w:b/>
                <w:sz w:val="15"/>
              </w:rPr>
              <w:t>Heidenhain TNC</w:t>
            </w:r>
          </w:p>
        </w:tc>
        <w:tc>
          <w:tcPr>
            <w:tcW w:type="dxa" w:w="1997"/>
          </w:tcPr>
          <w:p>
            <w:pPr>
              <w:spacing w:after="0"/>
            </w:pPr>
            <w:r>
              <w:rPr>
                <w:sz w:val="15"/>
              </w:rPr>
              <w:t>*.h (Klartext), *.i (ISO; add .i under JobLine additional extensions), *.cyc, *.tab</w:t>
            </w:r>
          </w:p>
        </w:tc>
        <w:tc>
          <w:tcPr>
            <w:tcW w:type="dxa" w:w="1787"/>
          </w:tcPr>
          <w:p>
            <w:pPr>
              <w:spacing w:after="0"/>
            </w:pPr>
            <w:r>
              <w:rPr>
                <w:sz w:val="15"/>
              </w:rPr>
              <w:t>Klartext / ISO</w:t>
            </w:r>
          </w:p>
        </w:tc>
        <w:tc>
          <w:tcPr>
            <w:tcW w:type="dxa" w:w="631"/>
          </w:tcPr>
          <w:p>
            <w:pPr>
              <w:spacing w:after="0"/>
              <w:jc w:val="center"/>
            </w:pPr>
            <w:r>
              <w:rPr>
                <w:b/>
                <w:color w:val="00B98E"/>
                <w:sz w:val="19"/>
              </w:rPr>
              <w:t>✓</w:t>
            </w:r>
            <w:r>
              <w:rPr>
                <w:sz w:val="15"/>
                <w:vertAlign w:val="superscript"/>
              </w:rPr>
              <w:t>10</w:t>
            </w:r>
          </w:p>
        </w:tc>
        <w:tc>
          <w:tcPr>
            <w:tcW w:type="dxa" w:w="841"/>
          </w:tcPr>
          <w:p>
            <w:pPr>
              <w:spacing w:after="0"/>
              <w:jc w:val="center"/>
            </w:pPr>
            <w:r>
              <w:rPr>
                <w:b/>
                <w:color w:val="00B98E"/>
                <w:sz w:val="19"/>
              </w:rPr>
              <w:t>✓</w:t>
            </w:r>
            <w:r>
              <w:rPr>
                <w:sz w:val="15"/>
                <w:vertAlign w:val="superscript"/>
              </w:rPr>
              <w:t>10</w:t>
            </w:r>
          </w:p>
        </w:tc>
        <w:tc>
          <w:tcPr>
            <w:tcW w:type="dxa" w:w="631"/>
          </w:tcPr>
          <w:p>
            <w:pPr>
              <w:spacing w:after="0"/>
              <w:jc w:val="center"/>
            </w:pPr>
            <w:r>
              <w:rPr>
                <w:sz w:val="15"/>
                <w:vertAlign w:val="superscript"/>
              </w:rPr>
              <w:t>9</w:t>
            </w:r>
          </w:p>
        </w:tc>
        <w:tc>
          <w:tcPr>
            <w:tcW w:type="dxa" w:w="3154"/>
          </w:tcPr>
          <w:p>
            <w:pPr>
              <w:spacing w:after="0"/>
            </w:pPr>
            <w:r>
              <w:rPr>
                <w:sz w:val="15"/>
              </w:rPr>
              <w:t>In draft PR #9: Klartext BEGIN/END PGM, block numbers, TOOL CALL axis, L/C/CC/CR, Q0–Q1999, LBL / CALL LBL; ISO %name G71 header and footer. Released 0.3.12: family name only</w:t>
            </w:r>
          </w:p>
        </w:tc>
      </w:tr>
      <w:tr>
        <w:tc>
          <w:tcPr>
            <w:tcW w:type="dxa" w:w="1472"/>
          </w:tcPr>
          <w:p>
            <w:pPr>
              <w:spacing w:after="0"/>
            </w:pPr>
            <w:r>
              <w:rPr>
                <w:b/>
                <w:sz w:val="15"/>
              </w:rPr>
              <w:t>Mitsubishi</w:t>
            </w:r>
          </w:p>
        </w:tc>
        <w:tc>
          <w:tcPr>
            <w:tcW w:type="dxa" w:w="1997"/>
          </w:tcPr>
          <w:p>
            <w:pPr>
              <w:spacing w:after="0"/>
            </w:pPr>
            <w:r>
              <w:rPr>
                <w:sz w:val="15"/>
              </w:rPr>
              <w:t>*.nc</w:t>
            </w:r>
          </w:p>
        </w:tc>
        <w:tc>
          <w:tcPr>
            <w:tcW w:type="dxa" w:w="1787"/>
          </w:tcPr>
          <w:p>
            <w:pPr>
              <w:spacing w:after="0"/>
            </w:pPr>
            <w:r>
              <w:rPr>
                <w:sz w:val="15"/>
              </w:rPr>
              <w:t>M8 / M80</w:t>
            </w:r>
          </w:p>
        </w:tc>
        <w:tc>
          <w:tcPr>
            <w:tcW w:type="dxa" w:w="631"/>
          </w:tcPr>
          <w:p>
            <w:pPr>
              <w:spacing w:after="0"/>
              <w:jc w:val="center"/>
            </w:pPr>
            <w:r>
              <w:rPr>
                <w:b/>
                <w:color w:val="00B98E"/>
                <w:sz w:val="19"/>
              </w:rPr>
              <w:t>✓</w:t>
            </w:r>
          </w:p>
        </w:tc>
        <w:tc>
          <w:tcPr>
            <w:tcW w:type="dxa" w:w="841"/>
          </w:tcPr>
          <w:p>
            <w:pPr>
              <w:spacing w:after="0"/>
              <w:jc w:val="center"/>
            </w:pPr>
            <w:r>
              <w:rPr>
                <w:b/>
                <w:color w:val="00B98E"/>
                <w:sz w:val="19"/>
              </w:rPr>
              <w:t>✓</w:t>
            </w:r>
            <w:r>
              <w:rPr>
                <w:sz w:val="15"/>
                <w:vertAlign w:val="superscript"/>
              </w:rPr>
              <w:t>10</w:t>
            </w:r>
          </w:p>
        </w:tc>
        <w:tc>
          <w:tcPr>
            <w:tcW w:type="dxa" w:w="631"/>
          </w:tcPr>
          <w:p>
            <w:pPr>
              <w:spacing w:after="0"/>
              <w:jc w:val="center"/>
            </w:pPr>
            <w:r>
              <w:rPr>
                <w:sz w:val="15"/>
                <w:vertAlign w:val="superscript"/>
              </w:rPr>
              <w:t>9</w:t>
            </w:r>
          </w:p>
        </w:tc>
        <w:tc>
          <w:tcPr>
            <w:tcW w:type="dxa" w:w="3154"/>
          </w:tcPr>
          <w:p>
            <w:pPr>
              <w:spacing w:after="0"/>
            </w:pPr>
            <w:r>
              <w:rPr>
                <w:sz w:val="15"/>
              </w:rPr>
              <w:t>In draft PR #9: Mitsubishi G list (G66.1, G120.1…), variable ranges, up to 4 M per block. Released 0.3.12: family name only</w:t>
            </w:r>
          </w:p>
        </w:tc>
      </w:tr>
      <w:tr>
        <w:tc>
          <w:tcPr>
            <w:tcW w:type="dxa" w:w="1472"/>
          </w:tcPr>
          <w:p>
            <w:pPr>
              <w:spacing w:after="0"/>
            </w:pPr>
            <w:r>
              <w:rPr>
                <w:b/>
                <w:sz w:val="15"/>
              </w:rPr>
              <w:t>Fanuc Robot</w:t>
            </w:r>
          </w:p>
        </w:tc>
        <w:tc>
          <w:tcPr>
            <w:tcW w:type="dxa" w:w="1997"/>
          </w:tcPr>
          <w:p>
            <w:pPr>
              <w:spacing w:after="0"/>
            </w:pPr>
            <w:r>
              <w:rPr>
                <w:sz w:val="15"/>
              </w:rPr>
              <w:t>*.ls, *.tp</w:t>
            </w:r>
          </w:p>
        </w:tc>
        <w:tc>
          <w:tcPr>
            <w:tcW w:type="dxa" w:w="1787"/>
          </w:tcPr>
          <w:p>
            <w:pPr>
              <w:spacing w:after="0"/>
            </w:pPr>
            <w:r>
              <w:rPr>
                <w:sz w:val="15"/>
              </w:rPr>
              <w:t>TP / LS</w:t>
            </w:r>
          </w:p>
        </w:tc>
        <w:tc>
          <w:tcPr>
            <w:tcW w:type="dxa" w:w="631"/>
          </w:tcPr>
          <w:p>
            <w:pPr>
              <w:spacing w:after="0"/>
              <w:jc w:val="center"/>
            </w:pPr>
            <w:r>
              <w:rPr>
                <w:b/>
                <w:color w:val="00B98E"/>
                <w:sz w:val="19"/>
              </w:rPr>
              <w:t>✓</w:t>
            </w:r>
            <w:r>
              <w:rPr>
                <w:sz w:val="15"/>
                <w:vertAlign w:val="superscript"/>
              </w:rPr>
              <w:t>11</w:t>
            </w:r>
          </w:p>
        </w:tc>
        <w:tc>
          <w:tcPr>
            <w:tcW w:type="dxa" w:w="841"/>
          </w:tcPr>
          <w:p>
            <w:pPr>
              <w:spacing w:after="0"/>
              <w:jc w:val="center"/>
            </w:pPr>
          </w:p>
        </w:tc>
        <w:tc>
          <w:tcPr>
            <w:tcW w:type="dxa" w:w="631"/>
          </w:tcPr>
          <w:p>
            <w:pPr>
              <w:spacing w:after="0"/>
              <w:jc w:val="center"/>
            </w:pPr>
          </w:p>
        </w:tc>
        <w:tc>
          <w:tcPr>
            <w:tcW w:type="dxa" w:w="3154"/>
          </w:tcPr>
          <w:p>
            <w:pPr>
              <w:spacing w:after="0"/>
            </w:pPr>
            <w:r>
              <w:rPr>
                <w:sz w:val="15"/>
              </w:rPr>
              <w:t>Language and control entry; no robot kinematics</w:t>
            </w:r>
          </w:p>
        </w:tc>
      </w:tr>
      <w:tr>
        <w:tc>
          <w:tcPr>
            <w:tcW w:type="dxa" w:w="1472"/>
          </w:tcPr>
          <w:p>
            <w:pPr>
              <w:spacing w:after="0"/>
            </w:pPr>
            <w:r>
              <w:rPr>
                <w:b/>
                <w:sz w:val="15"/>
              </w:rPr>
              <w:t>ABB RAPID</w:t>
            </w:r>
          </w:p>
        </w:tc>
        <w:tc>
          <w:tcPr>
            <w:tcW w:type="dxa" w:w="1997"/>
          </w:tcPr>
          <w:p>
            <w:pPr>
              <w:spacing w:after="0"/>
            </w:pPr>
            <w:r>
              <w:rPr>
                <w:sz w:val="15"/>
              </w:rPr>
              <w:t>*.mod, *.pgf</w:t>
            </w:r>
          </w:p>
        </w:tc>
        <w:tc>
          <w:tcPr>
            <w:tcW w:type="dxa" w:w="1787"/>
          </w:tcPr>
          <w:p>
            <w:pPr>
              <w:spacing w:after="0"/>
            </w:pPr>
            <w:r>
              <w:rPr>
                <w:sz w:val="15"/>
              </w:rPr>
              <w:t>RAPID</w:t>
            </w:r>
          </w:p>
        </w:tc>
        <w:tc>
          <w:tcPr>
            <w:tcW w:type="dxa" w:w="631"/>
          </w:tcPr>
          <w:p>
            <w:pPr>
              <w:spacing w:after="0"/>
              <w:jc w:val="center"/>
            </w:pPr>
            <w:r>
              <w:rPr>
                <w:b/>
                <w:color w:val="00B98E"/>
                <w:sz w:val="19"/>
              </w:rPr>
              <w:t>✓</w:t>
            </w:r>
            <w:r>
              <w:rPr>
                <w:sz w:val="15"/>
                <w:vertAlign w:val="superscript"/>
              </w:rPr>
              <w:t>11</w:t>
            </w:r>
          </w:p>
        </w:tc>
        <w:tc>
          <w:tcPr>
            <w:tcW w:type="dxa" w:w="841"/>
          </w:tcPr>
          <w:p>
            <w:pPr>
              <w:spacing w:after="0"/>
              <w:jc w:val="center"/>
            </w:pPr>
          </w:p>
        </w:tc>
        <w:tc>
          <w:tcPr>
            <w:tcW w:type="dxa" w:w="631"/>
          </w:tcPr>
          <w:p>
            <w:pPr>
              <w:spacing w:after="0"/>
              <w:jc w:val="center"/>
            </w:pPr>
          </w:p>
        </w:tc>
        <w:tc>
          <w:tcPr>
            <w:tcW w:type="dxa" w:w="3154"/>
          </w:tcPr>
          <w:p>
            <w:pPr>
              <w:spacing w:after="0"/>
            </w:pPr>
            <w:r>
              <w:rPr>
                <w:sz w:val="15"/>
              </w:rPr>
              <w:t>Language and control entry; no robot kinematics</w:t>
            </w:r>
          </w:p>
        </w:tc>
      </w:tr>
      <w:tr>
        <w:tc>
          <w:tcPr>
            <w:tcW w:type="dxa" w:w="1472"/>
          </w:tcPr>
          <w:p>
            <w:pPr>
              <w:spacing w:after="0"/>
            </w:pPr>
            <w:r>
              <w:rPr>
                <w:b/>
                <w:sz w:val="15"/>
              </w:rPr>
              <w:t>KUKA KRL / CL data</w:t>
            </w:r>
          </w:p>
        </w:tc>
        <w:tc>
          <w:tcPr>
            <w:tcW w:type="dxa" w:w="1997"/>
          </w:tcPr>
          <w:p>
            <w:pPr>
              <w:spacing w:after="0"/>
            </w:pPr>
            <w:r>
              <w:rPr>
                <w:sz w:val="15"/>
              </w:rPr>
              <w:t>*.src, *.ptp, *.apt, *.cls</w:t>
            </w:r>
          </w:p>
        </w:tc>
        <w:tc>
          <w:tcPr>
            <w:tcW w:type="dxa" w:w="1787"/>
          </w:tcPr>
          <w:p>
            <w:pPr>
              <w:spacing w:after="0"/>
            </w:pPr>
            <w:r>
              <w:rPr>
                <w:sz w:val="15"/>
              </w:rPr>
              <w:t>—</w:t>
            </w:r>
          </w:p>
        </w:tc>
        <w:tc>
          <w:tcPr>
            <w:tcW w:type="dxa" w:w="631"/>
          </w:tcPr>
          <w:p>
            <w:pPr>
              <w:spacing w:after="0"/>
              <w:jc w:val="center"/>
            </w:pPr>
            <w:r>
              <w:rPr>
                <w:sz w:val="15"/>
                <w:vertAlign w:val="superscript"/>
              </w:rPr>
              <w:t>12</w:t>
            </w:r>
          </w:p>
        </w:tc>
        <w:tc>
          <w:tcPr>
            <w:tcW w:type="dxa" w:w="841"/>
          </w:tcPr>
          <w:p>
            <w:pPr>
              <w:spacing w:after="0"/>
              <w:jc w:val="center"/>
            </w:pPr>
          </w:p>
        </w:tc>
        <w:tc>
          <w:tcPr>
            <w:tcW w:type="dxa" w:w="631"/>
          </w:tcPr>
          <w:p>
            <w:pPr>
              <w:spacing w:after="0"/>
              <w:jc w:val="center"/>
            </w:pPr>
          </w:p>
        </w:tc>
        <w:tc>
          <w:tcPr>
            <w:tcW w:type="dxa" w:w="3154"/>
          </w:tcPr>
          <w:p>
            <w:pPr>
              <w:spacing w:after="0"/>
            </w:pPr>
            <w:r>
              <w:rPr>
                <w:sz w:val="15"/>
              </w:rPr>
              <w:t>Opened as G-code; KRL and CL/APT are not interpreted</w:t>
            </w:r>
          </w:p>
        </w:tc>
      </w:tr>
    </w:tbl>
    <w:p>
      <w:pPr>
        <w:spacing w:after="40"/>
      </w:pPr>
    </w:p>
    <w:p>
      <w:pPr>
        <w:spacing w:after="20"/>
      </w:pPr>
      <w:r>
        <w:rPr>
          <w:sz w:val="14"/>
          <w:vertAlign w:val="superscript"/>
        </w:rPr>
        <w:t>8</w:t>
      </w:r>
      <w:r>
        <w:rPr>
          <w:color w:val="374151"/>
          <w:sz w:val="14"/>
        </w:rPr>
        <w:t xml:space="preserve"> Released 0.3.12: one generic ISO/Fanuc-style rule set for every control (canned-cycle Z/R/Q, arc validity, spindle and coolant at program end, axis travel against the machine preset). In draft PR #9: each control also gets its own rule set, listed per row; unknown G-codes are information only because options differ by machine. Rules check syntax and structure, not execution, and are tested on JobLine-written fixtures, not certified on each control.</w:t>
      </w:r>
    </w:p>
    <w:p>
      <w:pPr>
        <w:spacing w:after="20"/>
      </w:pPr>
      <w:r>
        <w:rPr>
          <w:sz w:val="14"/>
          <w:vertAlign w:val="superscript"/>
        </w:rPr>
        <w:t>9</w:t>
      </w:r>
      <w:r>
        <w:rPr>
          <w:color w:val="374151"/>
          <w:sz w:val="14"/>
        </w:rPr>
        <w:t xml:space="preserve"> No CAM post-processor; posting is in jobline.ai-CAM (Haas NGC mill). In draft PR #9: </w:t>
      </w:r>
      <w:r>
        <w:rPr>
          <w:b/>
          <w:color w:val="374151"/>
          <w:sz w:val="14"/>
        </w:rPr>
        <w:t>Convert Program to Another Control</w:t>
      </w:r>
      <w:r>
        <w:rPr>
          <w:color w:val="374151"/>
          <w:sz w:val="14"/>
        </w:rPr>
        <w:t xml:space="preserve"> rewrites common codes from ISO dialects to Haas, Mazak, Mitsubishi, Siemens 840D (G81/G82 → CYCLE81/82, G43 → D), Okuma OSP (G54 → G15 H, G43 → G56) and Heidenhain Klartext (L/C/CR, G81–G83 → CYCL DEF 200). Macros, tapping/boring cycles and anything else it can't map are left as </w:t>
      </w:r>
      <w:r>
        <w:rPr>
          <w:rFonts w:ascii="Consolas" w:hAnsi="Consolas"/>
          <w:color w:val="17315C"/>
          <w:sz w:val="14"/>
        </w:rPr>
        <w:t>JL MANUAL</w:t>
      </w:r>
      <w:r>
        <w:rPr>
          <w:color w:val="374151"/>
          <w:sz w:val="14"/>
        </w:rPr>
        <w:t xml:space="preserve"> comments. Converting from Siemens, Okuma or Heidenhain is not supported.</w:t>
      </w:r>
    </w:p>
    <w:p>
      <w:pPr>
        <w:spacing w:after="20"/>
      </w:pPr>
      <w:r>
        <w:rPr>
          <w:sz w:val="14"/>
          <w:vertAlign w:val="superscript"/>
        </w:rPr>
        <w:t>10</w:t>
      </w:r>
      <w:r>
        <w:rPr>
          <w:color w:val="374151"/>
          <w:sz w:val="14"/>
        </w:rPr>
        <w:t xml:space="preserve"> In draft PR #9, Heidenhain and Mitsubishi are offered in </w:t>
      </w:r>
      <w:r>
        <w:rPr>
          <w:b/>
          <w:color w:val="374151"/>
          <w:sz w:val="14"/>
        </w:rPr>
        <w:t>Select CNC / Robot Control Type</w:t>
      </w:r>
      <w:r>
        <w:rPr>
          <w:color w:val="374151"/>
          <w:sz w:val="14"/>
        </w:rPr>
        <w:t xml:space="preserve"> and validated. Klartext programs skip the ISO rules. *.h is already treated as G-code by file name; </w:t>
      </w:r>
      <w:r>
        <w:rPr>
          <w:rFonts w:ascii="Consolas" w:hAnsi="Consolas"/>
          <w:color w:val="17315C"/>
          <w:sz w:val="14"/>
        </w:rPr>
        <w:t>0 BEGIN PGM</w:t>
      </w:r>
      <w:r>
        <w:rPr>
          <w:color w:val="374151"/>
          <w:sz w:val="14"/>
        </w:rPr>
        <w:t xml:space="preserve"> is recognised as a G-code first line.</w:t>
      </w:r>
    </w:p>
    <w:p>
      <w:pPr>
        <w:spacing w:after="20"/>
      </w:pPr>
      <w:r>
        <w:rPr>
          <w:sz w:val="14"/>
          <w:vertAlign w:val="superscript"/>
        </w:rPr>
        <w:t>11</w:t>
      </w:r>
      <w:r>
        <w:rPr>
          <w:color w:val="374151"/>
          <w:sz w:val="14"/>
        </w:rPr>
        <w:t xml:space="preserve"> Syntax highlighting (shared G-code grammar) and a control entry for preset matching only.</w:t>
      </w:r>
    </w:p>
    <w:p>
      <w:pPr>
        <w:spacing w:after="20"/>
      </w:pPr>
      <w:r>
        <w:rPr>
          <w:sz w:val="14"/>
          <w:vertAlign w:val="superscript"/>
        </w:rPr>
        <w:t>12</w:t>
      </w:r>
      <w:r>
        <w:rPr>
          <w:color w:val="374151"/>
          <w:sz w:val="14"/>
        </w:rPr>
        <w:t xml:space="preserve"> Registered as G-code extensions, so they get highlighting and the generic G-code reader only.</w:t>
      </w:r>
    </w:p>
    <w:p>
      <w:r>
        <w:br w:type="page"/>
      </w:r>
    </w:p>
    <w:p>
      <w:pPr>
        <w:keepNext/>
        <w:spacing w:before="160" w:after="60"/>
      </w:pPr>
      <w:r>
        <w:rPr>
          <w:b/>
          <w:sz w:val="22"/>
        </w:rPr>
        <w:t>Tool libraries and CAM output (in draft PR #9)</w:t>
      </w:r>
    </w:p>
    <w:p>
      <w:r>
        <w:rPr>
          <w:color w:val="374151"/>
          <w:sz w:val="17"/>
        </w:rPr>
        <w:t>Not released. Built on branch feat/unbuilt-pieces-2026-10-15 (draft PR #9). Imported tools feed the Tools view and the checks: tools not in the library, T/H and T/D register mismatches, comment diameter vs library diameter.</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892"/>
            <w:shd w:val="clear" w:color="auto" w:fill="17315C"/>
          </w:tcPr>
          <w:p>
            <w:pPr>
              <w:spacing w:after="0"/>
            </w:pPr>
            <w:r>
              <w:rPr>
                <w:b/>
                <w:color w:val="FFFFFF"/>
                <w:sz w:val="15"/>
              </w:rPr>
              <w:t>Source</w:t>
            </w:r>
          </w:p>
        </w:tc>
        <w:tc>
          <w:tcPr>
            <w:tcW w:type="dxa" w:w="1787"/>
            <w:shd w:val="clear" w:color="auto" w:fill="17315C"/>
          </w:tcPr>
          <w:p>
            <w:pPr>
              <w:spacing w:after="0"/>
            </w:pPr>
            <w:r>
              <w:rPr>
                <w:b/>
                <w:color w:val="FFFFFF"/>
                <w:sz w:val="15"/>
              </w:rPr>
              <w:t>Format</w:t>
            </w:r>
          </w:p>
        </w:tc>
        <w:tc>
          <w:tcPr>
            <w:tcW w:type="dxa" w:w="3048"/>
            <w:shd w:val="clear" w:color="auto" w:fill="17315C"/>
          </w:tcPr>
          <w:p>
            <w:pPr>
              <w:spacing w:after="0"/>
            </w:pPr>
            <w:r>
              <w:rPr>
                <w:b/>
                <w:color w:val="FFFFFF"/>
                <w:sz w:val="15"/>
              </w:rPr>
              <w:t>Fields read</w:t>
            </w:r>
          </w:p>
        </w:tc>
        <w:tc>
          <w:tcPr>
            <w:tcW w:type="dxa" w:w="631"/>
            <w:shd w:val="clear" w:color="auto" w:fill="17315C"/>
          </w:tcPr>
          <w:p>
            <w:pPr>
              <w:spacing w:after="0"/>
              <w:jc w:val="center"/>
            </w:pPr>
            <w:r>
              <w:rPr>
                <w:b/>
                <w:color w:val="FFFFFF"/>
                <w:sz w:val="15"/>
              </w:rPr>
              <w:t>Read</w:t>
            </w:r>
          </w:p>
        </w:tc>
        <w:tc>
          <w:tcPr>
            <w:tcW w:type="dxa" w:w="631"/>
            <w:shd w:val="clear" w:color="auto" w:fill="17315C"/>
          </w:tcPr>
          <w:p>
            <w:pPr>
              <w:spacing w:after="0"/>
              <w:jc w:val="center"/>
            </w:pPr>
            <w:r>
              <w:rPr>
                <w:b/>
                <w:color w:val="FFFFFF"/>
                <w:sz w:val="15"/>
              </w:rPr>
              <w:t>Write</w:t>
            </w:r>
          </w:p>
        </w:tc>
        <w:tc>
          <w:tcPr>
            <w:tcW w:type="dxa" w:w="1051"/>
            <w:shd w:val="clear" w:color="auto" w:fill="17315C"/>
          </w:tcPr>
          <w:p>
            <w:pPr>
              <w:spacing w:after="0"/>
              <w:jc w:val="center"/>
            </w:pPr>
            <w:r>
              <w:rPr>
                <w:b/>
                <w:color w:val="FFFFFF"/>
                <w:sz w:val="15"/>
              </w:rPr>
              <w:t>Linked to program</w:t>
            </w:r>
          </w:p>
        </w:tc>
        <w:tc>
          <w:tcPr>
            <w:tcW w:type="dxa" w:w="1472"/>
            <w:shd w:val="clear" w:color="auto" w:fill="17315C"/>
          </w:tcPr>
          <w:p>
            <w:pPr>
              <w:spacing w:after="0"/>
            </w:pPr>
            <w:r>
              <w:rPr>
                <w:b/>
                <w:color w:val="FFFFFF"/>
                <w:sz w:val="15"/>
              </w:rPr>
              <w:t>Status</w:t>
            </w:r>
          </w:p>
        </w:tc>
      </w:tr>
      <w:tr>
        <w:tc>
          <w:tcPr>
            <w:tcW w:type="dxa" w:w="1892"/>
          </w:tcPr>
          <w:p>
            <w:pPr>
              <w:spacing w:after="0"/>
            </w:pPr>
            <w:r>
              <w:rPr>
                <w:b/>
                <w:sz w:val="15"/>
              </w:rPr>
              <w:t>Fusion tool library</w:t>
            </w:r>
          </w:p>
        </w:tc>
        <w:tc>
          <w:tcPr>
            <w:tcW w:type="dxa" w:w="1787"/>
          </w:tcPr>
          <w:p>
            <w:pPr>
              <w:spacing w:after="0"/>
            </w:pPr>
            <w:r>
              <w:rPr>
                <w:sz w:val="15"/>
              </w:rPr>
              <w:t>*.json, *.tools</w:t>
            </w:r>
          </w:p>
        </w:tc>
        <w:tc>
          <w:tcPr>
            <w:tcW w:type="dxa" w:w="3048"/>
          </w:tcPr>
          <w:p>
            <w:pPr>
              <w:spacing w:after="0"/>
            </w:pPr>
            <w:r>
              <w:rPr>
                <w:sz w:val="15"/>
              </w:rPr>
              <w:t>T, H, D, DC, LCF, gauge length / LB, OAL, RE, unit</w:t>
            </w:r>
          </w:p>
        </w:tc>
        <w:tc>
          <w:tcPr>
            <w:tcW w:type="dxa" w:w="631"/>
          </w:tcPr>
          <w:p>
            <w:pPr>
              <w:spacing w:after="0"/>
              <w:jc w:val="center"/>
            </w:pPr>
            <w:r>
              <w:rPr>
                <w:b/>
                <w:color w:val="00B98E"/>
                <w:sz w:val="19"/>
              </w:rPr>
              <w:t>✓</w:t>
            </w:r>
            <w:r>
              <w:rPr>
                <w:sz w:val="15"/>
                <w:vertAlign w:val="superscript"/>
              </w:rPr>
              <w:t>13</w:t>
            </w:r>
          </w:p>
        </w:tc>
        <w:tc>
          <w:tcPr>
            <w:tcW w:type="dxa" w:w="631"/>
          </w:tcPr>
          <w:p>
            <w:pPr>
              <w:spacing w:after="0"/>
              <w:jc w:val="center"/>
            </w:pPr>
          </w:p>
        </w:tc>
        <w:tc>
          <w:tcPr>
            <w:tcW w:type="dxa" w:w="1051"/>
          </w:tcPr>
          <w:p>
            <w:pPr>
              <w:spacing w:after="0"/>
              <w:jc w:val="center"/>
            </w:pPr>
            <w:r>
              <w:rPr>
                <w:b/>
                <w:color w:val="00B98E"/>
                <w:sz w:val="19"/>
              </w:rPr>
              <w:t>✓</w:t>
            </w:r>
          </w:p>
        </w:tc>
        <w:tc>
          <w:tcPr>
            <w:tcW w:type="dxa" w:w="1472"/>
          </w:tcPr>
          <w:p>
            <w:pPr>
              <w:spacing w:after="0"/>
            </w:pPr>
            <w:r>
              <w:rPr>
                <w:sz w:val="15"/>
              </w:rPr>
              <w:t>In draft PR #9</w:t>
            </w:r>
          </w:p>
        </w:tc>
      </w:tr>
      <w:tr>
        <w:tc>
          <w:tcPr>
            <w:tcW w:type="dxa" w:w="1892"/>
          </w:tcPr>
          <w:p>
            <w:pPr>
              <w:spacing w:after="0"/>
            </w:pPr>
            <w:r>
              <w:rPr>
                <w:b/>
                <w:sz w:val="15"/>
              </w:rPr>
              <w:t>HSMWorks / Inventor CAM</w:t>
            </w:r>
          </w:p>
        </w:tc>
        <w:tc>
          <w:tcPr>
            <w:tcW w:type="dxa" w:w="1787"/>
          </w:tcPr>
          <w:p>
            <w:pPr>
              <w:spacing w:after="0"/>
            </w:pPr>
            <w:r>
              <w:rPr>
                <w:sz w:val="15"/>
              </w:rPr>
              <w:t>*.hsmlib (UTF-16 XML)</w:t>
            </w:r>
          </w:p>
        </w:tc>
        <w:tc>
          <w:tcPr>
            <w:tcW w:type="dxa" w:w="3048"/>
          </w:tcPr>
          <w:p>
            <w:pPr>
              <w:spacing w:after="0"/>
            </w:pPr>
            <w:r>
              <w:rPr>
                <w:sz w:val="15"/>
              </w:rPr>
              <w:t>nc number, length / diameter offset, body diameter, flute, body and overall length, corner radius</w:t>
            </w:r>
          </w:p>
        </w:tc>
        <w:tc>
          <w:tcPr>
            <w:tcW w:type="dxa" w:w="631"/>
          </w:tcPr>
          <w:p>
            <w:pPr>
              <w:spacing w:after="0"/>
              <w:jc w:val="center"/>
            </w:pPr>
            <w:r>
              <w:rPr>
                <w:b/>
                <w:color w:val="00B98E"/>
                <w:sz w:val="19"/>
              </w:rPr>
              <w:t>✓</w:t>
            </w:r>
            <w:r>
              <w:rPr>
                <w:sz w:val="15"/>
                <w:vertAlign w:val="superscript"/>
              </w:rPr>
              <w:t>13</w:t>
            </w:r>
          </w:p>
        </w:tc>
        <w:tc>
          <w:tcPr>
            <w:tcW w:type="dxa" w:w="631"/>
          </w:tcPr>
          <w:p>
            <w:pPr>
              <w:spacing w:after="0"/>
              <w:jc w:val="center"/>
            </w:pPr>
          </w:p>
        </w:tc>
        <w:tc>
          <w:tcPr>
            <w:tcW w:type="dxa" w:w="1051"/>
          </w:tcPr>
          <w:p>
            <w:pPr>
              <w:spacing w:after="0"/>
              <w:jc w:val="center"/>
            </w:pPr>
            <w:r>
              <w:rPr>
                <w:b/>
                <w:color w:val="00B98E"/>
                <w:sz w:val="19"/>
              </w:rPr>
              <w:t>✓</w:t>
            </w:r>
          </w:p>
        </w:tc>
        <w:tc>
          <w:tcPr>
            <w:tcW w:type="dxa" w:w="1472"/>
          </w:tcPr>
          <w:p>
            <w:pPr>
              <w:spacing w:after="0"/>
            </w:pPr>
            <w:r>
              <w:rPr>
                <w:sz w:val="15"/>
              </w:rPr>
              <w:t>In draft PR #9</w:t>
            </w:r>
          </w:p>
        </w:tc>
      </w:tr>
      <w:tr>
        <w:tc>
          <w:tcPr>
            <w:tcW w:type="dxa" w:w="1892"/>
          </w:tcPr>
          <w:p>
            <w:pPr>
              <w:spacing w:after="0"/>
            </w:pPr>
            <w:r>
              <w:rPr>
                <w:b/>
                <w:sz w:val="15"/>
              </w:rPr>
              <w:t>Generic tool list</w:t>
            </w:r>
          </w:p>
        </w:tc>
        <w:tc>
          <w:tcPr>
            <w:tcW w:type="dxa" w:w="1787"/>
          </w:tcPr>
          <w:p>
            <w:pPr>
              <w:spacing w:after="0"/>
            </w:pPr>
            <w:r>
              <w:rPr>
                <w:sz w:val="15"/>
              </w:rPr>
              <w:t>*.csv, *.tsv</w:t>
            </w:r>
          </w:p>
        </w:tc>
        <w:tc>
          <w:tcPr>
            <w:tcW w:type="dxa" w:w="3048"/>
          </w:tcPr>
          <w:p>
            <w:pPr>
              <w:spacing w:after="0"/>
            </w:pPr>
            <w:r>
              <w:rPr>
                <w:sz w:val="15"/>
              </w:rPr>
              <w:t>T, H, D, diameter, flute length, gauge length, description (common spellings, Fusion CSV headers)</w:t>
            </w:r>
          </w:p>
        </w:tc>
        <w:tc>
          <w:tcPr>
            <w:tcW w:type="dxa" w:w="631"/>
          </w:tcPr>
          <w:p>
            <w:pPr>
              <w:spacing w:after="0"/>
              <w:jc w:val="center"/>
            </w:pPr>
            <w:r>
              <w:rPr>
                <w:b/>
                <w:color w:val="00B98E"/>
                <w:sz w:val="19"/>
              </w:rPr>
              <w:t>✓</w:t>
            </w:r>
            <w:r>
              <w:rPr>
                <w:sz w:val="15"/>
                <w:vertAlign w:val="superscript"/>
              </w:rPr>
              <w:t>13</w:t>
            </w:r>
          </w:p>
        </w:tc>
        <w:tc>
          <w:tcPr>
            <w:tcW w:type="dxa" w:w="631"/>
          </w:tcPr>
          <w:p>
            <w:pPr>
              <w:spacing w:after="0"/>
              <w:jc w:val="center"/>
            </w:pPr>
          </w:p>
        </w:tc>
        <w:tc>
          <w:tcPr>
            <w:tcW w:type="dxa" w:w="1051"/>
          </w:tcPr>
          <w:p>
            <w:pPr>
              <w:spacing w:after="0"/>
              <w:jc w:val="center"/>
            </w:pPr>
            <w:r>
              <w:rPr>
                <w:b/>
                <w:color w:val="00B98E"/>
                <w:sz w:val="19"/>
              </w:rPr>
              <w:t>✓</w:t>
            </w:r>
          </w:p>
        </w:tc>
        <w:tc>
          <w:tcPr>
            <w:tcW w:type="dxa" w:w="1472"/>
          </w:tcPr>
          <w:p>
            <w:pPr>
              <w:spacing w:after="0"/>
            </w:pPr>
            <w:r>
              <w:rPr>
                <w:sz w:val="15"/>
              </w:rPr>
              <w:t>In draft PR #9</w:t>
            </w:r>
          </w:p>
        </w:tc>
      </w:tr>
      <w:tr>
        <w:tc>
          <w:tcPr>
            <w:tcW w:type="dxa" w:w="1892"/>
          </w:tcPr>
          <w:p>
            <w:pPr>
              <w:spacing w:after="0"/>
            </w:pPr>
            <w:r>
              <w:rPr>
                <w:b/>
                <w:sz w:val="15"/>
              </w:rPr>
              <w:t>CAM setup sheets</w:t>
            </w:r>
          </w:p>
        </w:tc>
        <w:tc>
          <w:tcPr>
            <w:tcW w:type="dxa" w:w="1787"/>
          </w:tcPr>
          <w:p>
            <w:pPr>
              <w:spacing w:after="0"/>
            </w:pPr>
            <w:r>
              <w:rPr>
                <w:sz w:val="15"/>
              </w:rPr>
              <w:t>*.html, *.htm, *.xml, *.csv</w:t>
            </w:r>
          </w:p>
        </w:tc>
        <w:tc>
          <w:tcPr>
            <w:tcW w:type="dxa" w:w="3048"/>
          </w:tcPr>
          <w:p>
            <w:pPr>
              <w:spacing w:after="0"/>
            </w:pPr>
            <w:r>
              <w:rPr>
                <w:sz w:val="15"/>
              </w:rPr>
              <w:t>Tool tables from ESPRIT, Mastercam, Fusion, GibbsCAM and similar sheets (column or per-tool layout)</w:t>
            </w:r>
          </w:p>
        </w:tc>
        <w:tc>
          <w:tcPr>
            <w:tcW w:type="dxa" w:w="631"/>
          </w:tcPr>
          <w:p>
            <w:pPr>
              <w:spacing w:after="0"/>
              <w:jc w:val="center"/>
            </w:pPr>
            <w:r>
              <w:rPr>
                <w:b/>
                <w:color w:val="00B98E"/>
                <w:sz w:val="19"/>
              </w:rPr>
              <w:t>✓</w:t>
            </w:r>
            <w:r>
              <w:rPr>
                <w:sz w:val="15"/>
                <w:vertAlign w:val="superscript"/>
              </w:rPr>
              <w:t>14</w:t>
            </w:r>
          </w:p>
        </w:tc>
        <w:tc>
          <w:tcPr>
            <w:tcW w:type="dxa" w:w="631"/>
          </w:tcPr>
          <w:p>
            <w:pPr>
              <w:spacing w:after="0"/>
              <w:jc w:val="center"/>
            </w:pPr>
          </w:p>
        </w:tc>
        <w:tc>
          <w:tcPr>
            <w:tcW w:type="dxa" w:w="1051"/>
          </w:tcPr>
          <w:p>
            <w:pPr>
              <w:spacing w:after="0"/>
              <w:jc w:val="center"/>
            </w:pPr>
            <w:r>
              <w:rPr>
                <w:b/>
                <w:color w:val="00B98E"/>
                <w:sz w:val="19"/>
              </w:rPr>
              <w:t>✓</w:t>
            </w:r>
            <w:r>
              <w:rPr>
                <w:sz w:val="15"/>
                <w:vertAlign w:val="superscript"/>
              </w:rPr>
              <w:t>14</w:t>
            </w:r>
          </w:p>
        </w:tc>
        <w:tc>
          <w:tcPr>
            <w:tcW w:type="dxa" w:w="1472"/>
          </w:tcPr>
          <w:p>
            <w:pPr>
              <w:spacing w:after="0"/>
            </w:pPr>
            <w:r>
              <w:rPr>
                <w:sz w:val="15"/>
              </w:rPr>
              <w:t>In draft PR #9</w:t>
            </w:r>
          </w:p>
        </w:tc>
      </w:tr>
      <w:tr>
        <w:tc>
          <w:tcPr>
            <w:tcW w:type="dxa" w:w="1892"/>
          </w:tcPr>
          <w:p>
            <w:pPr>
              <w:spacing w:after="0"/>
            </w:pPr>
            <w:r>
              <w:rPr>
                <w:b/>
                <w:sz w:val="15"/>
              </w:rPr>
              <w:t>Posted NC header</w:t>
            </w:r>
          </w:p>
        </w:tc>
        <w:tc>
          <w:tcPr>
            <w:tcW w:type="dxa" w:w="1787"/>
          </w:tcPr>
          <w:p>
            <w:pPr>
              <w:spacing w:after="0"/>
            </w:pPr>
            <w:r>
              <w:rPr>
                <w:sz w:val="15"/>
              </w:rPr>
              <w:t>Program comments</w:t>
            </w:r>
          </w:p>
        </w:tc>
        <w:tc>
          <w:tcPr>
            <w:tcW w:type="dxa" w:w="3048"/>
          </w:tcPr>
          <w:p>
            <w:pPr>
              <w:spacing w:after="0"/>
            </w:pPr>
            <w:r>
              <w:rPr>
                <w:sz w:val="15"/>
              </w:rPr>
              <w:t>CAM system name; tool list comments (Mastercam, Fusion style)</w:t>
            </w:r>
          </w:p>
        </w:tc>
        <w:tc>
          <w:tcPr>
            <w:tcW w:type="dxa" w:w="631"/>
          </w:tcPr>
          <w:p>
            <w:pPr>
              <w:spacing w:after="0"/>
              <w:jc w:val="center"/>
            </w:pPr>
            <w:r>
              <w:rPr>
                <w:b/>
                <w:color w:val="00B98E"/>
                <w:sz w:val="19"/>
              </w:rPr>
              <w:t>✓</w:t>
            </w:r>
            <w:r>
              <w:rPr>
                <w:sz w:val="15"/>
                <w:vertAlign w:val="superscript"/>
              </w:rPr>
              <w:t>14</w:t>
            </w:r>
          </w:p>
        </w:tc>
        <w:tc>
          <w:tcPr>
            <w:tcW w:type="dxa" w:w="631"/>
          </w:tcPr>
          <w:p>
            <w:pPr>
              <w:spacing w:after="0"/>
              <w:jc w:val="center"/>
            </w:pPr>
          </w:p>
        </w:tc>
        <w:tc>
          <w:tcPr>
            <w:tcW w:type="dxa" w:w="1051"/>
          </w:tcPr>
          <w:p>
            <w:pPr>
              <w:spacing w:after="0"/>
              <w:jc w:val="center"/>
            </w:pPr>
            <w:r>
              <w:rPr>
                <w:b/>
                <w:color w:val="00B98E"/>
                <w:sz w:val="19"/>
              </w:rPr>
              <w:t>✓</w:t>
            </w:r>
          </w:p>
        </w:tc>
        <w:tc>
          <w:tcPr>
            <w:tcW w:type="dxa" w:w="1472"/>
          </w:tcPr>
          <w:p>
            <w:pPr>
              <w:spacing w:after="0"/>
            </w:pPr>
            <w:r>
              <w:rPr>
                <w:sz w:val="15"/>
              </w:rPr>
              <w:t>In draft PR #9</w:t>
            </w:r>
          </w:p>
        </w:tc>
      </w:tr>
      <w:tr>
        <w:tc>
          <w:tcPr>
            <w:tcW w:type="dxa" w:w="1892"/>
          </w:tcPr>
          <w:p>
            <w:pPr>
              <w:spacing w:after="0"/>
            </w:pPr>
            <w:r>
              <w:rPr>
                <w:b/>
                <w:sz w:val="15"/>
              </w:rPr>
              <w:t>Live CAM session / native CAM files</w:t>
            </w:r>
          </w:p>
        </w:tc>
        <w:tc>
          <w:tcPr>
            <w:tcW w:type="dxa" w:w="1787"/>
          </w:tcPr>
          <w:p>
            <w:pPr>
              <w:spacing w:after="0"/>
            </w:pPr>
            <w:r>
              <w:rPr>
                <w:sz w:val="15"/>
              </w:rPr>
              <w:t>*.esp, *.mcam, *.vnc, .f3d toolpaths</w:t>
            </w:r>
          </w:p>
        </w:tc>
        <w:tc>
          <w:tcPr>
            <w:tcW w:type="dxa" w:w="3048"/>
          </w:tcPr>
          <w:p>
            <w:pPr>
              <w:spacing w:after="0"/>
            </w:pPr>
            <w:r>
              <w:rPr>
                <w:sz w:val="15"/>
              </w:rPr>
              <w:t>—</w:t>
            </w:r>
          </w:p>
        </w:tc>
        <w:tc>
          <w:tcPr>
            <w:tcW w:type="dxa" w:w="631"/>
          </w:tcPr>
          <w:p>
            <w:pPr>
              <w:spacing w:after="0"/>
              <w:jc w:val="center"/>
            </w:pPr>
          </w:p>
        </w:tc>
        <w:tc>
          <w:tcPr>
            <w:tcW w:type="dxa" w:w="631"/>
          </w:tcPr>
          <w:p>
            <w:pPr>
              <w:spacing w:after="0"/>
              <w:jc w:val="center"/>
            </w:pPr>
          </w:p>
        </w:tc>
        <w:tc>
          <w:tcPr>
            <w:tcW w:type="dxa" w:w="1051"/>
          </w:tcPr>
          <w:p>
            <w:pPr>
              <w:spacing w:after="0"/>
              <w:jc w:val="center"/>
            </w:pPr>
          </w:p>
        </w:tc>
        <w:tc>
          <w:tcPr>
            <w:tcW w:type="dxa" w:w="1472"/>
          </w:tcPr>
          <w:p>
            <w:pPr>
              <w:spacing w:after="0"/>
            </w:pPr>
            <w:r>
              <w:rPr>
                <w:sz w:val="15"/>
              </w:rPr>
              <w:t>Not built</w:t>
            </w:r>
            <w:r>
              <w:rPr>
                <w:sz w:val="15"/>
                <w:vertAlign w:val="superscript"/>
              </w:rPr>
              <w:t>15</w:t>
            </w:r>
          </w:p>
        </w:tc>
      </w:tr>
    </w:tbl>
    <w:p>
      <w:pPr>
        <w:spacing w:after="40"/>
      </w:pPr>
    </w:p>
    <w:p>
      <w:pPr>
        <w:spacing w:after="20"/>
      </w:pPr>
      <w:r>
        <w:rPr>
          <w:sz w:val="14"/>
          <w:vertAlign w:val="superscript"/>
        </w:rPr>
        <w:t>13</w:t>
      </w:r>
      <w:r>
        <w:rPr>
          <w:color w:val="374151"/>
          <w:sz w:val="14"/>
        </w:rPr>
        <w:t xml:space="preserve"> Holders and probes are skipped. Tools with no number, and duplicate numbers (vendor catalogues often leave every tool at 1), are listed instead of imported.</w:t>
      </w:r>
    </w:p>
    <w:p>
      <w:pPr>
        <w:spacing w:after="20"/>
      </w:pPr>
      <w:r>
        <w:rPr>
          <w:sz w:val="14"/>
          <w:vertAlign w:val="superscript"/>
        </w:rPr>
        <w:t>14</w:t>
      </w:r>
      <w:r>
        <w:rPr>
          <w:color w:val="374151"/>
          <w:sz w:val="14"/>
        </w:rPr>
        <w:t xml:space="preserve"> A sheet with the program's name in the same folder (1001.html, 1001_setup.xml, Setup Sheet 1001.htm) links automatically; otherwise the post's header tool list is used. Fixtures are written in the usual template shape, not real vendor exports; setup-sheet templates are user-editable, so real sheets may need new column names.</w:t>
      </w:r>
    </w:p>
    <w:p>
      <w:pPr>
        <w:spacing w:after="20"/>
      </w:pPr>
      <w:r>
        <w:rPr>
          <w:sz w:val="14"/>
          <w:vertAlign w:val="superscript"/>
        </w:rPr>
        <w:t>15</w:t>
      </w:r>
      <w:r>
        <w:rPr>
          <w:color w:val="374151"/>
          <w:sz w:val="14"/>
        </w:rPr>
        <w:t xml:space="preserve"> A live link or native file reading needs each vendor's licensed SDK (ESPRIT API, Mastercam NET-Hook, GibbsCAM SDK, Fusion API inside Fusion, NX Open). Not possible from a VS Code extension without them.</w:t>
      </w:r>
    </w:p>
    <w:p>
      <w:pPr>
        <w:spacing w:before="120"/>
      </w:pPr>
      <w:r>
        <w:rPr>
          <w:b/>
          <w:color w:val="B45309"/>
          <w:sz w:val="15"/>
        </w:rPr>
        <w:t xml:space="preserve">⚠ Notice: </w:t>
      </w:r>
      <w:r>
        <w:rPr>
          <w:b/>
          <w:sz w:val="15"/>
        </w:rPr>
        <w:t>Not in the 0.3.12 release: tool-library import, CAM output integrations, per-control validation and dialect conversion are in draft PR #9 (not merged). No live CAM connection is planned without vendor SDKs. DXF, IGES, SolidWorks and other native CAD formats are not read.</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74151"/>
        <w:sz w:val="13"/>
      </w:rPr>
      <w:t>JobLine G-Code for VS Code 0.3.12 · WeCr8-Solutions/jobline.ai-g-code main @ 255cd67 · October 15, 2026 · WeCr8 Solutions,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23187" cy="29260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23187" cy="292608"/>
                  </a:xfrm>
                  <a:prstGeom prst="rect"/>
                </pic:spPr>
              </pic:pic>
            </a:graphicData>
          </a:graphic>
        </wp:inline>
      </w:drawing>
    </w:r>
    <w:r>
      <w:tab/>
      <w:tab/>
    </w:r>
    <w:r>
      <w:rPr>
        <w:color w:val="17315C"/>
        <w:sz w:val="14"/>
      </w:rPr>
      <w:t>jobline.ai-g-code  ·  main @ 255cd67  ·  As of October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