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Guia de Melhores Práticas para Construção de Agentes de IA em Recrutamento</w:t>
      </w:r>
    </w:p>
    <w:p>
      <w:pPr>
        <w:pStyle w:val="MdParagraph"/>
      </w:pPr>
      <w:r>
        <w:rPr>
          <w:rStyle w:val="MdStrong"/>
          <w:b/>
          <w:bCs/>
        </w:rPr>
        <w:t xml:space="preserve">Autor:</w:t>
      </w:r>
      <w:r>
        <w:t xml:space="preserve"> Manus AI
</w:t>
      </w:r>
      <w:r>
        <w:rPr>
          <w:rStyle w:val="MdStrong"/>
          <w:b/>
          <w:bCs/>
        </w:rPr>
        <w:t xml:space="preserve">Data:</w:t>
      </w:r>
      <w:r>
        <w:t xml:space="preserve"> 01 de Dezembro de 2025</w:t>
      </w:r>
    </w:p>
    <w:p>
      <w:pPr>
        <w:pStyle w:val="MdSpace"/>
        <w:spacing w:before="0" w:after="60"/>
      </w:pPr>
    </w:p>
    <w:p>
      <w:pPr>
        <w:pStyle w:val="Heading2"/>
        <w:pStyle w:val="MdHeading2"/>
      </w:pPr>
      <w:r>
        <w:t xml:space="preserve">Introdução</w:t>
      </w:r>
    </w:p>
    <w:p>
      <w:pPr>
        <w:pStyle w:val="MdParagraph"/>
      </w:pPr>
      <w:r>
        <w:t xml:space="preserve">A automação do recrutamento por meio de agentes de Inteligência Artificial (IA) representa uma transformação significativa na forma como as organizações atraem, avaliam e contratam talentos. A capacidade de automatizar tarefas como triagem de currículos, agendamento de entrevistas e comunicação com candidatos promete ganhos de eficiência e a possibilidade de focar em interações humanas de maior valor. No entanto, a construção e implementação desses agentes exigem uma abordagem cuidadosa e multifacetada para garantir que sejam não apenas eficientes, mas também justos, transparentes, seguros e em conformidade com as regulamentações legais.</w:t>
      </w:r>
    </w:p>
    <w:p>
      <w:pPr>
        <w:pStyle w:val="MdSpace"/>
        <w:spacing w:before="0" w:after="60"/>
      </w:pPr>
    </w:p>
    <w:p>
      <w:pPr>
        <w:pStyle w:val="MdParagraph"/>
      </w:pPr>
      <w:r>
        <w:t xml:space="preserve">Este guia consolida as melhores práticas de mercado para a criação de agentes de IA de recrutamento, abordando desde a arquitetura técnica e avaliação de performance até a governança ética, conformidade legal (com foco na LGPD) e integração com sistemas existentes, como os Applicant Tracking Systems (ATS). O objetivo é fornecer um framework robusto para desenvolvedores e empresas que buscam construir soluções de IA responsáveis e de alto impacto para a área de recrutamento e seleção.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Parte 1: Arquitetura e Desenvolvimento Técnico de Agentes de IA</w:t>
      </w:r>
    </w:p>
    <w:p>
      <w:pPr>
        <w:pStyle w:val="MdParagraph"/>
      </w:pPr>
      <w:r>
        <w:t xml:space="preserve">A fundação de um agente de IA eficaz reside em sua arquitetura. A escolha correta dos componentes e do padrão de design não apenas define a capacidade do agente, mas também sua previsibilidade, custo e facilidade de manutenção. Esta seção explora os blocos de construção fundamentais e os modelos arquiteturais propostos por líderes da indústria como OpenAI e Anthropic.</w:t>
      </w:r>
    </w:p>
    <w:p>
      <w:pPr>
        <w:pStyle w:val="MdSpace"/>
        <w:spacing w:before="0" w:after="60"/>
      </w:pPr>
    </w:p>
    <w:p>
      <w:pPr>
        <w:pStyle w:val="Heading3"/>
        <w:pStyle w:val="MdHeading3"/>
      </w:pPr>
      <w:r>
        <w:t xml:space="preserve">1.1. Componentes Fundamentais de um Agente</w:t>
      </w:r>
    </w:p>
    <w:p>
      <w:pPr>
        <w:pStyle w:val="MdParagraph"/>
      </w:pPr>
      <w:r>
        <w:t xml:space="preserve">Segundo a OpenAI, um agente de IA é um sistema que realiza tarefas de forma autônoma em nome de um usuário, combinando um Large Language Model (LLM) com capacidades de planejamento e uso de ferramentas. A sua estrutura é composta por três pilares essenciais [1]:</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Componente</w:t>
            </w:r>
          </w:p>
        </w:tc>
        <w:tc>
          <w:tcPr>
            <w:tcMar>
              <w:top w:type="dxa" w:w="100"/>
              <w:left w:type="dxa" w:w="120"/>
              <w:bottom w:type="dxa" w:w="100"/>
              <w:right w:type="dxa" w:w="120"/>
            </w:tcMar>
            <w:vAlign w:val="center"/>
          </w:tcPr>
          <w:p>
            <w:pPr>
              <w:pStyle w:val="MdTableHeader"/>
              <w:jc w:val="left"/>
            </w:pPr>
            <w:r>
              <w:t xml:space="preserve">Descrição</w:t>
            </w:r>
          </w:p>
        </w:tc>
        <w:tc>
          <w:tcPr>
            <w:tcBorders>
              <w:right w:val="none"/>
            </w:tcBorders>
            <w:tcMar>
              <w:top w:type="dxa" w:w="100"/>
              <w:left w:type="dxa" w:w="120"/>
              <w:bottom w:type="dxa" w:w="100"/>
              <w:right w:type="dxa" w:w="120"/>
            </w:tcMar>
            <w:vAlign w:val="center"/>
          </w:tcPr>
          <w:p>
            <w:pPr>
              <w:pStyle w:val="MdTableHeader"/>
              <w:jc w:val="left"/>
            </w:pPr>
            <w:r>
              <w:t xml:space="preserve">Função Estratégica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Modelo (Model)</w:t>
            </w:r>
          </w:p>
        </w:tc>
        <w:tc>
          <w:tcPr>
            <w:tcMar>
              <w:top w:type="dxa" w:w="80"/>
              <w:left w:type="dxa" w:w="120"/>
              <w:bottom w:type="dxa" w:w="80"/>
              <w:right w:type="dxa" w:w="120"/>
            </w:tcMar>
            <w:vAlign w:val="center"/>
          </w:tcPr>
          <w:p>
            <w:pPr>
              <w:pStyle w:val="MdTableCell"/>
              <w:jc w:val="left"/>
            </w:pPr>
            <w:r>
              <w:t xml:space="preserve">O LLM que serve como o cérebro do agente, responsável pelo raciocínio e pela tomada de decisão.</w:t>
            </w:r>
          </w:p>
        </w:tc>
        <w:tc>
          <w:tcPr>
            <w:tcBorders>
              <w:right w:val="none"/>
            </w:tcBorders>
            <w:tcMar>
              <w:top w:type="dxa" w:w="80"/>
              <w:left w:type="dxa" w:w="120"/>
              <w:bottom w:type="dxa" w:w="80"/>
              <w:right w:type="dxa" w:w="120"/>
            </w:tcMar>
            <w:vAlign w:val="center"/>
          </w:tcPr>
          <w:p>
            <w:pPr>
              <w:pStyle w:val="MdTableCell"/>
              <w:jc w:val="left"/>
            </w:pPr>
            <w:r>
              <w:t xml:space="preserve">Atua como o motor de decisão central, interpretando intenções e planejando os próximos passos.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Ferramentas (Tools)</w:t>
            </w:r>
          </w:p>
        </w:tc>
        <w:tc>
          <w:tcPr>
            <w:tcMar>
              <w:top w:type="dxa" w:w="80"/>
              <w:left w:type="dxa" w:w="120"/>
              <w:bottom w:type="dxa" w:w="80"/>
              <w:right w:type="dxa" w:w="120"/>
            </w:tcMar>
            <w:vAlign w:val="center"/>
          </w:tcPr>
          <w:p>
            <w:pPr>
              <w:pStyle w:val="MdTableCell"/>
              <w:jc w:val="left"/>
            </w:pPr>
            <w:r>
              <w:t xml:space="preserve">Funções externas ou APIs que o agente pode invocar para interagir com o mundo e executar ações.</w:t>
            </w:r>
          </w:p>
        </w:tc>
        <w:tc>
          <w:tcPr>
            <w:tcBorders>
              <w:right w:val="none"/>
            </w:tcBorders>
            <w:tcMar>
              <w:top w:type="dxa" w:w="80"/>
              <w:left w:type="dxa" w:w="120"/>
              <w:bottom w:type="dxa" w:w="80"/>
              <w:right w:type="dxa" w:w="120"/>
            </w:tcMar>
            <w:vAlign w:val="center"/>
          </w:tcPr>
          <w:p>
            <w:pPr>
              <w:pStyle w:val="MdTableCell"/>
              <w:jc w:val="left"/>
            </w:pPr>
            <w:r>
              <w:t xml:space="preserve">Concedem ao agente a capacidade de agir, seja buscando informações em um banco de dados, lendo um PDF ou enviando um e-mail.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Instruções (Instructions)</w:t>
            </w:r>
          </w:p>
        </w:tc>
        <w:tc>
          <w:tcPr>
            <w:tcBorders>
              <w:bottom w:val="single" w:color="E1E4E8" w:sz="4"/>
            </w:tcBorders>
            <w:tcMar>
              <w:top w:type="dxa" w:w="80"/>
              <w:left w:type="dxa" w:w="120"/>
              <w:bottom w:type="dxa" w:w="80"/>
              <w:right w:type="dxa" w:w="120"/>
            </w:tcMar>
            <w:vAlign w:val="center"/>
          </w:tcPr>
          <w:p>
            <w:pPr>
              <w:pStyle w:val="MdTableCell"/>
              <w:jc w:val="left"/>
            </w:pPr>
            <w:r>
              <w:t xml:space="preserve">Diretrizes explícitas e barreiras de proteção (guardrails) que definem o comportamento, os objetivos e as limitações do agente.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Asseguram a governança, o controle e o alinhamento do agente com os objetivos de negócio e os princípios éticos.</w:t>
            </w:r>
          </w:p>
        </w:tc>
      </w:tr>
    </w:tbl>
    <w:p>
      <w:pPr>
        <w:pStyle w:val="MdParagraph"/>
      </w:pPr>
      <w:r>
        <w:t xml:space="preserve">As ferramentas podem ser categorizadas em três tipos: </w:t>
      </w:r>
      <w:r>
        <w:rPr>
          <w:rStyle w:val="MdStrong"/>
          <w:b/>
          <w:bCs/>
        </w:rPr>
        <w:t xml:space="preserve">Data</w:t>
      </w:r>
      <w:r>
        <w:t xml:space="preserve"> (para recuperar informações), </w:t>
      </w:r>
      <w:r>
        <w:rPr>
          <w:rStyle w:val="MdStrong"/>
          <w:b/>
          <w:bCs/>
        </w:rPr>
        <w:t xml:space="preserve">Action</w:t>
      </w:r>
      <w:r>
        <w:t xml:space="preserve"> (para interagir e modificar sistemas externos) e </w:t>
      </w:r>
      <w:r>
        <w:rPr>
          <w:rStyle w:val="MdStrong"/>
          <w:b/>
          <w:bCs/>
        </w:rPr>
        <w:t xml:space="preserve">Orchestration</w:t>
      </w:r>
      <w:r>
        <w:t xml:space="preserve"> (onde um agente pode atuar como uma ferramenta para outro agente, criando sistemas mais complexos) [1].</w:t>
      </w:r>
    </w:p>
    <w:p>
      <w:pPr>
        <w:pStyle w:val="MdSpace"/>
        <w:spacing w:before="0" w:after="60"/>
      </w:pPr>
    </w:p>
    <w:p>
      <w:pPr>
        <w:pStyle w:val="Heading3"/>
        <w:pStyle w:val="MdHeading3"/>
      </w:pPr>
      <w:r>
        <w:t xml:space="preserve">1.2. Padrões de Arquitetura: Workflows vs. Agentes</w:t>
      </w:r>
    </w:p>
    <w:p>
      <w:pPr>
        <w:pStyle w:val="MdParagraph"/>
      </w:pPr>
      <w:r>
        <w:t xml:space="preserve">A empresa de pesquisa em IA Anthropic propõe uma distinção arquitetural crucial entre dois tipos de sistemas: </w:t>
      </w:r>
      <w:r>
        <w:rPr>
          <w:rStyle w:val="MdStrong"/>
          <w:b/>
          <w:bCs/>
        </w:rPr>
        <w:t xml:space="preserve">Workflows</w:t>
      </w:r>
      <w:r>
        <w:t xml:space="preserve"> e </w:t>
      </w:r>
      <w:r>
        <w:rPr>
          <w:rStyle w:val="MdStrong"/>
          <w:b/>
          <w:bCs/>
        </w:rPr>
        <w:t xml:space="preserve">Agents</w:t>
      </w:r>
      <w:r>
        <w:t xml:space="preserve">. A escolha entre eles depende da complexidade e da previsibilidade da tarefa [2].</w:t>
      </w:r>
    </w:p>
    <w:p>
      <w:pPr>
        <w:pStyle w:val="MdSpace"/>
        <w:spacing w:before="0" w:after="60"/>
      </w:pPr>
    </w:p>
    <w:p>
      <w:pPr>
        <w:pStyle w:val="MdListItem"/>
        <w:numPr>
          <w:ilvl w:val="0"/>
          <w:numId w:val="2"/>
        </w:numPr>
      </w:pPr>
      <w:r>
        <w:rPr>
          <w:rStyle w:val="MdStrong"/>
          <w:b/>
          <w:bCs/>
        </w:rPr>
        <w:t xml:space="preserve">Workflows:</w:t>
      </w:r>
      <w:r>
        <w:t xml:space="preserve"> São sistemas onde o LLM e as ferramentas são orquestrados por meio de um código predefinido. O caminho é determinístico. São ideais para tarefas bem definidas, onde a previsibilidade e a consistência são mais importantes que a flexibilidade. Um exemplo seria um processo de múltiplas etapas para traduzir um documento e depois formatá-lo.</w:t>
      </w:r>
    </w:p>
    <w:p>
      <w:pPr>
        <w:pStyle w:val="MdListItem"/>
        <w:numPr>
          <w:ilvl w:val="0"/>
          <w:numId w:val="2"/>
        </w:numPr>
      </w:pPr>
      <w:r>
        <w:rPr>
          <w:rStyle w:val="MdStrong"/>
          <w:b/>
          <w:bCs/>
        </w:rPr>
        <w:t xml:space="preserve">Agents:</w:t>
      </w:r>
      <w:r>
        <w:t xml:space="preserve"> São sistemas onde o próprio LLM direciona dinamicamente o processo e o uso das ferramentas. O caminho é não-determinístico e emerge da capacidade de raciocínio do modelo. São mais adequados para cenários que exigem flexibilidade e tomada de decisão autônoma em escala, onde as etapas não podem ser totalmente previstas.</w:t>
      </w:r>
    </w:p>
    <w:p>
      <w:pPr>
        <w:pStyle w:val="MdSpace"/>
        <w:spacing w:before="0" w:after="60"/>
      </w:pPr>
    </w:p>
    <w:p>
      <w:pPr>
        <w:pStyle w:val="MdParagraph"/>
      </w:pPr>
      <w:r>
        <w:t xml:space="preserve">A recomendação da Anthropic é </w:t>
      </w:r>
      <w:r>
        <w:rPr>
          <w:rStyle w:val="MdStrong"/>
          <w:b/>
          <w:bCs/>
        </w:rPr>
        <w:t xml:space="preserve">começar com a solução mais simples possível</w:t>
      </w:r>
      <w:r>
        <w:t xml:space="preserve"> e aumentar a complexidade apenas quando necessário. Muitas vezes, uma única chamada de LLM bem-estruturada, aumentada com recuperação de dados (Retrieval-Augmented Generation - RAG) e exemplos, é suficiente. O uso de frameworks de agentes deve ser considerado com cautela, pois a abstração pode dificultar o debugging [2].</w:t>
      </w:r>
    </w:p>
    <w:p>
      <w:pPr>
        <w:pStyle w:val="MdSpace"/>
        <w:spacing w:before="0" w:after="60"/>
      </w:pPr>
    </w:p>
    <w:p>
      <w:pPr>
        <w:pStyle w:val="Heading3"/>
        <w:pStyle w:val="MdHeading3"/>
      </w:pPr>
      <w:r>
        <w:t xml:space="preserve">1.3. Melhores Práticas de Desenvolvimento</w:t>
      </w:r>
    </w:p>
    <w:p>
      <w:pPr>
        <w:pStyle w:val="Heading3"/>
        <w:pStyle w:val="MdHeading3"/>
      </w:pPr>
      <w:r>
        <w:t xml:space="preserve">1.3. Melhores Práticas de Desenvolvimento e Seleção de Modelos</w:t>
      </w:r>
    </w:p>
    <w:p>
      <w:pPr>
        <w:pStyle w:val="MdParagraph"/>
      </w:pPr>
      <w:r>
        <w:t xml:space="preserve">A construção de um agente robusto segue um ciclo iterativo de design, teste e otimização. As práticas a seguir detalham como abordar o desenvolvimento e a seleção de modelos de forma estratégica.</w:t>
      </w:r>
    </w:p>
    <w:p>
      <w:pPr>
        <w:pStyle w:val="MdSpace"/>
        <w:spacing w:before="0" w:after="60"/>
      </w:pPr>
    </w:p>
    <w:p>
      <w:pPr>
        <w:pStyle w:val="Heading4"/>
        <w:pStyle w:val="MdHeading4"/>
      </w:pPr>
      <w:r>
        <w:t xml:space="preserve">1.3.1. Práticas de Desenvolvimento</w:t>
      </w:r>
    </w:p>
    <w:p>
      <w:pPr>
        <w:pStyle w:val="MdListItem"/>
        <w:numPr>
          <w:ilvl w:val="0"/>
          <w:numId w:val="2"/>
        </w:numPr>
      </w:pPr>
      <w:r>
        <w:rPr>
          <w:rStyle w:val="MdStrong"/>
          <w:b/>
          <w:bCs/>
        </w:rPr>
        <w:t xml:space="preserve">Comece Simples (Princípio da Complexidade Mínima):</w:t>
      </w:r>
      <w:r>
        <w:t xml:space="preserve"> A recomendação da Anthropic é um pilar fundamental. Antes de projetar um agente multi-passo complexo, valide se uma abordagem mais simples não é suficiente. A hierarquia de complexidade é:</w:t>
      </w:r>
    </w:p>
    <w:p>
      <w:pPr>
        <w:pStyle w:val="MdListItem"/>
        <w:numPr>
          <w:ilvl w:val="1"/>
          <w:numId w:val="3"/>
        </w:numPr>
      </w:pPr>
      <w:r>
        <w:rPr>
          <w:rStyle w:val="MdStrong"/>
          <w:b/>
          <w:bCs/>
        </w:rPr>
        <w:t xml:space="preserve">Chamada Única de LLM (Single Call):</w:t>
      </w:r>
      <w:r>
        <w:t xml:space="preserve"> Uma única consulta ao modelo, talvez enriquecida com contexto via RAG (Retrieval-Augmented Generation).</w:t>
      </w:r>
    </w:p>
    <w:p>
      <w:pPr>
        <w:pStyle w:val="MdListItem"/>
        <w:numPr>
          <w:ilvl w:val="1"/>
          <w:numId w:val="3"/>
        </w:numPr>
      </w:pPr>
      <w:r>
        <w:rPr>
          <w:rStyle w:val="MdStrong"/>
          <w:b/>
          <w:bCs/>
        </w:rPr>
        <w:t xml:space="preserve">Workflow Deterministico:</w:t>
      </w:r>
      <w:r>
        <w:t xml:space="preserve"> Uma sequência fixa de chamadas de LLM e ferramentas, orquestrada por código.</w:t>
      </w:r>
    </w:p>
    <w:p>
      <w:pPr>
        <w:pStyle w:val="MdListItem"/>
        <w:numPr>
          <w:ilvl w:val="1"/>
          <w:numId w:val="3"/>
        </w:numPr>
      </w:pPr>
      <w:r>
        <w:rPr>
          <w:rStyle w:val="MdStrong"/>
          <w:b/>
          <w:bCs/>
        </w:rPr>
        <w:t xml:space="preserve">Agente Autônomo:</w:t>
      </w:r>
      <w:r>
        <w:t xml:space="preserve">Onde o LLM decide dinamicamente quais ferramentas usar e em que ordem.</w:t>
      </w:r>
      <w:r>
        <w:br/>
        <w:t xml:space="preserve">  Começar com o nível mais baixo e subir apenas se a performance for inadequada economiza tempo de desenvolvimento, custos de inferência e latência [2].</w:t>
      </w:r>
    </w:p>
    <w:p>
      <w:pPr>
        <w:pStyle w:val="MdListItem"/>
        <w:numPr>
          <w:ilvl w:val="0"/>
          <w:numId w:val="2"/>
        </w:numPr>
      </w:pPr>
      <w:r>
        <w:rPr>
          <w:rStyle w:val="MdStrong"/>
          <w:b/>
          <w:bCs/>
        </w:rPr>
        <w:t xml:space="preserve">Ferramentas Atômicas e Descritivas:</w:t>
      </w:r>
      <w:r>
        <w:t xml:space="preserve"> Projete suas ferramentas para serem "atômicas", ou seja, focadas em executar uma única tarefa bem definida (ex: </w:t>
      </w:r>
      <w:r>
        <w:rPr>
          <w:rStyle w:val="MdCode"/>
          <w:u w:val="single"/>
        </w:rPr>
        <w:t xml:space="preserve">buscar_candidato_por_email</w:t>
      </w:r>
      <w:r>
        <w:t xml:space="preserve"> em vez de </w:t>
      </w:r>
      <w:r>
        <w:rPr>
          <w:rStyle w:val="MdCode"/>
          <w:u w:val="single"/>
        </w:rPr>
        <w:t xml:space="preserve">gerenciar_candidato</w:t>
      </w:r>
      <w:r>
        <w:t xml:space="preserve">). Além disso, a descrição da ferramenta (o </w:t>
      </w:r>
      <w:r>
        <w:rPr>
          <w:rStyle w:val="MdEm"/>
          <w:i/>
          <w:iCs/>
        </w:rPr>
        <w:t xml:space="preserve">docstring</w:t>
      </w:r>
      <w:r>
        <w:t xml:space="preserve">) é crucial. O LLM usa essa descrição para decidir qual ferramenta usar. Uma descrição clara, com exemplos de parâmetros, melhora drasticamente a precisão do agente.</w:t>
      </w:r>
    </w:p>
    <w:p>
      <w:pPr>
        <w:pStyle w:val="MdListItem"/>
        <w:numPr>
          <w:ilvl w:val="0"/>
          <w:numId w:val="2"/>
        </w:numPr>
      </w:pPr>
      <w:r>
        <w:rPr>
          <w:rStyle w:val="MdStrong"/>
          <w:b/>
          <w:bCs/>
        </w:rPr>
        <w:t xml:space="preserve">Instruções como Código de Conduta:</w:t>
      </w:r>
      <w:r>
        <w:t xml:space="preserve"> As instruções (ou </w:t>
      </w:r>
      <w:r>
        <w:rPr>
          <w:rStyle w:val="MdEm"/>
          <w:i/>
          <w:iCs/>
        </w:rPr>
        <w:t xml:space="preserve">system prompt</w:t>
      </w:r>
      <w:r>
        <w:t xml:space="preserve">) são a constituição do seu agente. Elas devem ser extremamente claras e detalhadas, cobrindo:</w:t>
      </w:r>
    </w:p>
    <w:p>
      <w:pPr>
        <w:pStyle w:val="MdListItem"/>
        <w:numPr>
          <w:ilvl w:val="1"/>
          <w:numId w:val="2"/>
        </w:numPr>
      </w:pPr>
      <w:r>
        <w:rPr>
          <w:rStyle w:val="MdStrong"/>
          <w:b/>
          <w:bCs/>
        </w:rPr>
        <w:t xml:space="preserve">Persona:</w:t>
      </w:r>
      <w:r>
        <w:t xml:space="preserve"> Como o agente deve se comunicar (ex: "Você é um assistente de recrutamento profissional e cordial").</w:t>
      </w:r>
    </w:p>
    <w:p>
      <w:pPr>
        <w:pStyle w:val="MdListItem"/>
        <w:numPr>
          <w:ilvl w:val="1"/>
          <w:numId w:val="2"/>
        </w:numPr>
      </w:pPr>
      <w:r>
        <w:rPr>
          <w:rStyle w:val="MdStrong"/>
          <w:b/>
          <w:bCs/>
        </w:rPr>
        <w:t xml:space="preserve">Objetivo Principal:</w:t>
      </w:r>
      <w:r>
        <w:t xml:space="preserve"> A tarefa primária a ser executada.</w:t>
      </w:r>
    </w:p>
    <w:p>
      <w:pPr>
        <w:pStyle w:val="MdListItem"/>
        <w:numPr>
          <w:ilvl w:val="1"/>
          <w:numId w:val="2"/>
        </w:numPr>
      </w:pPr>
      <w:r>
        <w:rPr>
          <w:rStyle w:val="MdStrong"/>
          <w:b/>
          <w:bCs/>
        </w:rPr>
        <w:t xml:space="preserve">Limitações e Guardrails:</w:t>
      </w:r>
      <w:r>
        <w:t xml:space="preserve"> O que o agente </w:t>
      </w:r>
      <w:r>
        <w:rPr>
          <w:rStyle w:val="MdStrong"/>
          <w:b/>
          <w:bCs/>
        </w:rPr>
        <w:t xml:space="preserve">não</w:t>
      </w:r>
      <w:r>
        <w:t xml:space="preserve"> deve fazer (ex: "Nunca forneça feedback salarial ao candidato. Nunca delete um registro de candidato, apenas o desative.").</w:t>
      </w:r>
    </w:p>
    <w:p>
      <w:pPr>
        <w:pStyle w:val="MdListItem"/>
        <w:numPr>
          <w:ilvl w:val="1"/>
          <w:numId w:val="2"/>
        </w:numPr>
      </w:pPr>
      <w:r>
        <w:rPr>
          <w:rStyle w:val="MdStrong"/>
          <w:b/>
          <w:bCs/>
        </w:rPr>
        <w:t xml:space="preserve">Procedimentos de Exceção:</w:t>
      </w:r>
      <w:r>
        <w:t xml:space="preserve"> Como agir quando uma ferramenta falha ou a informação não é encontrada.</w:t>
      </w:r>
    </w:p>
    <w:p>
      <w:pPr>
        <w:pStyle w:val="MdSpace"/>
        <w:spacing w:before="0" w:after="60"/>
      </w:pPr>
    </w:p>
    <w:p>
      <w:pPr>
        <w:pStyle w:val="Heading4"/>
        <w:pStyle w:val="MdHeading4"/>
      </w:pPr>
      <w:r>
        <w:t xml:space="preserve">1.3.2. Estratégia de Seleção de Modelos</w:t>
      </w:r>
    </w:p>
    <w:p>
      <w:pPr>
        <w:pStyle w:val="MdParagraph"/>
      </w:pPr>
      <w:r>
        <w:t xml:space="preserve">A escolha do LLM impacta diretamente a performance, o custo e a velocidade do agente. A OpenAI sugere uma abordagem em três fases para a seleção de modelos [1]:</w:t>
      </w:r>
    </w:p>
    <w:p>
      <w:pPr>
        <w:pStyle w:val="MdSpace"/>
        <w:spacing w:before="0" w:after="60"/>
      </w:pPr>
    </w:p>
    <w:p>
      <w:pPr>
        <w:pStyle w:val="MdListItem"/>
        <w:numPr>
          <w:ilvl w:val="0"/>
          <w:numId w:val="3"/>
        </w:numPr>
      </w:pPr>
      <w:r>
        <w:rPr>
          <w:rStyle w:val="MdStrong"/>
          <w:b/>
          <w:bCs/>
        </w:rPr>
        <w:t xml:space="preserve">Fase 1: Estabelecer Baseline de Performance com o Modelo Mais Capaz.</w:t>
      </w:r>
    </w:p>
    <w:p>
      <w:pPr>
        <w:pStyle w:val="MdListItem"/>
        <w:numPr>
          <w:ilvl w:val="1"/>
          <w:numId w:val="2"/>
        </w:numPr>
      </w:pPr>
      <w:r>
        <w:rPr>
          <w:rStyle w:val="MdStrong"/>
          <w:b/>
          <w:bCs/>
        </w:rPr>
        <w:t xml:space="preserve">Ação:</w:t>
      </w:r>
      <w:r>
        <w:t xml:space="preserve"> Inicie o desenvolvimento usando o modelo mais potente e inteligente à sua disposição (ex: GPT-4, Claude 3 Opus). O objetivo nesta fase não é a eficiência, mas sim provar que a tarefa pode ser completada com alta acurácia. </w:t>
      </w:r>
    </w:p>
    <w:p>
      <w:pPr>
        <w:pStyle w:val="MdListItem"/>
        <w:numPr>
          <w:ilvl w:val="1"/>
          <w:numId w:val="2"/>
        </w:numPr>
      </w:pPr>
      <w:r>
        <w:rPr>
          <w:rStyle w:val="MdStrong"/>
          <w:b/>
          <w:bCs/>
        </w:rPr>
        <w:t xml:space="preserve">Justificativa:</w:t>
      </w:r>
      <w:r>
        <w:t xml:space="preserve"> Modelos de ponta possuem a maior capacidade de raciocínio, o que os torna ideais para entender instruções complexas e usar ferramentas de forma correta desde o início. Isso permite validar a lógica do agente rapidamente.</w:t>
      </w:r>
    </w:p>
    <w:p>
      <w:pPr>
        <w:pStyle w:val="MdListItem"/>
        <w:numPr>
          <w:ilvl w:val="0"/>
          <w:numId w:val="3"/>
        </w:numPr>
      </w:pPr>
      <w:r>
        <w:rPr>
          <w:rStyle w:val="MdStrong"/>
          <w:b/>
          <w:bCs/>
        </w:rPr>
        <w:t xml:space="preserve">Fase 2: Atingir a Meta de Acurácia.</w:t>
      </w:r>
    </w:p>
    <w:p>
      <w:pPr>
        <w:pStyle w:val="MdListItem"/>
        <w:numPr>
          <w:ilvl w:val="1"/>
          <w:numId w:val="2"/>
        </w:numPr>
      </w:pPr>
      <w:r>
        <w:rPr>
          <w:rStyle w:val="MdStrong"/>
          <w:b/>
          <w:bCs/>
        </w:rPr>
        <w:t xml:space="preserve">Ação:</w:t>
      </w:r>
      <w:r>
        <w:t xml:space="preserve"> Com o modelo mais capaz, refine as instruções, as descrições das ferramentas e os exemplos (few-shot learning) até que o agente atinja a acurácia desejada em seu dataset de avaliação (o "golden dataset").</w:t>
      </w:r>
    </w:p>
    <w:p>
      <w:pPr>
        <w:pStyle w:val="MdListItem"/>
        <w:numPr>
          <w:ilvl w:val="1"/>
          <w:numId w:val="2"/>
        </w:numPr>
      </w:pPr>
      <w:r>
        <w:rPr>
          <w:rStyle w:val="MdStrong"/>
          <w:b/>
          <w:bCs/>
        </w:rPr>
        <w:t xml:space="preserve">Justificativa:</w:t>
      </w:r>
      <w:r>
        <w:t xml:space="preserve"> Esta fase foca em otimizar a "inteligência" do sistema, garantindo que o comportamento do agente seja correto e confiável antes de se preocupar com a otimização de custos.</w:t>
      </w:r>
    </w:p>
    <w:p>
      <w:pPr>
        <w:pStyle w:val="MdListItem"/>
        <w:numPr>
          <w:ilvl w:val="0"/>
          <w:numId w:val="3"/>
        </w:numPr>
      </w:pPr>
      <w:r>
        <w:rPr>
          <w:rStyle w:val="MdStrong"/>
          <w:b/>
          <w:bCs/>
        </w:rPr>
        <w:t xml:space="preserve">Fase 3: Otimizar Custo e Latência com um Portfólio de Modelos.</w:t>
      </w:r>
    </w:p>
    <w:p>
      <w:pPr>
        <w:pStyle w:val="MdListItem"/>
        <w:numPr>
          <w:ilvl w:val="1"/>
          <w:numId w:val="2"/>
        </w:numPr>
      </w:pPr>
      <w:r>
        <w:rPr>
          <w:rStyle w:val="MdStrong"/>
          <w:b/>
          <w:bCs/>
        </w:rPr>
        <w:t xml:space="preserve">Ação:</w:t>
      </w:r>
      <w:r>
        <w:t xml:space="preserve"> Uma vez que a acurácia está estável, analise o workflow do agente e identifique subtarefas que não exigem raciocínio complexo. Substitua o modelo de ponta por modelos menores, mais rápidos e mais baratos (ex: GPT-4.1-Mini, Gemini 2.5 Flash, Claude 3 Haiku) para essas subtarefas específicas.</w:t>
      </w:r>
    </w:p>
    <w:p>
      <w:pPr>
        <w:pStyle w:val="MdListItem"/>
        <w:numPr>
          <w:ilvl w:val="1"/>
          <w:numId w:val="2"/>
        </w:numPr>
      </w:pPr>
      <w:r>
        <w:rPr>
          <w:rStyle w:val="MdStrong"/>
          <w:b/>
          <w:bCs/>
        </w:rPr>
        <w:t xml:space="preserve">Justificativa:</w:t>
      </w:r>
      <w:r>
        <w:t xml:space="preserve"> Nem todas as etapas de um processo de recrutamento têm a mesma complexidade. Por exemplo, classificar um e-mail como "interesse em vaga" ou "dúvida geral" pode ser feito por um modelo pequeno, enquanto analisar a senioridade de um candidato com base em um CV complexo pode exigir o modelo mais potente. Usar um </w:t>
      </w:r>
      <w:r>
        <w:rPr>
          <w:rStyle w:val="MdStrong"/>
          <w:b/>
          <w:bCs/>
        </w:rPr>
        <w:t xml:space="preserve">portfólio de modelos</w:t>
      </w:r>
      <w:r>
        <w:t xml:space="preserve"> (padrão de arquitetura conhecido como </w:t>
      </w:r>
      <w:r>
        <w:rPr>
          <w:rStyle w:val="MdEm"/>
          <w:i/>
          <w:iCs/>
        </w:rPr>
        <w:t xml:space="preserve">model routing</w:t>
      </w:r>
      <w:r>
        <w:t xml:space="preserve">) é a melhor prática para equilibrar custo e performance.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Etapa do Workflow de Recrutamento</w:t>
            </w:r>
          </w:p>
        </w:tc>
        <w:tc>
          <w:tcPr>
            <w:tcMar>
              <w:top w:type="dxa" w:w="100"/>
              <w:left w:type="dxa" w:w="120"/>
              <w:bottom w:type="dxa" w:w="100"/>
              <w:right w:type="dxa" w:w="120"/>
            </w:tcMar>
            <w:vAlign w:val="center"/>
          </w:tcPr>
          <w:p>
            <w:pPr>
              <w:pStyle w:val="MdTableHeader"/>
              <w:jc w:val="left"/>
            </w:pPr>
            <w:r>
              <w:t xml:space="preserve">Complexidade</w:t>
            </w:r>
          </w:p>
        </w:tc>
        <w:tc>
          <w:tcPr>
            <w:tcMar>
              <w:top w:type="dxa" w:w="100"/>
              <w:left w:type="dxa" w:w="120"/>
              <w:bottom w:type="dxa" w:w="100"/>
              <w:right w:type="dxa" w:w="120"/>
            </w:tcMar>
            <w:vAlign w:val="center"/>
          </w:tcPr>
          <w:p>
            <w:pPr>
              <w:pStyle w:val="MdTableHeader"/>
              <w:jc w:val="left"/>
            </w:pPr>
            <w:r>
              <w:t xml:space="preserve">Modelo Sugerido</w:t>
            </w:r>
          </w:p>
        </w:tc>
        <w:tc>
          <w:tcPr>
            <w:tcBorders>
              <w:right w:val="none"/>
            </w:tcBorders>
            <w:tcMar>
              <w:top w:type="dxa" w:w="100"/>
              <w:left w:type="dxa" w:w="120"/>
              <w:bottom w:type="dxa" w:w="100"/>
              <w:right w:type="dxa" w:w="120"/>
            </w:tcMar>
            <w:vAlign w:val="center"/>
          </w:tcPr>
          <w:p>
            <w:pPr>
              <w:pStyle w:val="MdTableHeader"/>
              <w:jc w:val="left"/>
            </w:pPr>
            <w:r>
              <w:t xml:space="preserve">Justificativa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Classificação inicial de e-mail</w:t>
            </w:r>
          </w:p>
        </w:tc>
        <w:tc>
          <w:tcPr>
            <w:tcMar>
              <w:top w:type="dxa" w:w="80"/>
              <w:left w:type="dxa" w:w="120"/>
              <w:bottom w:type="dxa" w:w="80"/>
              <w:right w:type="dxa" w:w="120"/>
            </w:tcMar>
            <w:vAlign w:val="center"/>
          </w:tcPr>
          <w:p>
            <w:pPr>
              <w:pStyle w:val="MdTableCell"/>
              <w:jc w:val="left"/>
            </w:pPr>
            <w:r>
              <w:t xml:space="preserve">Baixa</w:t>
            </w:r>
          </w:p>
        </w:tc>
        <w:tc>
          <w:tcPr>
            <w:tcMar>
              <w:top w:type="dxa" w:w="80"/>
              <w:left w:type="dxa" w:w="120"/>
              <w:bottom w:type="dxa" w:w="80"/>
              <w:right w:type="dxa" w:w="120"/>
            </w:tcMar>
            <w:vAlign w:val="center"/>
          </w:tcPr>
          <w:p>
            <w:pPr>
              <w:pStyle w:val="MdTableCell"/>
              <w:jc w:val="left"/>
            </w:pPr>
            <w:r>
              <w:t xml:space="preserve">Modelo Pequeno/Rápido</w:t>
            </w:r>
          </w:p>
        </w:tc>
        <w:tc>
          <w:tcPr>
            <w:tcBorders>
              <w:right w:val="none"/>
            </w:tcBorders>
            <w:tcMar>
              <w:top w:type="dxa" w:w="80"/>
              <w:left w:type="dxa" w:w="120"/>
              <w:bottom w:type="dxa" w:w="80"/>
              <w:right w:type="dxa" w:w="120"/>
            </w:tcMar>
            <w:vAlign w:val="center"/>
          </w:tcPr>
          <w:p>
            <w:pPr>
              <w:pStyle w:val="MdTableCell"/>
              <w:jc w:val="left"/>
            </w:pPr>
            <w:r>
              <w:t xml:space="preserve">Tarefa de classificação simples.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Extração de dados de CV estruturado</w:t>
            </w:r>
          </w:p>
        </w:tc>
        <w:tc>
          <w:tcPr>
            <w:tcMar>
              <w:top w:type="dxa" w:w="80"/>
              <w:left w:type="dxa" w:w="120"/>
              <w:bottom w:type="dxa" w:w="80"/>
              <w:right w:type="dxa" w:w="120"/>
            </w:tcMar>
            <w:vAlign w:val="center"/>
          </w:tcPr>
          <w:p>
            <w:pPr>
              <w:pStyle w:val="MdTableCell"/>
              <w:jc w:val="left"/>
            </w:pPr>
            <w:r>
              <w:t xml:space="preserve">Média</w:t>
            </w:r>
          </w:p>
        </w:tc>
        <w:tc>
          <w:tcPr>
            <w:tcMar>
              <w:top w:type="dxa" w:w="80"/>
              <w:left w:type="dxa" w:w="120"/>
              <w:bottom w:type="dxa" w:w="80"/>
              <w:right w:type="dxa" w:w="120"/>
            </w:tcMar>
            <w:vAlign w:val="center"/>
          </w:tcPr>
          <w:p>
            <w:pPr>
              <w:pStyle w:val="MdTableCell"/>
              <w:jc w:val="left"/>
            </w:pPr>
            <w:r>
              <w:t xml:space="preserve">Modelo Médio</w:t>
            </w:r>
          </w:p>
        </w:tc>
        <w:tc>
          <w:tcPr>
            <w:tcBorders>
              <w:right w:val="none"/>
            </w:tcBorders>
            <w:tcMar>
              <w:top w:type="dxa" w:w="80"/>
              <w:left w:type="dxa" w:w="120"/>
              <w:bottom w:type="dxa" w:w="80"/>
              <w:right w:type="dxa" w:w="120"/>
            </w:tcMar>
            <w:vAlign w:val="center"/>
          </w:tcPr>
          <w:p>
            <w:pPr>
              <w:pStyle w:val="MdTableCell"/>
              <w:jc w:val="left"/>
            </w:pPr>
            <w:r>
              <w:t xml:space="preserve">Extração de entidades com formato previsível.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Análise de adequação cultural a partir de respostas de entrevista</w:t>
            </w:r>
          </w:p>
        </w:tc>
        <w:tc>
          <w:tcPr>
            <w:tcMar>
              <w:top w:type="dxa" w:w="80"/>
              <w:left w:type="dxa" w:w="120"/>
              <w:bottom w:type="dxa" w:w="80"/>
              <w:right w:type="dxa" w:w="120"/>
            </w:tcMar>
            <w:vAlign w:val="center"/>
          </w:tcPr>
          <w:p>
            <w:pPr>
              <w:pStyle w:val="MdTableCell"/>
              <w:jc w:val="left"/>
            </w:pPr>
            <w:r>
              <w:t xml:space="preserve">Alta</w:t>
            </w:r>
          </w:p>
        </w:tc>
        <w:tc>
          <w:tcPr>
            <w:tcMar>
              <w:top w:type="dxa" w:w="80"/>
              <w:left w:type="dxa" w:w="120"/>
              <w:bottom w:type="dxa" w:w="80"/>
              <w:right w:type="dxa" w:w="120"/>
            </w:tcMar>
            <w:vAlign w:val="center"/>
          </w:tcPr>
          <w:p>
            <w:pPr>
              <w:pStyle w:val="MdTableCell"/>
              <w:jc w:val="left"/>
            </w:pPr>
            <w:r>
              <w:t xml:space="preserve">Modelo Grande/Capaz</w:t>
            </w:r>
          </w:p>
        </w:tc>
        <w:tc>
          <w:tcPr>
            <w:tcBorders>
              <w:right w:val="none"/>
            </w:tcBorders>
            <w:tcMar>
              <w:top w:type="dxa" w:w="80"/>
              <w:left w:type="dxa" w:w="120"/>
              <w:bottom w:type="dxa" w:w="80"/>
              <w:right w:type="dxa" w:w="120"/>
            </w:tcMar>
            <w:vAlign w:val="center"/>
          </w:tcPr>
          <w:p>
            <w:pPr>
              <w:pStyle w:val="MdTableCell"/>
              <w:jc w:val="left"/>
            </w:pPr>
            <w:r>
              <w:t xml:space="preserve">Requer raciocínio nuanceado e compreensão profunda de linguagem.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Geração de resumo de perfil para o gestor</w:t>
            </w:r>
          </w:p>
        </w:tc>
        <w:tc>
          <w:tcPr>
            <w:tcBorders>
              <w:bottom w:val="single" w:color="E1E4E8" w:sz="4"/>
            </w:tcBorders>
            <w:tcMar>
              <w:top w:type="dxa" w:w="80"/>
              <w:left w:type="dxa" w:w="120"/>
              <w:bottom w:type="dxa" w:w="80"/>
              <w:right w:type="dxa" w:w="120"/>
            </w:tcMar>
            <w:vAlign w:val="center"/>
          </w:tcPr>
          <w:p>
            <w:pPr>
              <w:pStyle w:val="MdTableCell"/>
              <w:jc w:val="left"/>
            </w:pPr>
            <w:r>
              <w:t xml:space="preserve">Alta</w:t>
            </w:r>
          </w:p>
        </w:tc>
        <w:tc>
          <w:tcPr>
            <w:tcBorders>
              <w:bottom w:val="single" w:color="E1E4E8" w:sz="4"/>
            </w:tcBorders>
            <w:tcMar>
              <w:top w:type="dxa" w:w="80"/>
              <w:left w:type="dxa" w:w="120"/>
              <w:bottom w:type="dxa" w:w="80"/>
              <w:right w:type="dxa" w:w="120"/>
            </w:tcMar>
            <w:vAlign w:val="center"/>
          </w:tcPr>
          <w:p>
            <w:pPr>
              <w:pStyle w:val="MdTableCell"/>
              <w:jc w:val="left"/>
            </w:pPr>
            <w:r>
              <w:t xml:space="preserve">Modelo Grande/Capaz</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Requer capacidade de síntese e escrita de alta qualidade.</w:t>
            </w:r>
          </w:p>
        </w:tc>
      </w:tr>
    </w:tbl>
    <w:p>
      <w:pPr>
        <w:pStyle w:val="MdHr"/>
        <w:pBdr>
          <w:bottom w:val="single" w:color="auto" w:sz="6" w:space="1"/>
        </w:pBdr>
      </w:pPr>
    </w:p>
    <w:p>
      <w:pPr>
        <w:pStyle w:val="MdSpace"/>
        <w:spacing w:before="0" w:after="60"/>
      </w:pPr>
    </w:p>
    <w:p>
      <w:pPr>
        <w:pStyle w:val="Heading2"/>
        <w:pStyle w:val="MdHeading2"/>
      </w:pPr>
      <w:r>
        <w:t xml:space="preserve">Parte 2: Avaliação de Performance e Métricas de Assertividade</w:t>
      </w:r>
    </w:p>
    <w:p>
      <w:pPr>
        <w:pStyle w:val="MdParagraph"/>
      </w:pPr>
      <w:r>
        <w:t xml:space="preserve">Um agente de IA só é eficaz se seu desempenho puder ser medido e aprimorado de forma consistente. A avaliação de agentes é um processo contínuo que vai além da simples acurácia, abrangendo a correção do uso de ferramentas, a relevância das interações e a capacidade de concluir tarefas com sucesso.</w:t>
      </w:r>
    </w:p>
    <w:p>
      <w:pPr>
        <w:pStyle w:val="MdSpace"/>
        <w:spacing w:before="0" w:after="60"/>
      </w:pPr>
    </w:p>
    <w:p>
      <w:pPr>
        <w:pStyle w:val="Heading3"/>
        <w:pStyle w:val="MdHeading3"/>
      </w:pPr>
      <w:r>
        <w:t xml:space="preserve">2.1. Modos de Falha Comuns em Agentes</w:t>
      </w:r>
    </w:p>
    <w:p>
      <w:pPr>
        <w:pStyle w:val="MdParagraph"/>
      </w:pPr>
      <w:r>
        <w:t xml:space="preserve">De acordo com a Confident AI, uma empresa especializada em avaliação de LLMs, os agentes de IA geralmente falham de maneiras específicas que precisam ser monitoradas [3]:</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Tipo de Falha</w:t>
            </w:r>
          </w:p>
        </w:tc>
        <w:tc>
          <w:tcPr>
            <w:tcMar>
              <w:top w:type="dxa" w:w="100"/>
              <w:left w:type="dxa" w:w="120"/>
              <w:bottom w:type="dxa" w:w="100"/>
              <w:right w:type="dxa" w:w="120"/>
            </w:tcMar>
            <w:vAlign w:val="center"/>
          </w:tcPr>
          <w:p>
            <w:pPr>
              <w:pStyle w:val="MdTableHeader"/>
              <w:jc w:val="left"/>
            </w:pPr>
            <w:r>
              <w:t xml:space="preserve">Descrição</w:t>
            </w:r>
          </w:p>
        </w:tc>
        <w:tc>
          <w:tcPr>
            <w:tcBorders>
              <w:right w:val="none"/>
            </w:tcBorders>
            <w:tcMar>
              <w:top w:type="dxa" w:w="100"/>
              <w:left w:type="dxa" w:w="120"/>
              <w:bottom w:type="dxa" w:w="100"/>
              <w:right w:type="dxa" w:w="120"/>
            </w:tcMar>
            <w:vAlign w:val="center"/>
          </w:tcPr>
          <w:p>
            <w:pPr>
              <w:pStyle w:val="MdTableHeader"/>
              <w:jc w:val="left"/>
            </w:pPr>
            <w:r>
              <w:t xml:space="preserve">Exemplo em Recrutamento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Chamadas de Ferramentas Defeituosas</w:t>
            </w:r>
          </w:p>
        </w:tc>
        <w:tc>
          <w:tcPr>
            <w:tcMar>
              <w:top w:type="dxa" w:w="80"/>
              <w:left w:type="dxa" w:w="120"/>
              <w:bottom w:type="dxa" w:w="80"/>
              <w:right w:type="dxa" w:w="120"/>
            </w:tcMar>
            <w:vAlign w:val="center"/>
          </w:tcPr>
          <w:p>
            <w:pPr>
              <w:pStyle w:val="MdTableCell"/>
              <w:jc w:val="left"/>
            </w:pPr>
            <w:r>
              <w:t xml:space="preserve">O agente invoca a ferramenta errada, passa parâmetros inválidos ou interpreta mal a saída da ferramenta.</w:t>
            </w:r>
          </w:p>
        </w:tc>
        <w:tc>
          <w:tcPr>
            <w:tcBorders>
              <w:right w:val="none"/>
            </w:tcBorders>
            <w:tcMar>
              <w:top w:type="dxa" w:w="80"/>
              <w:left w:type="dxa" w:w="120"/>
              <w:bottom w:type="dxa" w:w="80"/>
              <w:right w:type="dxa" w:w="120"/>
            </w:tcMar>
            <w:vAlign w:val="center"/>
          </w:tcPr>
          <w:p>
            <w:pPr>
              <w:pStyle w:val="MdTableCell"/>
              <w:jc w:val="left"/>
            </w:pPr>
            <w:r>
              <w:t xml:space="preserve">O agente tenta agendar uma entrevista usando a API de um calendário, mas passa a data em um formato incorreto, resultando em erro.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Loops Infinitos</w:t>
            </w:r>
          </w:p>
        </w:tc>
        <w:tc>
          <w:tcPr>
            <w:tcMar>
              <w:top w:type="dxa" w:w="80"/>
              <w:left w:type="dxa" w:w="120"/>
              <w:bottom w:type="dxa" w:w="80"/>
              <w:right w:type="dxa" w:w="120"/>
            </w:tcMar>
            <w:vAlign w:val="center"/>
          </w:tcPr>
          <w:p>
            <w:pPr>
              <w:pStyle w:val="MdTableCell"/>
              <w:jc w:val="left"/>
            </w:pPr>
            <w:r>
              <w:t xml:space="preserve">O agente fica preso em um ciclo, repetindo o mesmo passo ou planejamento sem conseguir progredir.</w:t>
            </w:r>
          </w:p>
        </w:tc>
        <w:tc>
          <w:tcPr>
            <w:tcBorders>
              <w:right w:val="none"/>
            </w:tcBorders>
            <w:tcMar>
              <w:top w:type="dxa" w:w="80"/>
              <w:left w:type="dxa" w:w="120"/>
              <w:bottom w:type="dxa" w:w="80"/>
              <w:right w:type="dxa" w:w="120"/>
            </w:tcMar>
            <w:vAlign w:val="center"/>
          </w:tcPr>
          <w:p>
            <w:pPr>
              <w:pStyle w:val="MdTableCell"/>
              <w:jc w:val="left"/>
            </w:pPr>
            <w:r>
              <w:t xml:space="preserve">Ao não encontrar um horário disponível, o agente entra em loop, tentando repetidamente buscar o mesmo dia na agenda sem sucesso.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Conclusão Falsa de Tarefa</w:t>
            </w:r>
          </w:p>
        </w:tc>
        <w:tc>
          <w:tcPr>
            <w:tcMar>
              <w:top w:type="dxa" w:w="80"/>
              <w:left w:type="dxa" w:w="120"/>
              <w:bottom w:type="dxa" w:w="80"/>
              <w:right w:type="dxa" w:w="120"/>
            </w:tcMar>
            <w:vAlign w:val="center"/>
          </w:tcPr>
          <w:p>
            <w:pPr>
              <w:pStyle w:val="MdTableCell"/>
              <w:jc w:val="left"/>
            </w:pPr>
            <w:r>
              <w:t xml:space="preserve">O agente afirma ter concluído um objetivo, mas nenhum progresso real ou efeito colateral ocorreu no sistema externo.</w:t>
            </w:r>
          </w:p>
        </w:tc>
        <w:tc>
          <w:tcPr>
            <w:tcBorders>
              <w:right w:val="none"/>
            </w:tcBorders>
            <w:tcMar>
              <w:top w:type="dxa" w:w="80"/>
              <w:left w:type="dxa" w:w="120"/>
              <w:bottom w:type="dxa" w:w="80"/>
              <w:right w:type="dxa" w:w="120"/>
            </w:tcMar>
            <w:vAlign w:val="center"/>
          </w:tcPr>
          <w:p>
            <w:pPr>
              <w:pStyle w:val="MdTableCell"/>
              <w:jc w:val="left"/>
            </w:pPr>
            <w:r>
              <w:t xml:space="preserve">O agente informa que enviou um e-mail de feedback ao candidato, mas a chamada à API de e-mail falhou e a mensagem nunca foi enviada.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Desvio de Instruções</w:t>
            </w:r>
          </w:p>
        </w:tc>
        <w:tc>
          <w:tcPr>
            <w:tcBorders>
              <w:bottom w:val="single" w:color="E1E4E8" w:sz="4"/>
            </w:tcBorders>
            <w:tcMar>
              <w:top w:type="dxa" w:w="80"/>
              <w:left w:type="dxa" w:w="120"/>
              <w:bottom w:type="dxa" w:w="80"/>
              <w:right w:type="dxa" w:w="120"/>
            </w:tcMar>
            <w:vAlign w:val="center"/>
          </w:tcPr>
          <w:p>
            <w:pPr>
              <w:pStyle w:val="MdTableCell"/>
              <w:jc w:val="left"/>
            </w:pPr>
            <w:r>
              <w:t xml:space="preserve">O agente gradualmente se desvia da intenção original do usuário à medida que o raciocínio intermediário se acumula.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Um agente instruído para focar apenas em habilidades técnicas começa a fazer perguntas sobre hobbies do candidato, desviando do escopo.</w:t>
            </w:r>
          </w:p>
        </w:tc>
      </w:tr>
    </w:tbl>
    <w:p>
      <w:pPr>
        <w:pStyle w:val="Heading3"/>
        <w:pStyle w:val="MdHeading3"/>
      </w:pPr>
      <w:r>
        <w:t xml:space="preserve">2.2. Métricas Essenciais de Avaliação</w:t>
      </w:r>
    </w:p>
    <w:p>
      <w:pPr>
        <w:pStyle w:val="MdParagraph"/>
      </w:pPr>
      <w:r>
        <w:t xml:space="preserve">Para combater essas falhas, é crucial implementar um conjunto de métricas que avaliem o comportamento do agente de ponta a ponta e em nível de componente [3]:</w:t>
      </w:r>
    </w:p>
    <w:p>
      <w:pPr>
        <w:pStyle w:val="MdSpace"/>
        <w:spacing w:before="0" w:after="60"/>
      </w:pPr>
    </w:p>
    <w:p>
      <w:pPr>
        <w:pStyle w:val="MdListItem"/>
        <w:numPr>
          <w:ilvl w:val="0"/>
          <w:numId w:val="2"/>
        </w:numPr>
      </w:pPr>
      <w:r>
        <w:rPr>
          <w:rStyle w:val="MdStrong"/>
          <w:b/>
          <w:bCs/>
        </w:rPr>
        <w:t xml:space="preserve">Conclusão da Tarefa (Task Completion):</w:t>
      </w:r>
      <w:r>
        <w:t xml:space="preserve"> A métrica mais importante. Avalia se o agente conseguiu, de fato, completar a tarefa solicitada. Por exemplo, o currículo foi analisado e o candidato foi classificado corretamente no ATS?</w:t>
      </w:r>
    </w:p>
    <w:p>
      <w:pPr>
        <w:pStyle w:val="MdListItem"/>
        <w:numPr>
          <w:ilvl w:val="0"/>
          <w:numId w:val="2"/>
        </w:numPr>
      </w:pPr>
      <w:r>
        <w:rPr>
          <w:rStyle w:val="MdStrong"/>
          <w:b/>
          <w:bCs/>
        </w:rPr>
        <w:t xml:space="preserve">Correção da Ferramenta (Tool Correctness):</w:t>
      </w:r>
      <w:r>
        <w:t xml:space="preserve"> Verifica se o agente selecionou a ferramenta mais apropriada para cada passo da tarefa. Ele usou a ferramenta de análise de CV em vez da ferramenta de agendamento?</w:t>
      </w:r>
    </w:p>
    <w:p>
      <w:pPr>
        <w:pStyle w:val="MdListItem"/>
        <w:numPr>
          <w:ilvl w:val="0"/>
          <w:numId w:val="2"/>
        </w:numPr>
      </w:pPr>
      <w:r>
        <w:rPr>
          <w:rStyle w:val="MdStrong"/>
          <w:b/>
          <w:bCs/>
        </w:rPr>
        <w:t xml:space="preserve">Correção dos Argumentos (Argument Correctness):</w:t>
      </w:r>
      <w:r>
        <w:t xml:space="preserve"> Avalia se os parâmetros passados para as ferramentas estão corretos e no formato esperado. O ID do candidato e o ID da vaga foram passados corretamente para a função de associação no ATS?</w:t>
      </w:r>
    </w:p>
    <w:p>
      <w:pPr>
        <w:pStyle w:val="MdListItem"/>
        <w:numPr>
          <w:ilvl w:val="0"/>
          <w:numId w:val="2"/>
        </w:numPr>
      </w:pPr>
      <w:r>
        <w:rPr>
          <w:rStyle w:val="MdStrong"/>
          <w:b/>
          <w:bCs/>
        </w:rPr>
        <w:t xml:space="preserve">Relevância do Turno (Turn Relevancy - para agentes conversacionais):</w:t>
      </w:r>
      <w:r>
        <w:t xml:space="preserve"> Em um chatbot de triagem, cada pergunta feita pelo agente é relevante e contribui para o objetivo de avaliar o candidato?</w:t>
      </w:r>
    </w:p>
    <w:p>
      <w:pPr>
        <w:pStyle w:val="MdSpace"/>
        <w:spacing w:before="0" w:after="60"/>
      </w:pPr>
    </w:p>
    <w:p>
      <w:pPr>
        <w:pStyle w:val="Heading3"/>
        <w:pStyle w:val="MdHeading3"/>
      </w:pPr>
      <w:r>
        <w:t xml:space="preserve">2.3. Melhores Práticas de Avaliação</w:t>
      </w:r>
    </w:p>
    <w:p>
      <w:pPr>
        <w:pStyle w:val="MdListItem"/>
        <w:numPr>
          <w:ilvl w:val="0"/>
          <w:numId w:val="2"/>
        </w:numPr>
      </w:pPr>
      <w:r>
        <w:rPr>
          <w:rStyle w:val="MdStrong"/>
          <w:b/>
          <w:bCs/>
        </w:rPr>
        <w:t xml:space="preserve">LLM-as-a-Judge:</w:t>
      </w:r>
      <w:r>
        <w:t xml:space="preserve">Utilize um LLM como um </w:t>
      </w:r>
      <w:r>
        <w:br/>
        <w:t xml:space="preserve">avaliador ("juiz") para métricas mais complexas e subjetivas, como a qualidade de um resumo de perfil de candidato gerado pelo agente. O LLM-juiz pode comparar a saída do agente com uma resposta ideal e fornecer uma pontuação.</w:t>
      </w:r>
    </w:p>
    <w:p>
      <w:pPr>
        <w:pStyle w:val="MdListItem"/>
        <w:numPr>
          <w:ilvl w:val="0"/>
          <w:numId w:val="2"/>
        </w:numPr>
      </w:pPr>
      <w:r>
        <w:rPr>
          <w:rStyle w:val="MdStrong"/>
          <w:b/>
          <w:bCs/>
        </w:rPr>
        <w:t xml:space="preserve">Golden Datasets:</w:t>
      </w:r>
      <w:r>
        <w:t xml:space="preserve"> Crie um "dataset de ouro" com exemplos de entradas e os resultados ideais esperados. Esse dataset serve como uma base de referência (benchmark) para testar diferentes versões do seu agente e medir regressões ou melhorias de forma consistente.</w:t>
      </w:r>
    </w:p>
    <w:p>
      <w:pPr>
        <w:pStyle w:val="MdListItem"/>
        <w:numPr>
          <w:ilvl w:val="0"/>
          <w:numId w:val="2"/>
        </w:numPr>
      </w:pPr>
      <w:r>
        <w:rPr>
          <w:rStyle w:val="MdStrong"/>
          <w:b/>
          <w:bCs/>
        </w:rPr>
        <w:t xml:space="preserve">Tracing e Logging:</w:t>
      </w:r>
      <w:r>
        <w:t xml:space="preserve"> Implemente um sistema de rastreamento (tracing) que registre cada passo do raciocínio do agente, cada chamada de ferramenta e cada resultado. Isso é indispensável para o debugging e para entender por que uma falha ocorreu.</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Parte 3: Governança, Ética e Conformidade Legal</w:t>
      </w:r>
    </w:p>
    <w:p>
      <w:pPr>
        <w:pStyle w:val="MdParagraph"/>
      </w:pPr>
      <w:r>
        <w:t xml:space="preserve">A implementação de IA no recrutamento carrega responsabilidades significativas. Um agente mal projetado pode perpetuar vieses, tomar decisões discriminatórias e violar leis de proteção de dados. Esta seção aborda os frameworks de governança e os requisitos legais essenciais para uma operação responsável.</w:t>
      </w:r>
    </w:p>
    <w:p>
      <w:pPr>
        <w:pStyle w:val="MdSpace"/>
        <w:spacing w:before="0" w:after="60"/>
      </w:pPr>
    </w:p>
    <w:p>
      <w:pPr>
        <w:pStyle w:val="Heading3"/>
        <w:pStyle w:val="MdHeading3"/>
      </w:pPr>
      <w:r>
        <w:t xml:space="preserve">3.1. Framework de Contratação Inclusiva com IA do Departamento de Trabalho dos EUA (DOL)</w:t>
      </w:r>
    </w:p>
    <w:p>
      <w:pPr>
        <w:pStyle w:val="MdParagraph"/>
      </w:pPr>
      <w:r>
        <w:t xml:space="preserve">Em setembro de 2024, o Departamento de Trabalho dos EUA (DOL) publicou um framework com 10 áreas de foco para guiar o uso responsável de IA no recrutamento, com ênfase na prevenção da discriminação e na promoção da inclusão de pessoas com deficiência [4]. Embora seja uma diretriz americana, seus princípios são universalmente aplicáveis como melhores práticas.</w:t>
      </w:r>
    </w:p>
    <w:p>
      <w:pPr>
        <w:pStyle w:val="MdSpace"/>
        <w:spacing w:before="0" w:after="60"/>
      </w:pPr>
    </w:p>
    <w:p>
      <w:pPr>
        <w:pStyle w:val="MdParagraph"/>
      </w:pPr>
      <w:r>
        <w:rPr>
          <w:rStyle w:val="MdStrong"/>
          <w:b/>
          <w:bCs/>
        </w:rPr>
        <w:t xml:space="preserve">As 10 Áreas de Foco:</w:t>
      </w:r>
    </w:p>
    <w:p>
      <w:pPr>
        <w:pStyle w:val="MdSpace"/>
        <w:spacing w:before="0" w:after="60"/>
      </w:pPr>
    </w:p>
    <w:p>
      <w:pPr>
        <w:pStyle w:val="MdListItem"/>
        <w:numPr>
          <w:ilvl w:val="0"/>
          <w:numId w:val="3"/>
        </w:numPr>
      </w:pPr>
      <w:r>
        <w:rPr>
          <w:rStyle w:val="MdStrong"/>
          <w:b/>
          <w:bCs/>
        </w:rPr>
        <w:t xml:space="preserve">Identificar Requisitos Legais:</w:t>
      </w:r>
      <w:r>
        <w:t xml:space="preserve"> Mapeie e compreenda todas as leis de não discriminação, acessibilidade e privacidade de dados aplicáveis à sua operação.</w:t>
      </w:r>
    </w:p>
    <w:p>
      <w:pPr>
        <w:pStyle w:val="MdListItem"/>
        <w:numPr>
          <w:ilvl w:val="0"/>
          <w:numId w:val="3"/>
        </w:numPr>
      </w:pPr>
      <w:r>
        <w:rPr>
          <w:rStyle w:val="MdStrong"/>
          <w:b/>
          <w:bCs/>
        </w:rPr>
        <w:t xml:space="preserve">Estabelecer Papéis da Equipe:</w:t>
      </w:r>
      <w:r>
        <w:t xml:space="preserve"> Defina claramente as responsabilidades da equipe envolvida na implantação e supervisão da IA. Garanta treinamento adequado.</w:t>
      </w:r>
    </w:p>
    <w:p>
      <w:pPr>
        <w:pStyle w:val="MdListItem"/>
        <w:numPr>
          <w:ilvl w:val="0"/>
          <w:numId w:val="3"/>
        </w:numPr>
      </w:pPr>
      <w:r>
        <w:rPr>
          <w:rStyle w:val="MdStrong"/>
          <w:b/>
          <w:bCs/>
        </w:rPr>
        <w:t xml:space="preserve">Inventariar Tecnologia:</w:t>
      </w:r>
      <w:r>
        <w:t xml:space="preserve"> Mantenha um inventário detalhado das tecnologias de IA em uso, incluindo informações sobre seus fornecedores, propósito, classificação de risco e status de conformidade.</w:t>
      </w:r>
    </w:p>
    <w:p>
      <w:pPr>
        <w:pStyle w:val="MdListItem"/>
        <w:numPr>
          <w:ilvl w:val="0"/>
          <w:numId w:val="3"/>
        </w:numPr>
      </w:pPr>
      <w:r>
        <w:rPr>
          <w:rStyle w:val="MdStrong"/>
          <w:b/>
          <w:bCs/>
        </w:rPr>
        <w:t xml:space="preserve">Trabalhar com Fornecedores:</w:t>
      </w:r>
      <w:r>
        <w:t xml:space="preserve"> Engaje ativamente seus fornecedores de tecnologia para garantir que suas ferramentas sejam transparentes, justas e conformes. A responsabilidade final é da empresa empregadora.</w:t>
      </w:r>
    </w:p>
    <w:p>
      <w:pPr>
        <w:pStyle w:val="MdListItem"/>
        <w:numPr>
          <w:ilvl w:val="0"/>
          <w:numId w:val="3"/>
        </w:numPr>
      </w:pPr>
      <w:r>
        <w:rPr>
          <w:rStyle w:val="MdStrong"/>
          <w:b/>
          <w:bCs/>
        </w:rPr>
        <w:t xml:space="preserve">Avaliar Impactos (Positivos e Negativos):</w:t>
      </w:r>
      <w:r>
        <w:t xml:space="preserve"> Conduza avaliações de impacto para entender como a IA afetará diferentes grupos de candidatos. Colabore com especialistas externos e os próprios candidatos nesse processo.</w:t>
      </w:r>
    </w:p>
    <w:p>
      <w:pPr>
        <w:pStyle w:val="MdListItem"/>
        <w:numPr>
          <w:ilvl w:val="0"/>
          <w:numId w:val="3"/>
        </w:numPr>
      </w:pPr>
      <w:r>
        <w:rPr>
          <w:rStyle w:val="MdStrong"/>
          <w:b/>
          <w:bCs/>
        </w:rPr>
        <w:t xml:space="preserve">Fornecer Acomodações:</w:t>
      </w:r>
      <w:r>
        <w:t xml:space="preserve"> Crie um processo claro para que candidatos possam solicitar uma alternativa ao processo automatizado, caso não se sintam confortáveis ou necessitem de acomodações.</w:t>
      </w:r>
    </w:p>
    <w:p>
      <w:pPr>
        <w:pStyle w:val="MdListItem"/>
        <w:numPr>
          <w:ilvl w:val="0"/>
          <w:numId w:val="3"/>
        </w:numPr>
      </w:pPr>
      <w:r>
        <w:rPr>
          <w:rStyle w:val="MdStrong"/>
          <w:b/>
          <w:bCs/>
        </w:rPr>
        <w:t xml:space="preserve">Usar IA Explicável (Explainable AI - XAI):</w:t>
      </w:r>
      <w:r>
        <w:t xml:space="preserve"> Exija que seus sistemas sejam "explicáveis", ou seja, que seja possível entender como e por que um modelo de IA chegou a uma determinada decisão ou recomendação.</w:t>
      </w:r>
    </w:p>
    <w:p>
      <w:pPr>
        <w:pStyle w:val="MdListItem"/>
        <w:numPr>
          <w:ilvl w:val="0"/>
          <w:numId w:val="3"/>
        </w:numPr>
      </w:pPr>
      <w:r>
        <w:rPr>
          <w:rStyle w:val="MdStrong"/>
          <w:b/>
          <w:bCs/>
        </w:rPr>
        <w:t xml:space="preserve">Garantir Supervisão Humana:</w:t>
      </w:r>
      <w:r>
        <w:t xml:space="preserve"> Nenhuma decisão crítica de contratação deve ser totalmente delegada à IA. Mantenha sempre um humano no ciclo para revisar e validar as decisões do sistema.</w:t>
      </w:r>
    </w:p>
    <w:p>
      <w:pPr>
        <w:pStyle w:val="MdListItem"/>
        <w:numPr>
          <w:ilvl w:val="0"/>
          <w:numId w:val="3"/>
        </w:numPr>
      </w:pPr>
      <w:r>
        <w:rPr>
          <w:rStyle w:val="MdStrong"/>
          <w:b/>
          <w:bCs/>
        </w:rPr>
        <w:t xml:space="preserve">Gerenciar Incidentes:</w:t>
      </w:r>
      <w:r>
        <w:t xml:space="preserve"> Tenha um plano de ação para identificar, responder e mitigar incidentes, como falhas do sistema, feedback negativo ou descoberta de vieses.</w:t>
      </w:r>
    </w:p>
    <w:p>
      <w:pPr>
        <w:pStyle w:val="MdListItem"/>
        <w:numPr>
          <w:ilvl w:val="0"/>
          <w:numId w:val="3"/>
        </w:numPr>
      </w:pPr>
      <w:r>
        <w:rPr>
          <w:rStyle w:val="MdStrong"/>
          <w:b/>
          <w:bCs/>
        </w:rPr>
        <w:t xml:space="preserve">Monitorar Regularmente:</w:t>
      </w:r>
      <w:r>
        <w:t xml:space="preserve"> Monitore continuamente o desempenho da IA para identificar e corrigir problemas, estabelecendo KPIs para avaliar a eficácia e o impacto da tecnologia.</w:t>
      </w:r>
    </w:p>
    <w:p>
      <w:pPr>
        <w:pStyle w:val="MdSpace"/>
        <w:spacing w:before="0" w:after="60"/>
      </w:pPr>
    </w:p>
    <w:p>
      <w:pPr>
        <w:pStyle w:val="Heading3"/>
        <w:pStyle w:val="MdHeading3"/>
      </w:pPr>
      <w:r>
        <w:t xml:space="preserve">3.2. Conformidade com a LGPD no Brasil</w:t>
      </w:r>
    </w:p>
    <w:p>
      <w:pPr>
        <w:pStyle w:val="MdParagraph"/>
      </w:pPr>
      <w:r>
        <w:t xml:space="preserve">No Brasil, o uso de IA em recrutamento é diretamente impactado pela Lei Geral de Proteção de Dados (LGPD - Lei nº 13.709/2018). As empresas devem observar princípios e direitos fundamentais [5].</w:t>
      </w:r>
    </w:p>
    <w:p>
      <w:pPr>
        <w:pStyle w:val="MdSpace"/>
        <w:spacing w:before="0" w:after="60"/>
      </w:pPr>
    </w:p>
    <w:p>
      <w:pPr>
        <w:pStyle w:val="MdParagraph"/>
      </w:pPr>
      <w:r>
        <w:rPr>
          <w:rStyle w:val="MdStrong"/>
          <w:b/>
          <w:bCs/>
        </w:rPr>
        <w:t xml:space="preserve">Princípios Chave da LGPD:</w:t>
      </w:r>
    </w:p>
    <w:p>
      <w:pPr>
        <w:pStyle w:val="MdSpace"/>
        <w:spacing w:before="0" w:after="60"/>
      </w:pPr>
    </w:p>
    <w:p>
      <w:pPr>
        <w:pStyle w:val="MdListItem"/>
        <w:numPr>
          <w:ilvl w:val="0"/>
          <w:numId w:val="2"/>
        </w:numPr>
      </w:pPr>
      <w:r>
        <w:rPr>
          <w:rStyle w:val="MdStrong"/>
          <w:b/>
          <w:bCs/>
        </w:rPr>
        <w:t xml:space="preserve">Não Discriminação:</w:t>
      </w:r>
      <w:r>
        <w:t xml:space="preserve"> O tratamento de dados pessoais jamais pode ser realizado para fins discriminatórios, ilícitos ou abusivos. Os algoritmos não podem usar dados sensíveis (origem racial ou étnica, convicção religiosa, opinião política, etc.) para fins de seleção, a menos que se enquadre em uma das raras exceções legais.</w:t>
      </w:r>
    </w:p>
    <w:p>
      <w:pPr>
        <w:pStyle w:val="MdListItem"/>
        <w:numPr>
          <w:ilvl w:val="0"/>
          <w:numId w:val="2"/>
        </w:numPr>
      </w:pPr>
      <w:r>
        <w:rPr>
          <w:rStyle w:val="MdStrong"/>
          <w:b/>
          <w:bCs/>
        </w:rPr>
        <w:t xml:space="preserve">Transparência:</w:t>
      </w:r>
      <w:r>
        <w:t xml:space="preserve"> Os candidatos devem ser informados de forma clara e acessível que estão interagindo com um sistema de IA e como suas informações serão utilizadas.</w:t>
      </w:r>
    </w:p>
    <w:p>
      <w:pPr>
        <w:pStyle w:val="MdSpace"/>
        <w:spacing w:before="0" w:after="60"/>
      </w:pPr>
    </w:p>
    <w:p>
      <w:pPr>
        <w:pStyle w:val="MdParagraph"/>
      </w:pPr>
      <w:r>
        <w:rPr>
          <w:rStyle w:val="MdStrong"/>
          <w:b/>
          <w:bCs/>
        </w:rPr>
        <w:t xml:space="preserve">Direito à Revisão de Decisões Automatizadas (Art. 20 da LGPD):</w:t>
      </w:r>
    </w:p>
    <w:p>
      <w:pPr>
        <w:pStyle w:val="MdSpace"/>
        <w:spacing w:before="0" w:after="60"/>
      </w:pPr>
    </w:p>
    <w:p>
      <w:pPr>
        <w:pStyle w:val="MdParagraph"/>
      </w:pPr>
      <w:r>
        <w:t xml:space="preserve">Este é o ponto mais crítico da LGPD para agentes de recrutamento. O candidato (titular dos dados) tem o </w:t>
      </w:r>
      <w:r>
        <w:rPr>
          <w:rStyle w:val="MdStrong"/>
          <w:b/>
          <w:bCs/>
        </w:rPr>
        <w:t xml:space="preserve">direito de solicitar a revisão de decisões tomadas unicamente com base em tratamento automatizado</w:t>
      </w:r>
      <w:r>
        <w:t xml:space="preserve"> que afetem seus interesses. Isso inclui decisões destinadas a definir seu perfil profissional.</w:t>
      </w:r>
    </w:p>
    <w:p>
      <w:pPr>
        <w:pStyle w:val="MdSpace"/>
        <w:spacing w:before="0" w:after="60"/>
      </w:pPr>
    </w:p>
    <w:p>
      <w:pPr>
        <w:pStyle w:val="MdListItem"/>
        <w:numPr>
          <w:ilvl w:val="0"/>
          <w:numId w:val="2"/>
        </w:numPr>
      </w:pPr>
      <w:r>
        <w:rPr>
          <w:rStyle w:val="MdStrong"/>
          <w:b/>
          <w:bCs/>
        </w:rPr>
        <w:t xml:space="preserve">Obrigações da Empresa:</w:t>
      </w:r>
      <w:r>
        <w:t xml:space="preserve"> Se um candidato for desqualificado por uma decisão 100% automatizada do agente de IA, a empresa é obrigada a fornecer, caso solicitado, informações claras sobre os critérios e os procedimentos utilizados para aquela decisão. O segredo comercial não é uma desculpa absoluta para a falta de transparência.</w:t>
      </w:r>
    </w:p>
    <w:p>
      <w:pPr>
        <w:pStyle w:val="MdListItem"/>
        <w:numPr>
          <w:ilvl w:val="0"/>
          <w:numId w:val="2"/>
        </w:numPr>
      </w:pPr>
      <w:r>
        <w:rPr>
          <w:rStyle w:val="MdStrong"/>
          <w:b/>
          <w:bCs/>
        </w:rPr>
        <w:t xml:space="preserve">Auditoria pela ANPD:</w:t>
      </w:r>
      <w:r>
        <w:t xml:space="preserve"> Caso a empresa se recuse a fornecer as informações, a Autoridade Nacional de Proteção de Dados (ANPD) pode realizar uma auditoria para verificar a existência de vieses discriminatórios no algoritmo.</w:t>
      </w:r>
    </w:p>
    <w:p>
      <w:pPr>
        <w:pStyle w:val="MdSpace"/>
        <w:spacing w:before="0" w:after="60"/>
      </w:pPr>
    </w:p>
    <w:p>
      <w:pPr>
        <w:pStyle w:val="MdParagraph"/>
      </w:pPr>
      <w:r>
        <w:rPr>
          <w:rStyle w:val="MdStrong"/>
          <w:b/>
          <w:bCs/>
        </w:rPr>
        <w:t xml:space="preserve">Recomendações para Conformidade com a LGPD:</w:t>
      </w:r>
    </w:p>
    <w:p>
      <w:pPr>
        <w:pStyle w:val="MdSpace"/>
        <w:spacing w:before="0" w:after="60"/>
      </w:pPr>
    </w:p>
    <w:p>
      <w:pPr>
        <w:pStyle w:val="MdListItem"/>
        <w:numPr>
          <w:ilvl w:val="0"/>
          <w:numId w:val="2"/>
        </w:numPr>
      </w:pPr>
      <w:r>
        <w:rPr>
          <w:rStyle w:val="MdStrong"/>
          <w:b/>
          <w:bCs/>
        </w:rPr>
        <w:t xml:space="preserve">Revisão Humana Mandatória:</w:t>
      </w:r>
      <w:r>
        <w:t xml:space="preserve"> A melhor prática para cumprir o Art. 20 é garantir que nenhuma decisão de eliminação de um candidato seja </w:t>
      </w:r>
      <w:r>
        <w:rPr>
          <w:rStyle w:val="MdStrong"/>
          <w:b/>
          <w:bCs/>
        </w:rPr>
        <w:t xml:space="preserve">unicamente</w:t>
      </w:r>
      <w:r>
        <w:t xml:space="preserve"> automatizada. Implemente um ponto de revisão humana para todas as decisões negativas do agente.</w:t>
      </w:r>
    </w:p>
    <w:p>
      <w:pPr>
        <w:pStyle w:val="MdListItem"/>
        <w:numPr>
          <w:ilvl w:val="0"/>
          <w:numId w:val="2"/>
        </w:numPr>
      </w:pPr>
      <w:r>
        <w:rPr>
          <w:rStyle w:val="MdStrong"/>
          <w:b/>
          <w:bCs/>
        </w:rPr>
        <w:t xml:space="preserve">Transparência Ativa:</w:t>
      </w:r>
      <w:r>
        <w:t xml:space="preserve"> Informe os candidatos desde o início sobre o uso da IA, os tipos de dados coletados e o direito à revisão.</w:t>
      </w:r>
    </w:p>
    <w:p>
      <w:pPr>
        <w:pStyle w:val="MdListItem"/>
        <w:numPr>
          <w:ilvl w:val="0"/>
          <w:numId w:val="2"/>
        </w:numPr>
      </w:pPr>
      <w:r>
        <w:rPr>
          <w:rStyle w:val="MdStrong"/>
          <w:b/>
          <w:bCs/>
        </w:rPr>
        <w:t xml:space="preserve">Documentação Robusta:</w:t>
      </w:r>
      <w:r>
        <w:t xml:space="preserve"> Mantenha uma documentação detalhada sobre o funcionamento do algoritmo, os critérios de decisão, os dados utilizados no treinamento e as medidas tomadas para mitigar vieses.</w:t>
      </w:r>
    </w:p>
    <w:p>
      <w:pPr>
        <w:pStyle w:val="MdSpace"/>
        <w:spacing w:before="0" w:after="60"/>
      </w:pPr>
    </w:p>
    <w:p>
      <w:pPr>
        <w:pStyle w:val="Heading3"/>
        <w:pStyle w:val="MdHeading3"/>
      </w:pPr>
      <w:r>
        <w:t xml:space="preserve">3.3. Checklist de Conformidade com a LGPD (Art. 20)</w:t>
      </w:r>
    </w:p>
    <w:p>
      <w:pPr>
        <w:pStyle w:val="MdParagraph"/>
      </w:pPr>
      <w:r>
        <w:t xml:space="preserve">Para auxiliar na implementação prática dos requisitos da LGPD referentes a decisões automatizadas, este checklist pode ser usado como um guia de verificação.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Categoria</w:t>
            </w:r>
          </w:p>
        </w:tc>
        <w:tc>
          <w:tcPr>
            <w:tcMar>
              <w:top w:type="dxa" w:w="100"/>
              <w:left w:type="dxa" w:w="120"/>
              <w:bottom w:type="dxa" w:w="100"/>
              <w:right w:type="dxa" w:w="120"/>
            </w:tcMar>
            <w:vAlign w:val="center"/>
          </w:tcPr>
          <w:p>
            <w:pPr>
              <w:pStyle w:val="MdTableHeader"/>
              <w:jc w:val="left"/>
            </w:pPr>
            <w:r>
              <w:t xml:space="preserve">Item de Verificação</w:t>
            </w:r>
          </w:p>
        </w:tc>
        <w:tc>
          <w:tcPr>
            <w:tcMar>
              <w:top w:type="dxa" w:w="100"/>
              <w:left w:type="dxa" w:w="120"/>
              <w:bottom w:type="dxa" w:w="100"/>
              <w:right w:type="dxa" w:w="120"/>
            </w:tcMar>
            <w:vAlign w:val="center"/>
          </w:tcPr>
          <w:p>
            <w:pPr>
              <w:pStyle w:val="MdTableHeader"/>
              <w:jc w:val="left"/>
            </w:pPr>
            <w:r>
              <w:t xml:space="preserve">Status (Pendente/Em Andamento/Concluído)</w:t>
            </w:r>
          </w:p>
        </w:tc>
        <w:tc>
          <w:tcPr>
            <w:tcBorders>
              <w:right w:val="none"/>
            </w:tcBorders>
            <w:tcMar>
              <w:top w:type="dxa" w:w="100"/>
              <w:left w:type="dxa" w:w="120"/>
              <w:bottom w:type="dxa" w:w="100"/>
              <w:right w:type="dxa" w:w="120"/>
            </w:tcMar>
            <w:vAlign w:val="center"/>
          </w:tcPr>
          <w:p>
            <w:pPr>
              <w:pStyle w:val="MdTableHeader"/>
              <w:jc w:val="left"/>
            </w:pPr>
            <w:r>
              <w:t xml:space="preserve">Observações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1. Transparência</w:t>
            </w:r>
          </w:p>
        </w:tc>
        <w:tc>
          <w:tcPr>
            <w:tcMar>
              <w:top w:type="dxa" w:w="80"/>
              <w:left w:type="dxa" w:w="120"/>
              <w:bottom w:type="dxa" w:w="80"/>
              <w:right w:type="dxa" w:w="120"/>
            </w:tcMar>
            <w:vAlign w:val="center"/>
          </w:tcPr>
          <w:p>
            <w:pPr>
              <w:pStyle w:val="MdTableCell"/>
              <w:jc w:val="left"/>
            </w:pPr>
            <w:r>
              <w:t xml:space="preserve">Os candidatos são informados de forma clara e inequívoca, no início do processo, que uma IA será usada para análise e tomada de decisão?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O aviso deve estar presente na página de candidatura e nos termos de privacidade.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A política de privacidade explica quais dados são coletados, para qual finalidade e como o sistema de IA funciona em termos gerais?</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Evitar jargão técnico. Focar no impacto para o candidato.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2. Direito à Revisão</w:t>
            </w:r>
          </w:p>
        </w:tc>
        <w:tc>
          <w:tcPr>
            <w:tcMar>
              <w:top w:type="dxa" w:w="80"/>
              <w:left w:type="dxa" w:w="120"/>
              <w:bottom w:type="dxa" w:w="80"/>
              <w:right w:type="dxa" w:w="120"/>
            </w:tcMar>
            <w:vAlign w:val="center"/>
          </w:tcPr>
          <w:p>
            <w:pPr>
              <w:pStyle w:val="MdTableCell"/>
              <w:jc w:val="left"/>
            </w:pPr>
            <w:r>
              <w:t xml:space="preserve">Existe um processo formal e de fácil acesso para que um candidato possa solicitar a revisão de uma decisão automatizada?</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O canal para solicitação (e.g., e-mail, formulário) deve ser claramente divulgado.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A revisão solicitada é conduzida por um ser humano qualificado?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A pessoa revisora deve ter autoridade para reverter a decisão da IA.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O processo garante que a decisão final não é </w:t>
            </w:r>
            <w:r>
              <w:rPr>
                <w:rStyle w:val="MdStrong"/>
                <w:b/>
                <w:bCs/>
              </w:rPr>
              <w:t xml:space="preserve">unicamente</w:t>
            </w:r>
            <w:r>
              <w:t xml:space="preserve"> baseada na IA, incorporando um ponto de validação humana para casos de rejeição?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Esta é a principal salvaguarda para conformidade com o Art. 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3. Explicação</w:t>
            </w:r>
          </w:p>
        </w:tc>
        <w:tc>
          <w:tcPr>
            <w:tcMar>
              <w:top w:type="dxa" w:w="80"/>
              <w:left w:type="dxa" w:w="120"/>
              <w:bottom w:type="dxa" w:w="80"/>
              <w:right w:type="dxa" w:w="120"/>
            </w:tcMar>
            <w:vAlign w:val="center"/>
          </w:tcPr>
          <w:p>
            <w:pPr>
              <w:pStyle w:val="MdTableCell"/>
              <w:jc w:val="left"/>
            </w:pPr>
            <w:r>
              <w:t xml:space="preserve">A empresa está preparada para fornecer, mediante solicitação, informações claras sobre os critérios gerais utilizados pelo algoritmo?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Não é necessário expor o código-fonte, mas sim os fatores de decisão (ex: "A decisão foi baseada na análise de experiência prévia, qualificações e aderência aos requisitos da vaga").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A documentação interna do algoritmo, seus pesos e critérios está organizada e acessível para consulta em caso de auditoria da ANPD?</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Manter um registro de versão dos modelos e seus respectivos documentos técnicos.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4. Não Discriminação</w:t>
            </w:r>
          </w:p>
        </w:tc>
        <w:tc>
          <w:tcPr>
            <w:tcMar>
              <w:top w:type="dxa" w:w="80"/>
              <w:left w:type="dxa" w:w="120"/>
              <w:bottom w:type="dxa" w:w="80"/>
              <w:right w:type="dxa" w:w="120"/>
            </w:tcMar>
            <w:vAlign w:val="center"/>
          </w:tcPr>
          <w:p>
            <w:pPr>
              <w:pStyle w:val="MdTableCell"/>
              <w:jc w:val="left"/>
            </w:pPr>
            <w:r>
              <w:t xml:space="preserve">Foram realizadas auditorias no dataset de treinamento do modelo para identificar e mitigar vieses históricos (gênero, raça, idade, etc.)?</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Contratar especialistas externos pode ser necessário para uma auditoria imparcial.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O sistema é monitorado continuamente para detectar desvios ou performance discriminatória em produção (análise de disparidade de impacto)?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Acompanhar as taxas de aprovação/rejeição entre diferentes grupos demográficos.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t xml:space="preserve">O uso de dados sensíveis é estritamente evitado, a menos que haja uma base legal explícita e documentada para tal?</w:t>
            </w:r>
          </w:p>
        </w:tc>
        <w:tc>
          <w:tcPr>
            <w:tcBorders>
              <w:bottom w:val="single" w:color="E1E4E8" w:sz="4"/>
            </w:tcBorders>
            <w:tcMar>
              <w:top w:type="dxa" w:w="80"/>
              <w:left w:type="dxa" w:w="120"/>
              <w:bottom w:type="dxa" w:w="80"/>
              <w:right w:type="dxa" w:w="120"/>
            </w:tcMar>
            <w:vAlign w:val="center"/>
          </w:tcPr>
          <w:p>
            <w:pPr>
              <w:pStyle w:val="MdTableCell"/>
              <w:jc w:val="left"/>
            </w:pPr>
            <w:r>
              <w:t xml:space="preserve">Pendente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 regra geral é: na dúvida, não use dados sensíveis.</w:t>
            </w:r>
          </w:p>
        </w:tc>
      </w:tr>
    </w:tbl>
    <w:p>
      <w:pPr>
        <w:pStyle w:val="MdHr"/>
        <w:pBdr>
          <w:bottom w:val="single" w:color="auto" w:sz="6" w:space="1"/>
        </w:pBdr>
      </w:pPr>
    </w:p>
    <w:p>
      <w:pPr>
        <w:pStyle w:val="MdSpace"/>
        <w:spacing w:before="0" w:after="60"/>
      </w:pPr>
    </w:p>
    <w:p>
      <w:pPr>
        <w:pStyle w:val="Heading2"/>
        <w:pStyle w:val="MdHeading2"/>
      </w:pPr>
      <w:r>
        <w:t xml:space="preserve">Parte 4: Padrões de Integração com Applicant Tracking Systems (ATS)</w:t>
      </w:r>
    </w:p>
    <w:p>
      <w:pPr>
        <w:pStyle w:val="MdParagraph"/>
      </w:pPr>
      <w:r>
        <w:t xml:space="preserve">Um agente de IA de recrutamento não opera no vácuo. Ele precisa se conectar de forma eficiente e segura com o sistema central de registro do recrutamento: o Applicant Tracking System (ATS). A integração eficaz é crucial para a automação de ponta a ponta.</w:t>
      </w:r>
    </w:p>
    <w:p>
      <w:pPr>
        <w:pStyle w:val="MdSpace"/>
        <w:spacing w:before="0" w:after="60"/>
      </w:pPr>
    </w:p>
    <w:p>
      <w:pPr>
        <w:pStyle w:val="Heading3"/>
        <w:pStyle w:val="MdHeading3"/>
      </w:pPr>
      <w:r>
        <w:t xml:space="preserve">4.1. Modelos de Dados e Conceitos Fundamentais</w:t>
      </w:r>
    </w:p>
    <w:p>
      <w:pPr>
        <w:pStyle w:val="MdParagraph"/>
      </w:pPr>
      <w:r>
        <w:t xml:space="preserve">A maioria dos sistemas ATS compartilha um conjunto comum de objetos de dados, embora a nomenclatura possa variar. Uma integração robusta depende do mapeamento correto desses objetos [6]:</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Objeto ATS Comum</w:t>
            </w:r>
          </w:p>
        </w:tc>
        <w:tc>
          <w:tcPr>
            <w:tcBorders>
              <w:right w:val="none"/>
            </w:tcBorders>
            <w:tcMar>
              <w:top w:type="dxa" w:w="100"/>
              <w:left w:type="dxa" w:w="120"/>
              <w:bottom w:type="dxa" w:w="100"/>
              <w:right w:type="dxa" w:w="120"/>
            </w:tcMar>
            <w:vAlign w:val="center"/>
          </w:tcPr>
          <w:p>
            <w:pPr>
              <w:pStyle w:val="MdTableHeader"/>
              <w:jc w:val="left"/>
            </w:pPr>
            <w:r>
              <w:t xml:space="preserve">Descrição e Finalidade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Job Requisition / Vaga</w:t>
            </w:r>
          </w:p>
        </w:tc>
        <w:tc>
          <w:tcPr>
            <w:tcBorders>
              <w:right w:val="none"/>
            </w:tcBorders>
            <w:tcMar>
              <w:top w:type="dxa" w:w="80"/>
              <w:left w:type="dxa" w:w="120"/>
              <w:bottom w:type="dxa" w:w="80"/>
              <w:right w:type="dxa" w:w="120"/>
            </w:tcMar>
            <w:vAlign w:val="center"/>
          </w:tcPr>
          <w:p>
            <w:pPr>
              <w:pStyle w:val="MdTableCell"/>
              <w:jc w:val="left"/>
            </w:pPr>
            <w:r>
              <w:t xml:space="preserve">Contém todos os detalhes da posição: cargo, descrição, requisitos, gerente contratante, etc. É o objeto central que inicia o processo.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Candidate / Candidato</w:t>
            </w:r>
          </w:p>
        </w:tc>
        <w:tc>
          <w:tcPr>
            <w:tcBorders>
              <w:right w:val="none"/>
            </w:tcBorders>
            <w:tcMar>
              <w:top w:type="dxa" w:w="80"/>
              <w:left w:type="dxa" w:w="120"/>
              <w:bottom w:type="dxa" w:w="80"/>
              <w:right w:type="dxa" w:w="120"/>
            </w:tcMar>
            <w:vAlign w:val="center"/>
          </w:tcPr>
          <w:p>
            <w:pPr>
              <w:pStyle w:val="MdTableCell"/>
              <w:jc w:val="left"/>
            </w:pPr>
            <w:r>
              <w:t xml:space="preserve">Representa o indivíduo que se aplica, com seus dados pessoais, de contato e profissionais.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Application / Candidatura</w:t>
            </w:r>
          </w:p>
        </w:tc>
        <w:tc>
          <w:tcPr>
            <w:tcBorders>
              <w:right w:val="none"/>
            </w:tcBorders>
            <w:tcMar>
              <w:top w:type="dxa" w:w="80"/>
              <w:left w:type="dxa" w:w="120"/>
              <w:bottom w:type="dxa" w:w="80"/>
              <w:right w:type="dxa" w:w="120"/>
            </w:tcMar>
            <w:vAlign w:val="center"/>
          </w:tcPr>
          <w:p>
            <w:pPr>
              <w:pStyle w:val="MdTableCell"/>
              <w:jc w:val="left"/>
            </w:pPr>
            <w:r>
              <w:t xml:space="preserve">É o objeto que conecta um </w:t>
            </w:r>
            <w:r>
              <w:rPr>
                <w:rStyle w:val="MdStrong"/>
                <w:b/>
                <w:bCs/>
              </w:rPr>
              <w:t xml:space="preserve">Candidato</w:t>
            </w:r>
            <w:r>
              <w:t xml:space="preserve"> a uma </w:t>
            </w:r>
            <w:r>
              <w:rPr>
                <w:rStyle w:val="MdStrong"/>
                <w:b/>
                <w:bCs/>
              </w:rPr>
              <w:t xml:space="preserve">Vaga</w:t>
            </w:r>
            <w:r>
              <w:t xml:space="preserve"> específica. Ele rastreia o status do candidato dentro daquele processo seletivo.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Attachment / Anexo</w:t>
            </w:r>
          </w:p>
        </w:tc>
        <w:tc>
          <w:tcPr>
            <w:tcBorders>
              <w:right w:val="none"/>
            </w:tcBorders>
            <w:tcMar>
              <w:top w:type="dxa" w:w="80"/>
              <w:left w:type="dxa" w:w="120"/>
              <w:bottom w:type="dxa" w:w="80"/>
              <w:right w:type="dxa" w:w="120"/>
            </w:tcMar>
            <w:vAlign w:val="center"/>
          </w:tcPr>
          <w:p>
            <w:pPr>
              <w:pStyle w:val="MdTableCell"/>
              <w:jc w:val="left"/>
            </w:pPr>
            <w:r>
              <w:t xml:space="preserve">Arquivos associados a uma candidatura, como currículos, cartas de apresentação e portfólios.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Interview / Entrevista</w:t>
            </w:r>
          </w:p>
        </w:tc>
        <w:tc>
          <w:tcPr>
            <w:tcBorders>
              <w:right w:val="none"/>
            </w:tcBorders>
            <w:tcMar>
              <w:top w:type="dxa" w:w="80"/>
              <w:left w:type="dxa" w:w="120"/>
              <w:bottom w:type="dxa" w:w="80"/>
              <w:right w:type="dxa" w:w="120"/>
            </w:tcMar>
            <w:vAlign w:val="center"/>
          </w:tcPr>
          <w:p>
            <w:pPr>
              <w:pStyle w:val="MdTableCell"/>
              <w:jc w:val="left"/>
            </w:pPr>
            <w:r>
              <w:t xml:space="preserve">Armazena os detalhes de agendamento, os entrevistadores, o local (ou link) e, posteriormente, o feedback.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Offer / Oferta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Gerencia a fase final, incluindo detalhes salariais, data de início e status de aceitação.</w:t>
            </w:r>
          </w:p>
        </w:tc>
      </w:tr>
    </w:tbl>
    <w:p>
      <w:pPr>
        <w:pStyle w:val="Heading3"/>
        <w:pStyle w:val="MdHeading3"/>
      </w:pPr>
      <w:r>
        <w:t xml:space="preserve">4.2. Melhores Práticas para Integração com ATS</w:t>
      </w:r>
    </w:p>
    <w:p>
      <w:pPr>
        <w:pStyle w:val="MdParagraph"/>
      </w:pPr>
      <w:r>
        <w:t xml:space="preserve">Uma integração bem-sucedida vai além de simplesmente conectar APIs. Requer uma estratégia cuidadosa [6]:</w:t>
      </w:r>
    </w:p>
    <w:p>
      <w:pPr>
        <w:pStyle w:val="MdSpace"/>
        <w:spacing w:before="0" w:after="60"/>
      </w:pPr>
    </w:p>
    <w:p>
      <w:pPr>
        <w:pStyle w:val="MdListItem"/>
        <w:numPr>
          <w:ilvl w:val="0"/>
          <w:numId w:val="2"/>
        </w:numPr>
      </w:pPr>
      <w:r>
        <w:rPr>
          <w:rStyle w:val="MdStrong"/>
          <w:b/>
          <w:bCs/>
        </w:rPr>
        <w:t xml:space="preserve">Use uma API Unificada (Unified API):</w:t>
      </w:r>
      <w:r>
        <w:t xml:space="preserve"> Em vez de construir e manter uma integração separada para cada ATS do mercado (Greenhouse, Workday, Gupy, etc.), considere usar uma plataforma de API unificada. Essas plataformas abstraem as complexidades e as diferenças de cada ATS, fornecendo um único modelo de dados e um único conjunto de endpoints para o seu agente interagir.</w:t>
      </w:r>
    </w:p>
    <w:p>
      <w:pPr>
        <w:pStyle w:val="MdListItem"/>
        <w:numPr>
          <w:ilvl w:val="0"/>
          <w:numId w:val="2"/>
        </w:numPr>
      </w:pPr>
      <w:r>
        <w:rPr>
          <w:rStyle w:val="MdStrong"/>
          <w:b/>
          <w:bCs/>
        </w:rPr>
        <w:t xml:space="preserve">Padronize Seus Modelos de Dados:</w:t>
      </w:r>
      <w:r>
        <w:t xml:space="preserve"> Mesmo ao usar uma API unificada, defina um modelo de dados canônico dentro do seu próprio sistema. Isso garante consistência e facilita a lógica de negócios do seu agente.</w:t>
      </w:r>
    </w:p>
    <w:p>
      <w:pPr>
        <w:pStyle w:val="MdListItem"/>
        <w:numPr>
          <w:ilvl w:val="0"/>
          <w:numId w:val="2"/>
        </w:numPr>
      </w:pPr>
      <w:r>
        <w:rPr>
          <w:rStyle w:val="MdStrong"/>
          <w:b/>
          <w:bCs/>
        </w:rPr>
        <w:t xml:space="preserve">Garanta a Segurança e a Conformidade:</w:t>
      </w:r>
      <w:r>
        <w:t xml:space="preserve"> A integração moverá dados pessoais sensíveis. Use criptografia para dados em trânsito (TLS 1.2+) e em repouso. Implemente o princípio do menor privilégio para as chaves de API, garantindo que seu agente só tenha acesso aos escopos estritamente necessários para sua função.</w:t>
      </w:r>
    </w:p>
    <w:p>
      <w:pPr>
        <w:pStyle w:val="MdListItem"/>
        <w:numPr>
          <w:ilvl w:val="0"/>
          <w:numId w:val="2"/>
        </w:numPr>
      </w:pPr>
      <w:r>
        <w:rPr>
          <w:rStyle w:val="MdStrong"/>
          <w:b/>
          <w:bCs/>
        </w:rPr>
        <w:t xml:space="preserve">Monitore e Registre Tudo:</w:t>
      </w:r>
      <w:r>
        <w:t xml:space="preserve"> Implemente logging detalhado para todas as chamadas de API feitas ao ATS. Isso é vital para diagnosticar falhas de sincronização de dados e para auditorias de segurança.</w:t>
      </w:r>
    </w:p>
    <w:p>
      <w:pPr>
        <w:pStyle w:val="MdListItem"/>
        <w:numPr>
          <w:ilvl w:val="0"/>
          <w:numId w:val="2"/>
        </w:numPr>
      </w:pPr>
      <w:r>
        <w:rPr>
          <w:rStyle w:val="MdStrong"/>
          <w:b/>
          <w:bCs/>
        </w:rPr>
        <w:t xml:space="preserve">Gerenciamento de Rate Limiting:</w:t>
      </w:r>
      <w:r>
        <w:t xml:space="preserve"> As APIs de ATS têm limites de quantas chamadas podem ser feitas em um determinado período. Sua arquitetura deve ser capaz de lidar com esses limites, implementando filas e mecanismos de retry com backoff exponencial para evitar sobrecarregar a API do cliente.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Conclusão</w:t>
      </w:r>
    </w:p>
    <w:p>
      <w:pPr>
        <w:pStyle w:val="MdParagraph"/>
      </w:pPr>
      <w:r>
        <w:t xml:space="preserve">A construção de agentes de IA para recrutamento é uma jornada que equilibra inovação técnica com responsabilidade ética e legal. O sucesso não reside apenas na capacidade do agente de automatizar tarefas, mas em sua habilidade de fazê-lo de forma justa, transparente e alinhada aos valores humanos.</w:t>
      </w:r>
    </w:p>
    <w:p>
      <w:pPr>
        <w:pStyle w:val="MdSpace"/>
        <w:spacing w:before="0" w:after="60"/>
      </w:pPr>
    </w:p>
    <w:p>
      <w:pPr>
        <w:pStyle w:val="MdParagraph"/>
      </w:pPr>
      <w:r>
        <w:t xml:space="preserve">Ao adotar uma arquitetura modular e bem avaliada, um framework de governança robusto baseado em princípios como os do DOL, uma estrita conformidade com a LGPD (especialmente o direito à revisão humana) e uma estratégia de integração com ATS inteligente e segura, as empresas podem criar agentes de recrutamento que não apenas otimizam processos, mas que também fortalecem a marca empregadora e promovem um acesso mais equitativo a oportunidades.</w:t>
      </w:r>
    </w:p>
    <w:p>
      <w:pPr>
        <w:pStyle w:val="MdSpace"/>
        <w:spacing w:before="0" w:after="60"/>
      </w:pPr>
    </w:p>
    <w:p>
      <w:pPr>
        <w:pStyle w:val="MdParagraph"/>
      </w:pPr>
      <w:r>
        <w:t xml:space="preserve">O futuro do recrutamento será, sem dúvida, uma simbiose entre a inteligência humana e a artificial. Este guia serve como um mapa para garantir que essa parceria seja construída sobre fundações sólidas de excelência técnica e integridade.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Referências</w:t>
      </w:r>
    </w:p>
    <w:p>
      <w:pPr>
        <w:pStyle w:val="MdParagraph"/>
      </w:pPr>
      <w:r>
        <w:t xml:space="preserve">[1] OpenAI. (2024). </w:t>
      </w:r>
      <w:r>
        <w:rPr>
          <w:rStyle w:val="MdEm"/>
          <w:i/>
          <w:iCs/>
        </w:rPr>
        <w:t xml:space="preserve">A Practical Guide to Building Agents</w:t>
      </w:r>
      <w:r>
        <w:t xml:space="preserve">. Disponível em: </w:t>
      </w:r>
      <w:hyperlink w:history="1" r:id="rIdutgdjrizppyjdovamyayq">
        <w:r>
          <w:rPr>
            <w:rStyle w:val="MdLink"/>
          </w:rPr>
          <w:t xml:space="preserve">https://cdn.openai.com/business-guides-and-resources/a-practical-guide-to-building-agents.pdf</w:t>
        </w:r>
      </w:hyperlink>
    </w:p>
    <w:p>
      <w:pPr>
        <w:pStyle w:val="MdSpace"/>
        <w:spacing w:before="0" w:after="60"/>
      </w:pPr>
    </w:p>
    <w:p>
      <w:pPr>
        <w:pStyle w:val="MdParagraph"/>
      </w:pPr>
      <w:r>
        <w:t xml:space="preserve">[2] Anthropic. (2024). </w:t>
      </w:r>
      <w:r>
        <w:rPr>
          <w:rStyle w:val="MdEm"/>
          <w:i/>
          <w:iCs/>
        </w:rPr>
        <w:t xml:space="preserve">Building Effective Agents</w:t>
      </w:r>
      <w:r>
        <w:t xml:space="preserve">. Disponível em: </w:t>
      </w:r>
      <w:hyperlink w:history="1" r:id="rIddwgwknhwx4cg5cm3ubatq">
        <w:r>
          <w:rPr>
            <w:rStyle w:val="MdLink"/>
          </w:rPr>
          <w:t xml:space="preserve">https://www.anthropic.com/research/building-effective-agents</w:t>
        </w:r>
      </w:hyperlink>
    </w:p>
    <w:p>
      <w:pPr>
        <w:pStyle w:val="MdSpace"/>
        <w:spacing w:before="0" w:after="60"/>
      </w:pPr>
    </w:p>
    <w:p>
      <w:pPr>
        <w:pStyle w:val="MdParagraph"/>
      </w:pPr>
      <w:r>
        <w:t xml:space="preserve">[3] Confident AI. (2025). </w:t>
      </w:r>
      <w:r>
        <w:rPr>
          <w:rStyle w:val="MdEm"/>
          <w:i/>
          <w:iCs/>
        </w:rPr>
        <w:t xml:space="preserve">The Definitive Guide to AI Agent Evaluation</w:t>
      </w:r>
      <w:r>
        <w:t xml:space="preserve">. Disponível em: </w:t>
      </w:r>
      <w:hyperlink w:history="1" r:id="rIdirtkk_hyt4znm1vn9k9it">
        <w:r>
          <w:rPr>
            <w:rStyle w:val="MdLink"/>
          </w:rPr>
          <w:t xml:space="preserve">https://www.confident-ai.com/blog/definitive-ai-agent-evaluation-guide</w:t>
        </w:r>
      </w:hyperlink>
    </w:p>
    <w:p>
      <w:pPr>
        <w:pStyle w:val="MdSpace"/>
        <w:spacing w:before="0" w:after="60"/>
      </w:pPr>
    </w:p>
    <w:p>
      <w:pPr>
        <w:pStyle w:val="MdParagraph"/>
      </w:pPr>
      <w:r>
        <w:t xml:space="preserve">[4] U.S. Department of Labor. (2024). </w:t>
      </w:r>
      <w:r>
        <w:rPr>
          <w:rStyle w:val="MdEm"/>
          <w:i/>
          <w:iCs/>
        </w:rPr>
        <w:t xml:space="preserve">AI &amp; Inclusive Hiring Framework</w:t>
      </w:r>
      <w:r>
        <w:t xml:space="preserve">. Disponível em: </w:t>
      </w:r>
      <w:hyperlink w:history="1" r:id="rIdv_3zje43jpblgsvrga3nl">
        <w:r>
          <w:rPr>
            <w:rStyle w:val="MdLink"/>
          </w:rPr>
          <w:t xml:space="preserve">https://www.dol.gov/agencies/odep/initiatives/peat/AI-and-disability-employment</w:t>
        </w:r>
      </w:hyperlink>
    </w:p>
    <w:p>
      <w:pPr>
        <w:pStyle w:val="MdSpace"/>
        <w:spacing w:before="0" w:after="60"/>
      </w:pPr>
    </w:p>
    <w:p>
      <w:pPr>
        <w:pStyle w:val="MdParagraph"/>
      </w:pPr>
      <w:r>
        <w:t xml:space="preserve">[5] Casarotto Sociedade de Advogados. (2022). </w:t>
      </w:r>
      <w:r>
        <w:rPr>
          <w:rStyle w:val="MdEm"/>
          <w:i/>
          <w:iCs/>
        </w:rPr>
        <w:t xml:space="preserve">Recrutamento e Seleção por algoritmo e a LGPD</w:t>
      </w:r>
      <w:r>
        <w:t xml:space="preserve">. Disponível em: </w:t>
      </w:r>
      <w:hyperlink w:history="1" r:id="rIdpm0wmj7sundu3krwdu92q">
        <w:r>
          <w:rPr>
            <w:rStyle w:val="MdLink"/>
          </w:rPr>
          <w:t xml:space="preserve">https://www.casarotto.adv.br/post/recrutamento-e-sele%C3%A7%C3%A3o-por-algoritmo-e-a-lgpd</w:t>
        </w:r>
      </w:hyperlink>
    </w:p>
    <w:p>
      <w:pPr>
        <w:pStyle w:val="MdSpace"/>
        <w:spacing w:before="0" w:after="60"/>
      </w:pPr>
    </w:p>
    <w:p>
      <w:pPr>
        <w:pStyle w:val="MdParagraph"/>
      </w:pPr>
      <w:r>
        <w:t xml:space="preserve">[6] Knit. (2025). </w:t>
      </w:r>
      <w:r>
        <w:rPr>
          <w:rStyle w:val="MdEm"/>
          <w:i/>
          <w:iCs/>
        </w:rPr>
        <w:t xml:space="preserve">ATS Integration: An In-Depth Guide With Key Concepts And Best Practices</w:t>
      </w:r>
      <w:r>
        <w:t xml:space="preserve">. Disponível em: </w:t>
      </w:r>
      <w:hyperlink w:history="1" r:id="rIdqb-8wvhymmvf4xxpv26ft">
        <w:r>
          <w:rPr>
            <w:rStyle w:val="MdLink"/>
          </w:rPr>
          <w:t xml:space="preserve">https://www.getknit.dev/blog/ats-integration-guide</w:t>
        </w:r>
      </w:hyperlink>
    </w:p>
    <w:p>
      <w:pPr>
        <w:pStyle w:val="MdSpace"/>
        <w:spacing w:before="0" w:after="60"/>
      </w:pPr>
    </w:p>
    <w:p>
      <w:pPr>
        <w:pStyle w:val="MdParagraph"/>
      </w:pPr>
      <w:r>
        <w:t xml:space="preserve">[7] SmartRecruiters. (2025). </w:t>
      </w:r>
      <w:r>
        <w:rPr>
          <w:rStyle w:val="MdEm"/>
          <w:i/>
          <w:iCs/>
        </w:rPr>
        <w:t xml:space="preserve">How to Calculate Recruitment ROI in the Age of AI</w:t>
      </w:r>
      <w:r>
        <w:t xml:space="preserve">. Disponível em: </w:t>
      </w:r>
      <w:hyperlink w:history="1" r:id="rIdfvzkl055dx8_xzoo1k3uh">
        <w:r>
          <w:rPr>
            <w:rStyle w:val="MdLink"/>
          </w:rPr>
          <w:t xml:space="preserve">https://www.smartrecruiters.com/resources/article/how-to-calculate-recruitment-roi/</w:t>
        </w:r>
      </w:hyperlink>
    </w:p>
    <w:p>
      <w:pPr>
        <w:pStyle w:val="MdSpace"/>
        <w:spacing w:before="0" w:after="60"/>
      </w:pPr>
    </w:p>
    <w:p>
      <w:pPr>
        <w:pStyle w:val="MdParagraph"/>
      </w:pPr>
      <w:r>
        <w:t xml:space="preserve">Para auxiliar na implementação prática dos requisitos da LGPD referentes a decisões automatizadas, este checklist pode ser usado como um guia de verificação.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Categoria</w:t>
            </w:r>
          </w:p>
        </w:tc>
        <w:tc>
          <w:tcPr>
            <w:tcMar>
              <w:top w:type="dxa" w:w="100"/>
              <w:left w:type="dxa" w:w="120"/>
              <w:bottom w:type="dxa" w:w="100"/>
              <w:right w:type="dxa" w:w="120"/>
            </w:tcMar>
            <w:vAlign w:val="center"/>
          </w:tcPr>
          <w:p>
            <w:pPr>
              <w:pStyle w:val="MdTableHeader"/>
              <w:jc w:val="left"/>
            </w:pPr>
            <w:r>
              <w:t xml:space="preserve">Item de Verificação</w:t>
            </w:r>
          </w:p>
        </w:tc>
        <w:tc>
          <w:tcPr>
            <w:tcMar>
              <w:top w:type="dxa" w:w="100"/>
              <w:left w:type="dxa" w:w="120"/>
              <w:bottom w:type="dxa" w:w="100"/>
              <w:right w:type="dxa" w:w="120"/>
            </w:tcMar>
            <w:vAlign w:val="center"/>
          </w:tcPr>
          <w:p>
            <w:pPr>
              <w:pStyle w:val="MdTableHeader"/>
              <w:jc w:val="left"/>
            </w:pPr>
            <w:r>
              <w:t xml:space="preserve">Status (Pendente/Em Andamento/Concluído)</w:t>
            </w:r>
          </w:p>
        </w:tc>
        <w:tc>
          <w:tcPr>
            <w:tcBorders>
              <w:right w:val="none"/>
            </w:tcBorders>
            <w:tcMar>
              <w:top w:type="dxa" w:w="100"/>
              <w:left w:type="dxa" w:w="120"/>
              <w:bottom w:type="dxa" w:w="100"/>
              <w:right w:type="dxa" w:w="120"/>
            </w:tcMar>
            <w:vAlign w:val="center"/>
          </w:tcPr>
          <w:p>
            <w:pPr>
              <w:pStyle w:val="MdTableHeader"/>
              <w:jc w:val="left"/>
            </w:pPr>
            <w:r>
              <w:t xml:space="preserve">Observações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1. Transparência</w:t>
            </w:r>
          </w:p>
        </w:tc>
        <w:tc>
          <w:tcPr>
            <w:tcMar>
              <w:top w:type="dxa" w:w="80"/>
              <w:left w:type="dxa" w:w="120"/>
              <w:bottom w:type="dxa" w:w="80"/>
              <w:right w:type="dxa" w:w="120"/>
            </w:tcMar>
            <w:vAlign w:val="center"/>
          </w:tcPr>
          <w:p>
            <w:pPr>
              <w:pStyle w:val="MdTableCell"/>
              <w:jc w:val="left"/>
            </w:pPr>
            <w:r>
              <w:t xml:space="preserve">Os candidatos são informados de forma clara e inequívoca, no início do processo, que uma IA será usada para análise e tomada de decisão?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O aviso deve estar presente na página de candidatura e nos termos de privacidade.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A política de privacidade explica quais dados são coletados, para qual finalidade e como o sistema de IA funciona em termos gerais?</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Evitar jargão técnico. Focar no impacto para o candidato.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2. Direito à Revisão</w:t>
            </w:r>
          </w:p>
        </w:tc>
        <w:tc>
          <w:tcPr>
            <w:tcMar>
              <w:top w:type="dxa" w:w="80"/>
              <w:left w:type="dxa" w:w="120"/>
              <w:bottom w:type="dxa" w:w="80"/>
              <w:right w:type="dxa" w:w="120"/>
            </w:tcMar>
            <w:vAlign w:val="center"/>
          </w:tcPr>
          <w:p>
            <w:pPr>
              <w:pStyle w:val="MdTableCell"/>
              <w:jc w:val="left"/>
            </w:pPr>
            <w:r>
              <w:t xml:space="preserve">Existe um processo formal e de fácil acesso para que um candidato possa solicitar a revisão de uma decisão automatizada?</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O canal para solicitação (e.g., e-mail, formulário) deve ser claramente divulgado.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A revisão solicitada é conduzida por um ser humano qualificado?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A pessoa revisora deve ter autoridade para reverter a decisão da IA.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O processo garante que a decisão final não é </w:t>
            </w:r>
            <w:r>
              <w:rPr>
                <w:rStyle w:val="MdStrong"/>
                <w:b/>
                <w:bCs/>
              </w:rPr>
              <w:t xml:space="preserve">unicamente</w:t>
            </w:r>
            <w:r>
              <w:t xml:space="preserve"> baseada na IA, incorporando um ponto de validação humana para casos de rejeição?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Esta é a principal salvaguarda para conformidade com o Art. 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3. Explicação</w:t>
            </w:r>
          </w:p>
        </w:tc>
        <w:tc>
          <w:tcPr>
            <w:tcMar>
              <w:top w:type="dxa" w:w="80"/>
              <w:left w:type="dxa" w:w="120"/>
              <w:bottom w:type="dxa" w:w="80"/>
              <w:right w:type="dxa" w:w="120"/>
            </w:tcMar>
            <w:vAlign w:val="center"/>
          </w:tcPr>
          <w:p>
            <w:pPr>
              <w:pStyle w:val="MdTableCell"/>
              <w:jc w:val="left"/>
            </w:pPr>
            <w:r>
              <w:t xml:space="preserve">A empresa está preparada para fornecer, mediante solicitação, informações claras sobre os critérios gerais utilizados pelo algoritmo?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Não é necessário expor o código-fonte, mas sim os fatores de decisão (ex: "A decisão foi baseada na análise de experiência prévia, qualificações e aderência aos requisitos da vaga").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A documentação interna do algoritmo, seus pesos e critérios está organizada e acessível para consulta em caso de auditoria da ANPD?</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Manter um registro de versão dos modelos e seus respectivos documentos técnicos.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4. Não Discriminação</w:t>
            </w:r>
          </w:p>
        </w:tc>
        <w:tc>
          <w:tcPr>
            <w:tcMar>
              <w:top w:type="dxa" w:w="80"/>
              <w:left w:type="dxa" w:w="120"/>
              <w:bottom w:type="dxa" w:w="80"/>
              <w:right w:type="dxa" w:w="120"/>
            </w:tcMar>
            <w:vAlign w:val="center"/>
          </w:tcPr>
          <w:p>
            <w:pPr>
              <w:pStyle w:val="MdTableCell"/>
              <w:jc w:val="left"/>
            </w:pPr>
            <w:r>
              <w:t xml:space="preserve">Foram realizadas auditorias no dataset de treinamento do modelo para identificar e mitigar vieses históricos (gênero, raça, idade, etc.)?</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Contratar especialistas externos pode ser necessário para uma auditoria imparcial.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p>
        </w:tc>
        <w:tc>
          <w:tcPr>
            <w:tcMar>
              <w:top w:type="dxa" w:w="80"/>
              <w:left w:type="dxa" w:w="120"/>
              <w:bottom w:type="dxa" w:w="80"/>
              <w:right w:type="dxa" w:w="120"/>
            </w:tcMar>
            <w:vAlign w:val="center"/>
          </w:tcPr>
          <w:p>
            <w:pPr>
              <w:pStyle w:val="MdTableCell"/>
              <w:jc w:val="left"/>
            </w:pPr>
            <w:r>
              <w:t xml:space="preserve">O sistema é monitorado continuamente para detectar desvios ou performance discriminatória em produção (análise de disparidade de impacto)?</w:t>
            </w:r>
          </w:p>
        </w:tc>
        <w:tc>
          <w:tcPr>
            <w:tcMar>
              <w:top w:type="dxa" w:w="80"/>
              <w:left w:type="dxa" w:w="120"/>
              <w:bottom w:type="dxa" w:w="80"/>
              <w:right w:type="dxa" w:w="120"/>
            </w:tcMar>
            <w:vAlign w:val="center"/>
          </w:tcPr>
          <w:p>
            <w:pPr>
              <w:pStyle w:val="MdTableCell"/>
              <w:jc w:val="left"/>
            </w:pPr>
            <w:r>
              <w:t xml:space="preserve">Pendente</w:t>
            </w:r>
          </w:p>
        </w:tc>
        <w:tc>
          <w:tcPr>
            <w:tcBorders>
              <w:right w:val="none"/>
            </w:tcBorders>
            <w:tcMar>
              <w:top w:type="dxa" w:w="80"/>
              <w:left w:type="dxa" w:w="120"/>
              <w:bottom w:type="dxa" w:w="80"/>
              <w:right w:type="dxa" w:w="120"/>
            </w:tcMar>
            <w:vAlign w:val="center"/>
          </w:tcPr>
          <w:p>
            <w:pPr>
              <w:pStyle w:val="MdTableCell"/>
              <w:jc w:val="left"/>
            </w:pPr>
            <w:r>
              <w:t xml:space="preserve">Acompanhar as taxas de aprovação/rejeição entre diferentes grupos demográficos.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tcBorders>
            <w:tcMar>
              <w:top w:type="dxa" w:w="80"/>
              <w:left w:type="dxa" w:w="120"/>
              <w:bottom w:type="dxa" w:w="80"/>
              <w:right w:type="dxa" w:w="120"/>
            </w:tcMar>
            <w:vAlign w:val="center"/>
          </w:tcPr>
          <w:p>
            <w:pPr>
              <w:pStyle w:val="MdTableCell"/>
              <w:jc w:val="left"/>
            </w:pPr>
            <w:r>
              <w:t xml:space="preserve">O uso de dados sensíveis é estritamente evitado, a menos que haja uma base legal explícita e documentada para tal?</w:t>
            </w:r>
          </w:p>
        </w:tc>
        <w:tc>
          <w:tcPr>
            <w:tcBorders>
              <w:bottom w:val="single" w:color="E1E4E8" w:sz="4"/>
            </w:tcBorders>
            <w:tcMar>
              <w:top w:type="dxa" w:w="80"/>
              <w:left w:type="dxa" w:w="120"/>
              <w:bottom w:type="dxa" w:w="80"/>
              <w:right w:type="dxa" w:w="120"/>
            </w:tcMar>
            <w:vAlign w:val="center"/>
          </w:tcPr>
          <w:p>
            <w:pPr>
              <w:pStyle w:val="MdTableCell"/>
              <w:jc w:val="left"/>
            </w:pPr>
            <w:r>
              <w:t xml:space="preserve">Pendente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 regra geral é: na dúvida, não use dados sensíveis.</w:t>
            </w:r>
          </w:p>
        </w:tc>
      </w:tr>
    </w:tbl>
    <w:p>
      <w:pPr>
        <w:pStyle w:val="MdHr"/>
        <w:pBdr>
          <w:bottom w:val="single" w:color="auto" w:sz="6" w:space="1"/>
        </w:pBdr>
      </w:pPr>
    </w:p>
    <w:p>
      <w:pPr>
        <w:pStyle w:val="MdSpace"/>
        <w:spacing w:before="0" w:after="60"/>
      </w:pPr>
    </w:p>
    <w:p>
      <w:pPr>
        <w:pStyle w:val="Heading2"/>
        <w:pStyle w:val="MdHeading2"/>
      </w:pPr>
      <w:r>
        <w:t xml:space="preserve">Parte 5: Custos e Eficiência Operacional</w:t>
      </w:r>
    </w:p>
    <w:p>
      <w:pPr>
        <w:pStyle w:val="MdParagraph"/>
      </w:pPr>
      <w:r>
        <w:t xml:space="preserve">A adoção de agentes de IA no recrutamento não é apenas uma decisão técnica, mas também um investimento financeiro. Compreender e calcular o Retorno sobre o Investimento (ROI) é fundamental para justificar a implementação e medir o sucesso da iniciativa. O cálculo do ROI de uma tecnologia de IA é mais complexo do que a simples substituição de um software por outro, pois envolve ganhos de eficiência e receita que precisam ser quantificados.</w:t>
      </w:r>
    </w:p>
    <w:p>
      <w:pPr>
        <w:pStyle w:val="MdSpace"/>
        <w:spacing w:before="0" w:after="60"/>
      </w:pPr>
    </w:p>
    <w:p>
      <w:pPr>
        <w:pStyle w:val="Heading3"/>
        <w:pStyle w:val="MdHeading3"/>
      </w:pPr>
      <w:r>
        <w:t xml:space="preserve">5.1. Componentes do Cálculo de ROI em IA para Recrutamento</w:t>
      </w:r>
    </w:p>
    <w:p>
      <w:pPr>
        <w:pStyle w:val="MdParagraph"/>
      </w:pPr>
      <w:r>
        <w:t xml:space="preserve">De acordo com a SmartRecruiters, uma plataforma líder em aquisição de talentos, o ROI de uma solução de IA deve ser analisado a partir de três pilares principais [7]:</w:t>
      </w:r>
    </w:p>
    <w:p>
      <w:pPr>
        <w:pStyle w:val="MdSpace"/>
        <w:spacing w:before="0" w:after="60"/>
      </w:pPr>
    </w:p>
    <w:p>
      <w:pPr>
        <w:pStyle w:val="Heading4"/>
        <w:pStyle w:val="MdHeading4"/>
      </w:pPr>
      <w:r>
        <w:t xml:space="preserve">1. Custos de Tecnologia (Total Cost of Ownership - TCO)</w:t>
      </w:r>
    </w:p>
    <w:p>
      <w:pPr>
        <w:pStyle w:val="MdParagraph"/>
      </w:pPr>
      <w:r>
        <w:t xml:space="preserve">Esta é a parte mais direta do cálculo e inclui todos os custos associados à aquisição e manutenção da tecnologia.</w:t>
      </w:r>
    </w:p>
    <w:p>
      <w:pPr>
        <w:pStyle w:val="MdSpace"/>
        <w:spacing w:before="0" w:after="60"/>
      </w:pPr>
    </w:p>
    <w:p>
      <w:pPr>
        <w:pStyle w:val="MdListItem"/>
        <w:numPr>
          <w:ilvl w:val="0"/>
          <w:numId w:val="2"/>
        </w:numPr>
      </w:pPr>
      <w:r>
        <w:rPr>
          <w:rStyle w:val="MdStrong"/>
          <w:b/>
          <w:bCs/>
        </w:rPr>
        <w:t xml:space="preserve">Taxas de Licenciamento de Software:</w:t>
      </w:r>
      <w:r>
        <w:t xml:space="preserve"> Custos de assinatura da plataforma de IA, que podem ser baseados no número de usuários (recrutadores), no volume de candidatos ou no headcount da empresa.</w:t>
      </w:r>
    </w:p>
    <w:p>
      <w:pPr>
        <w:pStyle w:val="MdListItem"/>
        <w:numPr>
          <w:ilvl w:val="0"/>
          <w:numId w:val="2"/>
        </w:numPr>
      </w:pPr>
      <w:r>
        <w:rPr>
          <w:rStyle w:val="MdStrong"/>
          <w:b/>
          <w:bCs/>
        </w:rPr>
        <w:t xml:space="preserve">Custos de Inferência do Modelo:</w:t>
      </w:r>
      <w:r>
        <w:t xml:space="preserve"> Se você estiver construindo seu próprio agente, este é o custo direto de uso das APIs dos LLMs (pago por token de entrada e saída).</w:t>
      </w:r>
    </w:p>
    <w:p>
      <w:pPr>
        <w:pStyle w:val="MdListItem"/>
        <w:numPr>
          <w:ilvl w:val="0"/>
          <w:numId w:val="2"/>
        </w:numPr>
      </w:pPr>
      <w:r>
        <w:rPr>
          <w:rStyle w:val="MdStrong"/>
          <w:b/>
          <w:bCs/>
        </w:rPr>
        <w:t xml:space="preserve">Custos de Desenvolvimento e Manutenção:</w:t>
      </w:r>
      <w:r>
        <w:t xml:space="preserve"> Salários da equipe de engenharia e produto dedicada ao desenvolvimento e à manutenção contínua do agente.</w:t>
      </w:r>
    </w:p>
    <w:p>
      <w:pPr>
        <w:pStyle w:val="MdListItem"/>
        <w:numPr>
          <w:ilvl w:val="0"/>
          <w:numId w:val="2"/>
        </w:numPr>
      </w:pPr>
      <w:r>
        <w:rPr>
          <w:rStyle w:val="MdStrong"/>
          <w:b/>
          <w:bCs/>
        </w:rPr>
        <w:t xml:space="preserve">Custos de Infraestrutura:</w:t>
      </w:r>
      <w:r>
        <w:t xml:space="preserve"> Custos de hospedagem, bancos de dados e outros serviços em nuvem necessários para operar o agente.</w:t>
      </w:r>
    </w:p>
    <w:p>
      <w:pPr>
        <w:pStyle w:val="MdListItem"/>
        <w:numPr>
          <w:ilvl w:val="0"/>
          <w:numId w:val="2"/>
        </w:numPr>
      </w:pPr>
      <w:r>
        <w:rPr>
          <w:rStyle w:val="MdStrong"/>
          <w:b/>
          <w:bCs/>
        </w:rPr>
        <w:t xml:space="preserve">Custos de Integração:</w:t>
      </w:r>
      <w:r>
        <w:t xml:space="preserve"> Custo para integrar o agente com o ATS e outros sistemas de RH.</w:t>
      </w:r>
    </w:p>
    <w:p>
      <w:pPr>
        <w:pStyle w:val="MdSpace"/>
        <w:spacing w:before="0" w:after="60"/>
      </w:pPr>
    </w:p>
    <w:p>
      <w:pPr>
        <w:pStyle w:val="Heading4"/>
        <w:pStyle w:val="MdHeading4"/>
      </w:pPr>
      <w:r>
        <w:t xml:space="preserve">2. Ganhos de Eficiência</w:t>
      </w:r>
    </w:p>
    <w:p>
      <w:pPr>
        <w:pStyle w:val="MdParagraph"/>
      </w:pPr>
      <w:r>
        <w:t xml:space="preserve">Este pilar quantifica o valor do tempo e dos recursos economizados pela automação. É aqui que o impacto da IA se torna mais tangível.</w:t>
      </w:r>
    </w:p>
    <w:p>
      <w:pPr>
        <w:pStyle w:val="MdSpace"/>
        <w:spacing w:before="0" w:after="60"/>
      </w:pPr>
    </w:p>
    <w:p>
      <w:pPr>
        <w:pStyle w:val="MdListItem"/>
        <w:numPr>
          <w:ilvl w:val="0"/>
          <w:numId w:val="2"/>
        </w:numPr>
      </w:pPr>
      <w:r>
        <w:rPr>
          <w:rStyle w:val="MdStrong"/>
          <w:b/>
          <w:bCs/>
        </w:rPr>
        <w:t xml:space="preserve">Eficiência do Recrutador:</w:t>
      </w:r>
      <w:r>
        <w:t xml:space="preserve"> Redução do tempo gasto em tarefas manuais e repetitivas (triagem de currículos, agendamento, comunicação inicial). Esse tempo economizado pode ser reinvestido em atividades de maior valor, como o relacionamento com candidatos estratégicos e a consultoria para os gestores das vagas.</w:t>
      </w:r>
    </w:p>
    <w:p>
      <w:pPr>
        <w:pStyle w:val="MdListItem"/>
        <w:numPr>
          <w:ilvl w:val="1"/>
          <w:numId w:val="2"/>
        </w:numPr>
      </w:pPr>
      <w:r>
        <w:rPr>
          <w:rStyle w:val="MdEm"/>
          <w:i/>
          <w:iCs/>
        </w:rPr>
        <w:t xml:space="preserve">Métrica:</w:t>
      </w:r>
      <w:r>
        <w:t xml:space="preserve"> Aumento do número de requisições gerenciadas por recrutador; redução do tempo gasto por contratação.</w:t>
      </w:r>
    </w:p>
    <w:p>
      <w:pPr>
        <w:pStyle w:val="MdListItem"/>
        <w:numPr>
          <w:ilvl w:val="0"/>
          <w:numId w:val="2"/>
        </w:numPr>
      </w:pPr>
      <w:r>
        <w:rPr>
          <w:rStyle w:val="MdStrong"/>
          <w:b/>
          <w:bCs/>
        </w:rPr>
        <w:t xml:space="preserve">Eficiência do Gestor da Vaga e Entrevistadores:</w:t>
      </w:r>
      <w:r>
        <w:t xml:space="preserve"> Menos tempo gasto em tarefas administrativas, como coordenar agendas e revisar perfis desalinhados, liberando-os para focar em suas atividades principais.</w:t>
      </w:r>
    </w:p>
    <w:p>
      <w:pPr>
        <w:pStyle w:val="MdListItem"/>
        <w:numPr>
          <w:ilvl w:val="0"/>
          <w:numId w:val="2"/>
        </w:numPr>
      </w:pPr>
      <w:r>
        <w:rPr>
          <w:rStyle w:val="MdStrong"/>
          <w:b/>
          <w:bCs/>
        </w:rPr>
        <w:t xml:space="preserve">Otimização de Gastos com Anúncios:</w:t>
      </w:r>
      <w:r>
        <w:t xml:space="preserve"> A IA pode analisar a performance de diferentes canais de sourcing em tempo real, permitindo a realocação de orçamento para os canais mais eficazes.</w:t>
      </w:r>
    </w:p>
    <w:p>
      <w:pPr>
        <w:pStyle w:val="MdListItem"/>
        <w:numPr>
          <w:ilvl w:val="1"/>
          <w:numId w:val="2"/>
        </w:numPr>
      </w:pPr>
      <w:r>
        <w:rPr>
          <w:rStyle w:val="MdEm"/>
          <w:i/>
          <w:iCs/>
        </w:rPr>
        <w:t xml:space="preserve">Métrica:</w:t>
      </w:r>
      <w:r>
        <w:t xml:space="preserve"> Redução do custo por candidato qualificado; aumento da taxa de conversão de anúncios.</w:t>
      </w:r>
    </w:p>
    <w:p>
      <w:pPr>
        <w:pStyle w:val="MdListItem"/>
        <w:numPr>
          <w:ilvl w:val="0"/>
          <w:numId w:val="2"/>
        </w:numPr>
      </w:pPr>
      <w:r>
        <w:rPr>
          <w:rStyle w:val="MdStrong"/>
          <w:b/>
          <w:bCs/>
        </w:rPr>
        <w:t xml:space="preserve">Redução de Gastos com Agências:</w:t>
      </w:r>
      <w:r>
        <w:t xml:space="preserve"> Com uma capacidade de sourcing e triagem mais poderosa, a dependência de agências de recrutamento externas pode diminuir significativamente.</w:t>
      </w:r>
    </w:p>
    <w:p>
      <w:pPr>
        <w:pStyle w:val="MdSpace"/>
        <w:spacing w:before="0" w:after="60"/>
      </w:pPr>
    </w:p>
    <w:p>
      <w:pPr>
        <w:pStyle w:val="Heading4"/>
        <w:pStyle w:val="MdHeading4"/>
      </w:pPr>
      <w:r>
        <w:t xml:space="preserve">3. Ganhos de Receita</w:t>
      </w:r>
    </w:p>
    <w:p>
      <w:pPr>
        <w:pStyle w:val="MdParagraph"/>
      </w:pPr>
      <w:r>
        <w:t xml:space="preserve">Este é o componente mais estratégico do ROI e conecta diretamente a eficiência do recrutamento ao resultado financeiro da empresa.</w:t>
      </w:r>
    </w:p>
    <w:p>
      <w:pPr>
        <w:pStyle w:val="MdSpace"/>
        <w:spacing w:before="0" w:after="60"/>
      </w:pPr>
    </w:p>
    <w:p>
      <w:pPr>
        <w:pStyle w:val="MdListItem"/>
        <w:numPr>
          <w:ilvl w:val="0"/>
          <w:numId w:val="2"/>
        </w:numPr>
      </w:pPr>
      <w:r>
        <w:rPr>
          <w:rStyle w:val="MdStrong"/>
          <w:b/>
          <w:bCs/>
        </w:rPr>
        <w:t xml:space="preserve">Redução do Tempo para Contratar (Time-to-Hire):</w:t>
      </w:r>
      <w:r>
        <w:t xml:space="preserve"> Cada dia que uma posição geradora de receita permanece vaga representa uma perda de receita direta. A IA acelera o processo, preenchendo vagas mais rapidamente.</w:t>
      </w:r>
    </w:p>
    <w:p>
      <w:pPr>
        <w:pStyle w:val="MdListItem"/>
        <w:numPr>
          <w:ilvl w:val="1"/>
          <w:numId w:val="2"/>
        </w:numPr>
      </w:pPr>
      <w:r>
        <w:rPr>
          <w:rStyle w:val="MdEm"/>
          <w:i/>
          <w:iCs/>
        </w:rPr>
        <w:t xml:space="preserve">Cálculo de Impacto:</w:t>
      </w:r>
      <w:r>
        <w:t xml:space="preserve"> </w:t>
      </w:r>
      <w:r>
        <w:rPr>
          <w:rStyle w:val="MdCode"/>
          <w:u w:val="single"/>
        </w:rPr>
        <w:t xml:space="preserve">(Receita Anual por Funcionário / 365) * (Dias de Redução no Time-to-Hire) * (Número de Contratações Anuais)</w:t>
      </w:r>
    </w:p>
    <w:p>
      <w:pPr>
        <w:pStyle w:val="MdListItem"/>
        <w:numPr>
          <w:ilvl w:val="1"/>
          <w:numId w:val="2"/>
        </w:numPr>
      </w:pPr>
      <w:r>
        <w:rPr>
          <w:rStyle w:val="MdEm"/>
          <w:i/>
          <w:iCs/>
        </w:rPr>
        <w:t xml:space="preserve">Exemplo Prático:</w:t>
      </w:r>
      <w:r>
        <w:t xml:space="preserve"> Uma empresa com receita de $150.000 por funcionário/ano que reduz o tempo de contratação em 11 dias para 1.000 contratações anuais pode gerar um ganho de receita de mais de </w:t>
      </w:r>
      <w:r>
        <w:rPr>
          <w:rStyle w:val="MdStrong"/>
          <w:b/>
          <w:bCs/>
        </w:rPr>
        <w:t xml:space="preserve">$4,2 milhões</w:t>
      </w:r>
      <w:r>
        <w:t xml:space="preserve"> [7].</w:t>
      </w:r>
    </w:p>
    <w:p>
      <w:pPr>
        <w:pStyle w:val="MdListItem"/>
        <w:numPr>
          <w:ilvl w:val="0"/>
          <w:numId w:val="2"/>
        </w:numPr>
      </w:pPr>
      <w:r>
        <w:rPr>
          <w:rStyle w:val="MdStrong"/>
          <w:b/>
          <w:bCs/>
        </w:rPr>
        <w:t xml:space="preserve">Melhora na Qualidade da Contratação (Quality of Hire):</w:t>
      </w:r>
      <w:r>
        <w:t xml:space="preserve"> Embora mais difícil de medir, a IA pode melhorar a qualidade das contratações ao realizar uma análise mais ampla e baseada em dados, levando a funcionários com melhor performance, maior retenção e maior impacto no negócio a longo prazo.</w:t>
      </w:r>
    </w:p>
    <w:p>
      <w:pPr>
        <w:pStyle w:val="MdListItem"/>
        <w:numPr>
          <w:ilvl w:val="1"/>
          <w:numId w:val="2"/>
        </w:numPr>
      </w:pPr>
      <w:r>
        <w:rPr>
          <w:rStyle w:val="MdEm"/>
          <w:i/>
          <w:iCs/>
        </w:rPr>
        <w:t xml:space="preserve">Métricas (proxy):</w:t>
      </w:r>
      <w:r>
        <w:t xml:space="preserve"> Taxa de retenção de novos contratados no primeiro ano; avaliação de desempenho no primeiro ciclo; feedback dos gestores.</w:t>
      </w:r>
    </w:p>
    <w:p>
      <w:pPr>
        <w:pStyle w:val="MdSpace"/>
        <w:spacing w:before="0" w:after="60"/>
      </w:pPr>
    </w:p>
    <w:p>
      <w:pPr>
        <w:pStyle w:val="Heading3"/>
        <w:pStyle w:val="MdHeading3"/>
      </w:pPr>
      <w:r>
        <w:t xml:space="preserve">5.2. Modelo de Precificação e Análise de Custo-Benefício</w:t>
      </w:r>
    </w:p>
    <w:p>
      <w:pPr>
        <w:pStyle w:val="MdParagraph"/>
      </w:pPr>
      <w:r>
        <w:t xml:space="preserve">Ao avaliar soluções de IA, é importante entender os diferentes modelos de precificação:</w:t>
      </w:r>
    </w:p>
    <w:p>
      <w:pPr>
        <w:pStyle w:val="MdSpace"/>
        <w:spacing w:before="0" w:after="60"/>
      </w:pPr>
    </w:p>
    <w:p>
      <w:pPr>
        <w:pStyle w:val="MdListItem"/>
        <w:numPr>
          <w:ilvl w:val="0"/>
          <w:numId w:val="2"/>
        </w:numPr>
      </w:pPr>
      <w:r>
        <w:rPr>
          <w:rStyle w:val="MdStrong"/>
          <w:b/>
          <w:bCs/>
        </w:rPr>
        <w:t xml:space="preserve">Por Assento (Per Seat):</w:t>
      </w:r>
      <w:r>
        <w:t xml:space="preserve"> Comum em plataformas SaaS, onde o custo é por recrutador/usuário.</w:t>
      </w:r>
    </w:p>
    <w:p>
      <w:pPr>
        <w:pStyle w:val="MdListItem"/>
        <w:numPr>
          <w:ilvl w:val="0"/>
          <w:numId w:val="2"/>
        </w:numPr>
      </w:pPr>
      <w:r>
        <w:rPr>
          <w:rStyle w:val="MdStrong"/>
          <w:b/>
          <w:bCs/>
        </w:rPr>
        <w:t xml:space="preserve">Por Volume:</w:t>
      </w:r>
      <w:r>
        <w:t xml:space="preserve"> Custo baseado no número de vagas abertas ou candidatos processados.</w:t>
      </w:r>
    </w:p>
    <w:p>
      <w:pPr>
        <w:pStyle w:val="MdListItem"/>
        <w:numPr>
          <w:ilvl w:val="0"/>
          <w:numId w:val="2"/>
        </w:numPr>
      </w:pPr>
      <w:r>
        <w:rPr>
          <w:rStyle w:val="MdStrong"/>
          <w:b/>
          <w:bCs/>
        </w:rPr>
        <w:t xml:space="preserve">Baseado em Consumo (Pay-as-you-go):</w:t>
      </w:r>
      <w:r>
        <w:t xml:space="preserve"> Custo direto pelo uso da API (por token), mais comum em soluções construídas internamente.</w:t>
      </w:r>
    </w:p>
    <w:p>
      <w:pPr>
        <w:pStyle w:val="MdSpace"/>
        <w:spacing w:before="0" w:after="60"/>
      </w:pPr>
    </w:p>
    <w:p>
      <w:pPr>
        <w:pStyle w:val="MdParagraph"/>
      </w:pPr>
      <w:r>
        <w:t xml:space="preserve">A análise de custo-benefício deve comparar o TCO (Custo Total de Propriedade) com os ganhos de eficiência e receita projetados. Um agente de IA não deve ser visto como um custo, mas como um motor de produtividade e crescimento de receita. O ROI positivo é alcançado quando os ganhos quantificados superam significativamente os custos de implementação e manutenção.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tgdjrizppyjdovamyayq" Type="http://schemas.openxmlformats.org/officeDocument/2006/relationships/hyperlink" Target="https://cdn.openai.com/business-guides-and-resources/a-practical-guide-to-building-agents.pdf" TargetMode="External"/><Relationship Id="rIddwgwknhwx4cg5cm3ubatq" Type="http://schemas.openxmlformats.org/officeDocument/2006/relationships/hyperlink" Target="https://www.anthropic.com/research/building-effective-agents" TargetMode="External"/><Relationship Id="rIdirtkk_hyt4znm1vn9k9it" Type="http://schemas.openxmlformats.org/officeDocument/2006/relationships/hyperlink" Target="https://www.confident-ai.com/blog/definitive-ai-agent-evaluation-guide" TargetMode="External"/><Relationship Id="rIdv_3zje43jpblgsvrga3nl" Type="http://schemas.openxmlformats.org/officeDocument/2006/relationships/hyperlink" Target="https://www.dol.gov/agencies/odep/initiatives/peat/AI-and-disability-employment" TargetMode="External"/><Relationship Id="rIdpm0wmj7sundu3krwdu92q" Type="http://schemas.openxmlformats.org/officeDocument/2006/relationships/hyperlink" Target="https://www.casarotto.adv.br/post/recrutamento-e-sele%C3%A7%C3%A3o-por-algoritmo-e-a-lgpd" TargetMode="External"/><Relationship Id="rIdqb-8wvhymmvf4xxpv26ft" Type="http://schemas.openxmlformats.org/officeDocument/2006/relationships/hyperlink" Target="https://www.getknit.dev/blog/ats-integration-guide" TargetMode="External"/><Relationship Id="rIdfvzkl055dx8_xzoo1k3uh" Type="http://schemas.openxmlformats.org/officeDocument/2006/relationships/hyperlink" Target="https://www.smartrecruiters.com/resources/article/how-to-calculate-recruitment-roi/"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2025-12-02T11:56:31.499Z</dcterms:created>
  <dcterms:modified xsi:type="dcterms:W3CDTF">2025-12-02T11:56:31.499Z</dcterms:modified>
</cp:coreProperties>
</file>

<file path=docProps/custom.xml><?xml version="1.0" encoding="utf-8"?>
<Properties xmlns="http://schemas.openxmlformats.org/officeDocument/2006/custom-properties" xmlns:vt="http://schemas.openxmlformats.org/officeDocument/2006/docPropsVTypes"/>
</file>