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5F93E">
      <w:pPr>
        <w:rPr>
          <w:rFonts w:hint="default"/>
          <w:lang w:val="en-US"/>
        </w:rPr>
      </w:pPr>
      <w:r>
        <w:rPr>
          <w:rFonts w:hint="default"/>
          <w:lang w:val="en-US"/>
        </w:rPr>
        <w:t xml:space="preserve">Explore worlds progression </w:t>
      </w:r>
    </w:p>
    <w:p w14:paraId="474E3989">
      <w:pPr>
        <w:rPr>
          <w:rFonts w:hint="default"/>
          <w:lang w:val="en-US"/>
        </w:rPr>
      </w:pPr>
    </w:p>
    <w:p w14:paraId="6E2D6192">
      <w:pPr>
        <w:rPr>
          <w:rFonts w:hint="default"/>
          <w:lang w:val="en-US"/>
        </w:rPr>
      </w:pPr>
      <w:r>
        <w:rPr>
          <w:rFonts w:hint="default"/>
          <w:lang w:val="en-US"/>
        </w:rPr>
        <w:t>Starter World - Everyday Life</w:t>
      </w:r>
    </w:p>
    <w:p w14:paraId="4B09F459">
      <w:pPr>
        <w:rPr>
          <w:rFonts w:hint="default"/>
          <w:lang w:val="en-US"/>
        </w:rPr>
      </w:pPr>
      <w:r>
        <w:rPr>
          <w:rFonts w:hint="default"/>
          <w:lang w:val="en-US"/>
        </w:rPr>
        <w:t>Topics</w:t>
      </w:r>
    </w:p>
    <w:p w14:paraId="73B20CE6">
      <w:pPr>
        <w:rPr>
          <w:rFonts w:hint="default"/>
          <w:lang w:val="en-US"/>
        </w:rPr>
      </w:pPr>
      <w:r>
        <w:rPr>
          <w:rFonts w:hint="default"/>
          <w:lang w:val="en-US"/>
        </w:rPr>
        <w:t>- Review</w:t>
      </w:r>
    </w:p>
    <w:p w14:paraId="4A12CE07">
      <w:pPr>
        <w:rPr>
          <w:rFonts w:hint="default"/>
          <w:lang w:val="en-US"/>
        </w:rPr>
      </w:pPr>
      <w:r>
        <w:rPr>
          <w:rFonts w:hint="default"/>
          <w:lang w:val="en-US"/>
        </w:rPr>
        <w:t>- morning routine</w:t>
      </w:r>
    </w:p>
    <w:p w14:paraId="764F918F">
      <w:pPr>
        <w:rPr>
          <w:rFonts w:hint="default"/>
          <w:lang w:val="en-US"/>
        </w:rPr>
      </w:pPr>
      <w:r>
        <w:rPr>
          <w:rFonts w:hint="default"/>
          <w:lang w:val="en-US"/>
        </w:rPr>
        <w:t>- breakfast foods</w:t>
      </w:r>
    </w:p>
    <w:p w14:paraId="65221096">
      <w:pPr>
        <w:rPr>
          <w:rFonts w:hint="default"/>
          <w:lang w:val="en-US"/>
        </w:rPr>
      </w:pPr>
      <w:r>
        <w:rPr>
          <w:rFonts w:hint="default"/>
          <w:lang w:val="en-US"/>
        </w:rPr>
        <w:t>- family</w:t>
      </w:r>
    </w:p>
    <w:p w14:paraId="055C675E">
      <w:pPr>
        <w:rPr>
          <w:rFonts w:hint="default"/>
          <w:lang w:val="en-US"/>
        </w:rPr>
      </w:pPr>
      <w:r>
        <w:rPr>
          <w:rFonts w:hint="default"/>
          <w:lang w:val="en-US"/>
        </w:rPr>
        <w:t>- clothes</w:t>
      </w:r>
    </w:p>
    <w:p w14:paraId="3075444C">
      <w:pPr>
        <w:rPr>
          <w:rFonts w:hint="default"/>
          <w:lang w:val="en-US"/>
        </w:rPr>
      </w:pPr>
      <w:r>
        <w:rPr>
          <w:rFonts w:hint="default"/>
          <w:lang w:val="en-US"/>
        </w:rPr>
        <w:t>- Household</w:t>
      </w:r>
    </w:p>
    <w:p w14:paraId="4E65D14B">
      <w:pPr>
        <w:rPr>
          <w:rFonts w:hint="default"/>
          <w:lang w:val="en-US"/>
        </w:rPr>
      </w:pPr>
      <w:r>
        <w:rPr>
          <w:rFonts w:hint="default"/>
          <w:lang w:val="en-US"/>
        </w:rPr>
        <w:t>- Time: Days of the week, months of year</w:t>
      </w:r>
    </w:p>
    <w:p w14:paraId="62CAC95D">
      <w:pPr>
        <w:rPr>
          <w:rFonts w:hint="default"/>
          <w:lang w:val="en-US"/>
        </w:rPr>
      </w:pPr>
      <w:r>
        <w:rPr>
          <w:rFonts w:hint="default"/>
          <w:lang w:val="en-US"/>
        </w:rPr>
        <w:t xml:space="preserve">- Numbers, Letters, </w:t>
      </w:r>
    </w:p>
    <w:p w14:paraId="22A56A50">
      <w:pPr>
        <w:rPr>
          <w:rFonts w:hint="default"/>
          <w:lang w:val="en-US"/>
        </w:rPr>
      </w:pPr>
      <w:r>
        <w:rPr>
          <w:rFonts w:hint="default"/>
          <w:lang w:val="en-US"/>
        </w:rPr>
        <w:t xml:space="preserve">- Sight words: the, a, an, one, two, to, I, am, is, are, there, here, these, this, that, those, then, than, can, </w:t>
      </w:r>
    </w:p>
    <w:p w14:paraId="07CFC8CC">
      <w:pPr>
        <w:rPr>
          <w:rFonts w:hint="default"/>
          <w:lang w:val="en-US"/>
        </w:rPr>
      </w:pPr>
      <w:r>
        <w:rPr>
          <w:rFonts w:hint="default"/>
          <w:lang w:val="en-US"/>
        </w:rPr>
        <w:t xml:space="preserve">- Simple actions: run, swim, eat, drink, play, read, listen, talk, clean, do, have, to be, </w:t>
      </w:r>
    </w:p>
    <w:p w14:paraId="6B64AAAC">
      <w:pPr>
        <w:rPr>
          <w:rFonts w:hint="default"/>
          <w:lang w:val="en-US"/>
        </w:rPr>
      </w:pPr>
      <w:r>
        <w:rPr>
          <w:rFonts w:hint="default"/>
          <w:lang w:val="en-US"/>
        </w:rPr>
        <w:t xml:space="preserve">- Simple grammar: simple present, comparisons, pronouns, prepositions, present continuous, present perfect, </w:t>
      </w:r>
    </w:p>
    <w:p w14:paraId="15544DDF">
      <w:pPr>
        <w:rPr>
          <w:rFonts w:hint="default"/>
          <w:lang w:val="en-US"/>
        </w:rPr>
      </w:pPr>
    </w:p>
    <w:p w14:paraId="5D6FF225">
      <w:pPr>
        <w:rPr>
          <w:rFonts w:hint="default"/>
          <w:lang w:val="en-US"/>
        </w:rPr>
      </w:pPr>
    </w:p>
    <w:p w14:paraId="3666CC90">
      <w:pPr>
        <w:rPr>
          <w:rFonts w:hint="default"/>
          <w:lang w:val="en-US"/>
        </w:rPr>
      </w:pPr>
    </w:p>
    <w:tbl>
      <w:tblPr>
        <w:tblStyle w:val="4"/>
        <w:tblW w:w="93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36"/>
        <w:gridCol w:w="1975"/>
        <w:gridCol w:w="1647"/>
        <w:gridCol w:w="2531"/>
        <w:gridCol w:w="2529"/>
      </w:tblGrid>
      <w:tr w14:paraId="03377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04" w:hRule="atLeast"/>
        </w:trPr>
        <w:tc>
          <w:tcPr>
            <w:tcW w:w="619" w:type="dxa"/>
          </w:tcPr>
          <w:p w14:paraId="6BA84A1A">
            <w:pPr>
              <w:rPr>
                <w:rFonts w:hint="default"/>
                <w:vertAlign w:val="baseline"/>
                <w:lang w:val="en-US"/>
              </w:rPr>
            </w:pPr>
            <w:r>
              <w:rPr>
                <w:rFonts w:hint="default"/>
                <w:vertAlign w:val="baseline"/>
                <w:lang w:val="en-US"/>
              </w:rPr>
              <w:t>Level</w:t>
            </w:r>
          </w:p>
        </w:tc>
        <w:tc>
          <w:tcPr>
            <w:tcW w:w="1975" w:type="dxa"/>
          </w:tcPr>
          <w:p w14:paraId="36AE528D">
            <w:pPr>
              <w:rPr>
                <w:rFonts w:hint="default"/>
                <w:vertAlign w:val="baseline"/>
                <w:lang w:val="en-US"/>
              </w:rPr>
            </w:pPr>
            <w:r>
              <w:rPr>
                <w:rFonts w:hint="default"/>
                <w:vertAlign w:val="baseline"/>
                <w:lang w:val="en-US"/>
              </w:rPr>
              <w:t>Premise</w:t>
            </w:r>
          </w:p>
        </w:tc>
        <w:tc>
          <w:tcPr>
            <w:tcW w:w="1650" w:type="dxa"/>
          </w:tcPr>
          <w:p w14:paraId="2A3D1757">
            <w:pPr>
              <w:rPr>
                <w:rFonts w:hint="default"/>
                <w:vertAlign w:val="baseline"/>
                <w:lang w:val="en-US"/>
              </w:rPr>
            </w:pPr>
            <w:r>
              <w:rPr>
                <w:rFonts w:hint="default"/>
                <w:vertAlign w:val="baseline"/>
                <w:lang w:val="en-US"/>
              </w:rPr>
              <w:t>Learning Goal</w:t>
            </w:r>
          </w:p>
        </w:tc>
        <w:tc>
          <w:tcPr>
            <w:tcW w:w="2537" w:type="dxa"/>
          </w:tcPr>
          <w:p w14:paraId="6941A5AC">
            <w:pPr>
              <w:rPr>
                <w:rFonts w:hint="default"/>
                <w:vertAlign w:val="baseline"/>
                <w:lang w:val="en-US"/>
              </w:rPr>
            </w:pPr>
            <w:r>
              <w:rPr>
                <w:rFonts w:hint="default"/>
                <w:vertAlign w:val="baseline"/>
                <w:lang w:val="en-US"/>
              </w:rPr>
              <w:t>Mechanics</w:t>
            </w:r>
          </w:p>
        </w:tc>
        <w:tc>
          <w:tcPr>
            <w:tcW w:w="2537" w:type="dxa"/>
          </w:tcPr>
          <w:p w14:paraId="73DACDE9">
            <w:pPr>
              <w:rPr>
                <w:rFonts w:hint="default"/>
                <w:vertAlign w:val="baseline"/>
                <w:lang w:val="en-US"/>
              </w:rPr>
            </w:pPr>
            <w:r>
              <w:rPr>
                <w:rFonts w:hint="default"/>
                <w:vertAlign w:val="baseline"/>
                <w:lang w:val="en-US"/>
              </w:rPr>
              <w:t>Beats</w:t>
            </w:r>
          </w:p>
        </w:tc>
      </w:tr>
      <w:tr w14:paraId="232E0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732" w:hRule="atLeast"/>
        </w:trPr>
        <w:tc>
          <w:tcPr>
            <w:tcW w:w="619" w:type="dxa"/>
          </w:tcPr>
          <w:p w14:paraId="1DCCB52D">
            <w:pPr>
              <w:rPr>
                <w:rFonts w:hint="default"/>
                <w:vertAlign w:val="baseline"/>
                <w:lang w:val="en-US"/>
              </w:rPr>
            </w:pPr>
            <w:r>
              <w:rPr>
                <w:rFonts w:hint="default"/>
                <w:vertAlign w:val="baseline"/>
                <w:lang w:val="en-US"/>
              </w:rPr>
              <w:t>1.01</w:t>
            </w:r>
          </w:p>
        </w:tc>
        <w:tc>
          <w:tcPr>
            <w:tcW w:w="1975" w:type="dxa"/>
          </w:tcPr>
          <w:p w14:paraId="71657A56">
            <w:pPr>
              <w:rPr>
                <w:rFonts w:hint="default"/>
                <w:vertAlign w:val="baseline"/>
                <w:lang w:val="en-US"/>
              </w:rPr>
            </w:pPr>
            <w:r>
              <w:rPr>
                <w:rFonts w:hint="default"/>
                <w:vertAlign w:val="baseline"/>
                <w:lang w:val="en-US"/>
              </w:rPr>
              <w:t xml:space="preserve">Wake up! It’s 6:00 and we have to go to school today. We have lots of things to do. </w:t>
            </w:r>
          </w:p>
        </w:tc>
        <w:tc>
          <w:tcPr>
            <w:tcW w:w="1650" w:type="dxa"/>
          </w:tcPr>
          <w:p w14:paraId="39251A8F">
            <w:pPr>
              <w:rPr>
                <w:rFonts w:hint="default"/>
                <w:vertAlign w:val="baseline"/>
                <w:lang w:val="en-US"/>
              </w:rPr>
            </w:pPr>
            <w:r>
              <w:rPr>
                <w:rFonts w:hint="default"/>
                <w:vertAlign w:val="baseline"/>
                <w:lang w:val="en-US"/>
              </w:rPr>
              <w:t>Students can read the clock</w:t>
            </w:r>
          </w:p>
          <w:p w14:paraId="21F1225B">
            <w:pPr>
              <w:rPr>
                <w:rFonts w:hint="default"/>
                <w:vertAlign w:val="baseline"/>
                <w:lang w:val="en-US"/>
              </w:rPr>
            </w:pPr>
            <w:r>
              <w:rPr>
                <w:rFonts w:hint="default"/>
                <w:vertAlign w:val="baseline"/>
                <w:lang w:val="en-US"/>
              </w:rPr>
              <w:t>Students can match digital times with the clock faces</w:t>
            </w:r>
          </w:p>
        </w:tc>
        <w:tc>
          <w:tcPr>
            <w:tcW w:w="2537" w:type="dxa"/>
          </w:tcPr>
          <w:p w14:paraId="19986E57">
            <w:pPr>
              <w:rPr>
                <w:rFonts w:hint="default"/>
                <w:vertAlign w:val="baseline"/>
                <w:lang w:val="en-US"/>
              </w:rPr>
            </w:pPr>
            <w:r>
              <w:rPr>
                <w:rFonts w:hint="default"/>
                <w:vertAlign w:val="baseline"/>
                <w:lang w:val="en-US"/>
              </w:rPr>
              <w:t xml:space="preserve">Student wakes up. First they match times to the clock faces. Then they arrange their morning activities in the time slots. </w:t>
            </w:r>
          </w:p>
        </w:tc>
        <w:tc>
          <w:tcPr>
            <w:tcW w:w="2537" w:type="dxa"/>
          </w:tcPr>
          <w:p w14:paraId="27543191">
            <w:pPr>
              <w:rPr>
                <w:rFonts w:hint="default"/>
                <w:vertAlign w:val="baseline"/>
                <w:lang w:val="en-US"/>
              </w:rPr>
            </w:pPr>
            <w:r>
              <w:rPr>
                <w:rFonts w:hint="default"/>
                <w:vertAlign w:val="baseline"/>
                <w:lang w:val="en-US"/>
              </w:rPr>
              <w:t xml:space="preserve">Mom wakes you up. Guides you through the clock activity. </w:t>
            </w:r>
            <w:bookmarkStart w:id="0" w:name="_GoBack"/>
            <w:bookmarkEnd w:id="0"/>
          </w:p>
        </w:tc>
      </w:tr>
      <w:tr w14:paraId="2046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085" w:hRule="atLeast"/>
        </w:trPr>
        <w:tc>
          <w:tcPr>
            <w:tcW w:w="619" w:type="dxa"/>
          </w:tcPr>
          <w:p w14:paraId="1F7DC0C7">
            <w:pPr>
              <w:rPr>
                <w:rFonts w:hint="default"/>
                <w:vertAlign w:val="baseline"/>
                <w:lang w:val="en-US"/>
              </w:rPr>
            </w:pPr>
            <w:r>
              <w:rPr>
                <w:rFonts w:hint="default"/>
                <w:vertAlign w:val="baseline"/>
                <w:lang w:val="en-US"/>
              </w:rPr>
              <w:t>1.02</w:t>
            </w:r>
          </w:p>
        </w:tc>
        <w:tc>
          <w:tcPr>
            <w:tcW w:w="1975" w:type="dxa"/>
          </w:tcPr>
          <w:p w14:paraId="6969DC7C">
            <w:pPr>
              <w:rPr>
                <w:rFonts w:hint="default"/>
                <w:vertAlign w:val="baseline"/>
                <w:lang w:val="en-US"/>
              </w:rPr>
            </w:pPr>
            <w:r>
              <w:rPr>
                <w:rFonts w:hint="default"/>
                <w:vertAlign w:val="baseline"/>
                <w:lang w:val="en-US"/>
              </w:rPr>
              <w:t>Make the bed. And tidy the room.</w:t>
            </w:r>
          </w:p>
        </w:tc>
        <w:tc>
          <w:tcPr>
            <w:tcW w:w="1650" w:type="dxa"/>
          </w:tcPr>
          <w:p w14:paraId="0142D28C">
            <w:pPr>
              <w:rPr>
                <w:rFonts w:hint="default"/>
                <w:vertAlign w:val="baseline"/>
                <w:lang w:val="en-US"/>
              </w:rPr>
            </w:pPr>
            <w:r>
              <w:rPr>
                <w:rFonts w:hint="default"/>
                <w:vertAlign w:val="baseline"/>
                <w:lang w:val="en-US"/>
              </w:rPr>
              <w:t>Students can recognize the vocabulary for pillow, blanket, bed, dirty clothes, toys, cups</w:t>
            </w:r>
          </w:p>
        </w:tc>
        <w:tc>
          <w:tcPr>
            <w:tcW w:w="2537" w:type="dxa"/>
          </w:tcPr>
          <w:p w14:paraId="7E9D06B8">
            <w:pPr>
              <w:rPr>
                <w:rFonts w:hint="default"/>
                <w:vertAlign w:val="baseline"/>
                <w:lang w:val="en-US"/>
              </w:rPr>
            </w:pPr>
            <w:r>
              <w:rPr>
                <w:rFonts w:hint="default"/>
                <w:vertAlign w:val="baseline"/>
                <w:lang w:val="en-US"/>
              </w:rPr>
              <w:t>Students first collect the bed items, then they spread the blanket out on the bed but going to four corners of the bed. Then the put the pillows on the top.</w:t>
            </w:r>
          </w:p>
          <w:p w14:paraId="710B8661">
            <w:pPr>
              <w:rPr>
                <w:rFonts w:hint="default"/>
                <w:vertAlign w:val="baseline"/>
                <w:lang w:val="en-US"/>
              </w:rPr>
            </w:pPr>
          </w:p>
        </w:tc>
        <w:tc>
          <w:tcPr>
            <w:tcW w:w="2537" w:type="dxa"/>
          </w:tcPr>
          <w:p w14:paraId="3FB80A3A">
            <w:pPr>
              <w:rPr>
                <w:rFonts w:hint="default"/>
                <w:vertAlign w:val="baseline"/>
                <w:lang w:val="en-US"/>
              </w:rPr>
            </w:pPr>
            <w:r>
              <w:rPr>
                <w:rFonts w:hint="default"/>
                <w:vertAlign w:val="baseline"/>
                <w:lang w:val="en-US"/>
              </w:rPr>
              <w:t>Beat: Mom tells the student what to do to make the bed.</w:t>
            </w:r>
          </w:p>
          <w:p w14:paraId="0A028E6C">
            <w:pPr>
              <w:rPr>
                <w:rFonts w:hint="default"/>
                <w:vertAlign w:val="baseline"/>
                <w:lang w:val="en-US"/>
              </w:rPr>
            </w:pPr>
          </w:p>
          <w:p w14:paraId="29030584">
            <w:pPr>
              <w:rPr>
                <w:rFonts w:hint="default"/>
                <w:vertAlign w:val="baseline"/>
                <w:lang w:val="en-US"/>
              </w:rPr>
            </w:pPr>
            <w:r>
              <w:rPr>
                <w:rFonts w:hint="default"/>
                <w:vertAlign w:val="baseline"/>
                <w:lang w:val="en-US"/>
              </w:rPr>
              <w:t>Beat 2: Mom tells the student to clean up their toys and dirty clothes</w:t>
            </w:r>
          </w:p>
        </w:tc>
      </w:tr>
      <w:tr w14:paraId="1C91C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04" w:hRule="atLeast"/>
        </w:trPr>
        <w:tc>
          <w:tcPr>
            <w:tcW w:w="619" w:type="dxa"/>
          </w:tcPr>
          <w:p w14:paraId="6BC6008A">
            <w:pPr>
              <w:rPr>
                <w:rFonts w:hint="default"/>
                <w:vertAlign w:val="baseline"/>
                <w:lang w:val="en-US"/>
              </w:rPr>
            </w:pPr>
            <w:r>
              <w:rPr>
                <w:rFonts w:hint="default"/>
                <w:vertAlign w:val="baseline"/>
                <w:lang w:val="en-US"/>
              </w:rPr>
              <w:t>1.03</w:t>
            </w:r>
          </w:p>
        </w:tc>
        <w:tc>
          <w:tcPr>
            <w:tcW w:w="1975" w:type="dxa"/>
          </w:tcPr>
          <w:p w14:paraId="7BC30DD4">
            <w:pPr>
              <w:rPr>
                <w:rFonts w:hint="default"/>
                <w:vertAlign w:val="baseline"/>
                <w:lang w:val="en-US"/>
              </w:rPr>
            </w:pPr>
          </w:p>
        </w:tc>
        <w:tc>
          <w:tcPr>
            <w:tcW w:w="1650" w:type="dxa"/>
          </w:tcPr>
          <w:p w14:paraId="709C3A1D">
            <w:pPr>
              <w:rPr>
                <w:rFonts w:hint="default"/>
                <w:vertAlign w:val="baseline"/>
                <w:lang w:val="en-US"/>
              </w:rPr>
            </w:pPr>
          </w:p>
        </w:tc>
        <w:tc>
          <w:tcPr>
            <w:tcW w:w="2537" w:type="dxa"/>
          </w:tcPr>
          <w:p w14:paraId="2F8F0547">
            <w:pPr>
              <w:rPr>
                <w:rFonts w:hint="default"/>
                <w:vertAlign w:val="baseline"/>
                <w:lang w:val="en-US"/>
              </w:rPr>
            </w:pPr>
          </w:p>
        </w:tc>
        <w:tc>
          <w:tcPr>
            <w:tcW w:w="2537" w:type="dxa"/>
          </w:tcPr>
          <w:p w14:paraId="6C295802">
            <w:pPr>
              <w:rPr>
                <w:rFonts w:hint="default"/>
                <w:vertAlign w:val="baseline"/>
                <w:lang w:val="en-US"/>
              </w:rPr>
            </w:pPr>
          </w:p>
        </w:tc>
      </w:tr>
      <w:tr w14:paraId="147DA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04" w:hRule="atLeast"/>
        </w:trPr>
        <w:tc>
          <w:tcPr>
            <w:tcW w:w="619" w:type="dxa"/>
          </w:tcPr>
          <w:p w14:paraId="76159692">
            <w:pPr>
              <w:rPr>
                <w:rFonts w:hint="default"/>
                <w:vertAlign w:val="baseline"/>
                <w:lang w:val="en-US"/>
              </w:rPr>
            </w:pPr>
            <w:r>
              <w:rPr>
                <w:rFonts w:hint="default"/>
                <w:vertAlign w:val="baseline"/>
                <w:lang w:val="en-US"/>
              </w:rPr>
              <w:t>1.04</w:t>
            </w:r>
          </w:p>
        </w:tc>
        <w:tc>
          <w:tcPr>
            <w:tcW w:w="1975" w:type="dxa"/>
          </w:tcPr>
          <w:p w14:paraId="5B88DCD9">
            <w:pPr>
              <w:rPr>
                <w:rFonts w:hint="default"/>
                <w:vertAlign w:val="baseline"/>
                <w:lang w:val="en-US"/>
              </w:rPr>
            </w:pPr>
          </w:p>
        </w:tc>
        <w:tc>
          <w:tcPr>
            <w:tcW w:w="1650" w:type="dxa"/>
          </w:tcPr>
          <w:p w14:paraId="36DEB91A">
            <w:pPr>
              <w:rPr>
                <w:rFonts w:hint="default"/>
                <w:vertAlign w:val="baseline"/>
                <w:lang w:val="en-US"/>
              </w:rPr>
            </w:pPr>
          </w:p>
        </w:tc>
        <w:tc>
          <w:tcPr>
            <w:tcW w:w="2537" w:type="dxa"/>
          </w:tcPr>
          <w:p w14:paraId="395D81AC">
            <w:pPr>
              <w:rPr>
                <w:rFonts w:hint="default"/>
                <w:vertAlign w:val="baseline"/>
                <w:lang w:val="en-US"/>
              </w:rPr>
            </w:pPr>
          </w:p>
        </w:tc>
        <w:tc>
          <w:tcPr>
            <w:tcW w:w="2537" w:type="dxa"/>
          </w:tcPr>
          <w:p w14:paraId="3DA74B34">
            <w:pPr>
              <w:rPr>
                <w:rFonts w:hint="default"/>
                <w:vertAlign w:val="baseline"/>
                <w:lang w:val="en-US"/>
              </w:rPr>
            </w:pPr>
          </w:p>
        </w:tc>
      </w:tr>
      <w:tr w14:paraId="1889B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04" w:hRule="atLeast"/>
        </w:trPr>
        <w:tc>
          <w:tcPr>
            <w:tcW w:w="619" w:type="dxa"/>
          </w:tcPr>
          <w:p w14:paraId="69E69882">
            <w:pPr>
              <w:rPr>
                <w:rFonts w:hint="default"/>
                <w:vertAlign w:val="baseline"/>
                <w:lang w:val="en-US"/>
              </w:rPr>
            </w:pPr>
            <w:r>
              <w:rPr>
                <w:rFonts w:hint="default"/>
                <w:vertAlign w:val="baseline"/>
                <w:lang w:val="en-US"/>
              </w:rPr>
              <w:t>1.05</w:t>
            </w:r>
          </w:p>
        </w:tc>
        <w:tc>
          <w:tcPr>
            <w:tcW w:w="1975" w:type="dxa"/>
          </w:tcPr>
          <w:p w14:paraId="17819580">
            <w:pPr>
              <w:rPr>
                <w:rFonts w:hint="default"/>
                <w:vertAlign w:val="baseline"/>
                <w:lang w:val="en-US"/>
              </w:rPr>
            </w:pPr>
          </w:p>
        </w:tc>
        <w:tc>
          <w:tcPr>
            <w:tcW w:w="1650" w:type="dxa"/>
          </w:tcPr>
          <w:p w14:paraId="38408406">
            <w:pPr>
              <w:rPr>
                <w:rFonts w:hint="default"/>
                <w:vertAlign w:val="baseline"/>
                <w:lang w:val="en-US"/>
              </w:rPr>
            </w:pPr>
          </w:p>
        </w:tc>
        <w:tc>
          <w:tcPr>
            <w:tcW w:w="2537" w:type="dxa"/>
          </w:tcPr>
          <w:p w14:paraId="163D0CC1">
            <w:pPr>
              <w:rPr>
                <w:rFonts w:hint="default"/>
                <w:vertAlign w:val="baseline"/>
                <w:lang w:val="en-US"/>
              </w:rPr>
            </w:pPr>
          </w:p>
        </w:tc>
        <w:tc>
          <w:tcPr>
            <w:tcW w:w="2537" w:type="dxa"/>
          </w:tcPr>
          <w:p w14:paraId="5A82EF13">
            <w:pPr>
              <w:rPr>
                <w:rFonts w:hint="default"/>
                <w:vertAlign w:val="baseline"/>
                <w:lang w:val="en-US"/>
              </w:rPr>
            </w:pPr>
          </w:p>
        </w:tc>
      </w:tr>
      <w:tr w14:paraId="0B33E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04" w:hRule="atLeast"/>
        </w:trPr>
        <w:tc>
          <w:tcPr>
            <w:tcW w:w="619" w:type="dxa"/>
          </w:tcPr>
          <w:p w14:paraId="7C56EB40">
            <w:pPr>
              <w:rPr>
                <w:rFonts w:hint="default"/>
                <w:vertAlign w:val="baseline"/>
                <w:lang w:val="en-US"/>
              </w:rPr>
            </w:pPr>
            <w:r>
              <w:rPr>
                <w:rFonts w:hint="default"/>
                <w:vertAlign w:val="baseline"/>
                <w:lang w:val="en-US"/>
              </w:rPr>
              <w:t>1.06</w:t>
            </w:r>
          </w:p>
        </w:tc>
        <w:tc>
          <w:tcPr>
            <w:tcW w:w="1975" w:type="dxa"/>
          </w:tcPr>
          <w:p w14:paraId="516F891E">
            <w:pPr>
              <w:rPr>
                <w:rFonts w:hint="default"/>
                <w:vertAlign w:val="baseline"/>
                <w:lang w:val="en-US"/>
              </w:rPr>
            </w:pPr>
          </w:p>
        </w:tc>
        <w:tc>
          <w:tcPr>
            <w:tcW w:w="1650" w:type="dxa"/>
          </w:tcPr>
          <w:p w14:paraId="198BA675">
            <w:pPr>
              <w:rPr>
                <w:rFonts w:hint="default"/>
                <w:vertAlign w:val="baseline"/>
                <w:lang w:val="en-US"/>
              </w:rPr>
            </w:pPr>
          </w:p>
        </w:tc>
        <w:tc>
          <w:tcPr>
            <w:tcW w:w="2537" w:type="dxa"/>
          </w:tcPr>
          <w:p w14:paraId="4C1C23A0">
            <w:pPr>
              <w:rPr>
                <w:rFonts w:hint="default"/>
                <w:vertAlign w:val="baseline"/>
                <w:lang w:val="en-US"/>
              </w:rPr>
            </w:pPr>
          </w:p>
        </w:tc>
        <w:tc>
          <w:tcPr>
            <w:tcW w:w="2537" w:type="dxa"/>
          </w:tcPr>
          <w:p w14:paraId="16253EF3">
            <w:pPr>
              <w:rPr>
                <w:rFonts w:hint="default"/>
                <w:vertAlign w:val="baseline"/>
                <w:lang w:val="en-US"/>
              </w:rPr>
            </w:pPr>
          </w:p>
        </w:tc>
      </w:tr>
      <w:tr w14:paraId="53DA3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04" w:hRule="atLeast"/>
        </w:trPr>
        <w:tc>
          <w:tcPr>
            <w:tcW w:w="619" w:type="dxa"/>
          </w:tcPr>
          <w:p w14:paraId="34E10781">
            <w:pPr>
              <w:rPr>
                <w:rFonts w:hint="default"/>
                <w:vertAlign w:val="baseline"/>
                <w:lang w:val="en-US"/>
              </w:rPr>
            </w:pPr>
            <w:r>
              <w:rPr>
                <w:rFonts w:hint="default"/>
                <w:vertAlign w:val="baseline"/>
                <w:lang w:val="en-US"/>
              </w:rPr>
              <w:t>1.07</w:t>
            </w:r>
          </w:p>
        </w:tc>
        <w:tc>
          <w:tcPr>
            <w:tcW w:w="1975" w:type="dxa"/>
          </w:tcPr>
          <w:p w14:paraId="70E19DAA">
            <w:pPr>
              <w:rPr>
                <w:rFonts w:hint="default"/>
                <w:vertAlign w:val="baseline"/>
                <w:lang w:val="en-US"/>
              </w:rPr>
            </w:pPr>
          </w:p>
        </w:tc>
        <w:tc>
          <w:tcPr>
            <w:tcW w:w="1650" w:type="dxa"/>
          </w:tcPr>
          <w:p w14:paraId="01F03852">
            <w:pPr>
              <w:rPr>
                <w:rFonts w:hint="default"/>
                <w:vertAlign w:val="baseline"/>
                <w:lang w:val="en-US"/>
              </w:rPr>
            </w:pPr>
          </w:p>
        </w:tc>
        <w:tc>
          <w:tcPr>
            <w:tcW w:w="2537" w:type="dxa"/>
          </w:tcPr>
          <w:p w14:paraId="71F63633">
            <w:pPr>
              <w:rPr>
                <w:rFonts w:hint="default"/>
                <w:vertAlign w:val="baseline"/>
                <w:lang w:val="en-US"/>
              </w:rPr>
            </w:pPr>
          </w:p>
        </w:tc>
        <w:tc>
          <w:tcPr>
            <w:tcW w:w="2537" w:type="dxa"/>
          </w:tcPr>
          <w:p w14:paraId="32045D50">
            <w:pPr>
              <w:rPr>
                <w:rFonts w:hint="default"/>
                <w:vertAlign w:val="baseline"/>
                <w:lang w:val="en-US"/>
              </w:rPr>
            </w:pPr>
          </w:p>
        </w:tc>
      </w:tr>
      <w:tr w14:paraId="68715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704" w:hRule="atLeast"/>
        </w:trPr>
        <w:tc>
          <w:tcPr>
            <w:tcW w:w="619" w:type="dxa"/>
          </w:tcPr>
          <w:p w14:paraId="2C1A36B5">
            <w:pPr>
              <w:rPr>
                <w:rFonts w:hint="default"/>
                <w:vertAlign w:val="baseline"/>
                <w:lang w:val="en-US"/>
              </w:rPr>
            </w:pPr>
            <w:r>
              <w:rPr>
                <w:rFonts w:hint="default"/>
                <w:vertAlign w:val="baseline"/>
                <w:lang w:val="en-US"/>
              </w:rPr>
              <w:t>1.08</w:t>
            </w:r>
          </w:p>
        </w:tc>
        <w:tc>
          <w:tcPr>
            <w:tcW w:w="1975" w:type="dxa"/>
          </w:tcPr>
          <w:p w14:paraId="60CB9890">
            <w:pPr>
              <w:rPr>
                <w:rFonts w:hint="default"/>
                <w:vertAlign w:val="baseline"/>
                <w:lang w:val="en-US"/>
              </w:rPr>
            </w:pPr>
          </w:p>
        </w:tc>
        <w:tc>
          <w:tcPr>
            <w:tcW w:w="1650" w:type="dxa"/>
          </w:tcPr>
          <w:p w14:paraId="3292AD1E">
            <w:pPr>
              <w:rPr>
                <w:rFonts w:hint="default"/>
                <w:vertAlign w:val="baseline"/>
                <w:lang w:val="en-US"/>
              </w:rPr>
            </w:pPr>
          </w:p>
        </w:tc>
        <w:tc>
          <w:tcPr>
            <w:tcW w:w="2537" w:type="dxa"/>
          </w:tcPr>
          <w:p w14:paraId="3B2812D7">
            <w:pPr>
              <w:rPr>
                <w:rFonts w:hint="default"/>
                <w:vertAlign w:val="baseline"/>
                <w:lang w:val="en-US"/>
              </w:rPr>
            </w:pPr>
          </w:p>
        </w:tc>
        <w:tc>
          <w:tcPr>
            <w:tcW w:w="2537" w:type="dxa"/>
          </w:tcPr>
          <w:p w14:paraId="340F967C">
            <w:pPr>
              <w:rPr>
                <w:rFonts w:hint="default"/>
                <w:vertAlign w:val="baseline"/>
                <w:lang w:val="en-US"/>
              </w:rPr>
            </w:pPr>
          </w:p>
        </w:tc>
      </w:tr>
      <w:tr w14:paraId="606D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793" w:hRule="atLeast"/>
        </w:trPr>
        <w:tc>
          <w:tcPr>
            <w:tcW w:w="619" w:type="dxa"/>
          </w:tcPr>
          <w:p w14:paraId="438F396A">
            <w:pPr>
              <w:rPr>
                <w:rFonts w:hint="default"/>
                <w:vertAlign w:val="baseline"/>
                <w:lang w:val="en-US"/>
              </w:rPr>
            </w:pPr>
            <w:r>
              <w:rPr>
                <w:rFonts w:hint="default"/>
                <w:vertAlign w:val="baseline"/>
                <w:lang w:val="en-US"/>
              </w:rPr>
              <w:t>1.09</w:t>
            </w:r>
          </w:p>
        </w:tc>
        <w:tc>
          <w:tcPr>
            <w:tcW w:w="1975" w:type="dxa"/>
            <w:shd w:val="clear"/>
            <w:vAlign w:val="top"/>
          </w:tcPr>
          <w:p w14:paraId="16C170B6">
            <w:pPr>
              <w:rPr>
                <w:rFonts w:hint="default" w:asciiTheme="minorHAnsi" w:hAnsiTheme="minorHAnsi" w:eastAsiaTheme="minorEastAsia" w:cstheme="minorBidi"/>
                <w:vertAlign w:val="baseline"/>
                <w:lang w:val="en-US" w:eastAsia="zh-CN" w:bidi="ar-SA"/>
              </w:rPr>
            </w:pPr>
            <w:r>
              <w:rPr>
                <w:rFonts w:hint="default"/>
                <w:vertAlign w:val="baseline"/>
                <w:lang w:val="en-US"/>
              </w:rPr>
              <w:t xml:space="preserve">Describe things the family is doing. </w:t>
            </w:r>
          </w:p>
        </w:tc>
        <w:tc>
          <w:tcPr>
            <w:tcW w:w="1650" w:type="dxa"/>
            <w:shd w:val="clear"/>
            <w:vAlign w:val="top"/>
          </w:tcPr>
          <w:p w14:paraId="70EEE484">
            <w:pPr>
              <w:rPr>
                <w:rFonts w:hint="default" w:asciiTheme="minorHAnsi" w:hAnsiTheme="minorHAnsi" w:eastAsiaTheme="minorEastAsia" w:cstheme="minorBidi"/>
                <w:vertAlign w:val="baseline"/>
                <w:lang w:val="en-US" w:eastAsia="zh-CN" w:bidi="ar-SA"/>
              </w:rPr>
            </w:pPr>
            <w:r>
              <w:rPr>
                <w:rFonts w:hint="default"/>
                <w:vertAlign w:val="baseline"/>
                <w:lang w:val="en-US"/>
              </w:rPr>
              <w:t xml:space="preserve">Students can use the present continuous to talk about peoples action at the moment. </w:t>
            </w:r>
          </w:p>
        </w:tc>
        <w:tc>
          <w:tcPr>
            <w:tcW w:w="2537" w:type="dxa"/>
          </w:tcPr>
          <w:p w14:paraId="05286644">
            <w:pPr>
              <w:rPr>
                <w:rFonts w:hint="default"/>
                <w:vertAlign w:val="baseline"/>
                <w:lang w:val="en-US"/>
              </w:rPr>
            </w:pPr>
            <w:r>
              <w:rPr>
                <w:rFonts w:hint="default"/>
                <w:vertAlign w:val="baseline"/>
                <w:lang w:val="en-US"/>
              </w:rPr>
              <w:t xml:space="preserve">Student wants to play with grandpa. Grandpa says to play with someone else. Student goes around the house, and finds all the family members. Then returns to grandpa to tell him what everyone is doing. Student uses words from a bank to tell grandfather what each of the family members are doing. After finding all the family members, grandpa will finally play with the character. </w:t>
            </w:r>
          </w:p>
        </w:tc>
        <w:tc>
          <w:tcPr>
            <w:tcW w:w="2537" w:type="dxa"/>
          </w:tcPr>
          <w:p w14:paraId="03DF558A">
            <w:pPr>
              <w:rPr>
                <w:rFonts w:hint="default"/>
                <w:vertAlign w:val="baseline"/>
                <w:lang w:val="en-US"/>
              </w:rPr>
            </w:pPr>
          </w:p>
        </w:tc>
      </w:tr>
      <w:tr w14:paraId="2E815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732" w:hRule="atLeast"/>
        </w:trPr>
        <w:tc>
          <w:tcPr>
            <w:tcW w:w="619" w:type="dxa"/>
          </w:tcPr>
          <w:p w14:paraId="6AC44E48">
            <w:pPr>
              <w:rPr>
                <w:rFonts w:hint="default"/>
                <w:vertAlign w:val="baseline"/>
                <w:lang w:val="en-US"/>
              </w:rPr>
            </w:pPr>
            <w:r>
              <w:rPr>
                <w:rFonts w:hint="default"/>
                <w:vertAlign w:val="baseline"/>
                <w:lang w:val="en-US"/>
              </w:rPr>
              <w:t>1.10</w:t>
            </w:r>
          </w:p>
        </w:tc>
        <w:tc>
          <w:tcPr>
            <w:tcW w:w="1975" w:type="dxa"/>
          </w:tcPr>
          <w:p w14:paraId="7DA802CE">
            <w:pPr>
              <w:rPr>
                <w:rFonts w:hint="default"/>
                <w:vertAlign w:val="baseline"/>
                <w:lang w:val="en-US"/>
              </w:rPr>
            </w:pPr>
            <w:r>
              <w:rPr>
                <w:rFonts w:hint="default"/>
                <w:vertAlign w:val="baseline"/>
                <w:lang w:val="en-US"/>
              </w:rPr>
              <w:t xml:space="preserve">Help your brother with his home work by collecting his pencil and paper, and the words to complete the homework. </w:t>
            </w:r>
          </w:p>
        </w:tc>
        <w:tc>
          <w:tcPr>
            <w:tcW w:w="1650" w:type="dxa"/>
          </w:tcPr>
          <w:p w14:paraId="22A1FFC7">
            <w:pPr>
              <w:rPr>
                <w:rFonts w:hint="default"/>
                <w:vertAlign w:val="baseline"/>
                <w:lang w:val="en-US"/>
              </w:rPr>
            </w:pPr>
            <w:r>
              <w:rPr>
                <w:rFonts w:hint="default"/>
                <w:vertAlign w:val="baseline"/>
                <w:lang w:val="en-US"/>
              </w:rPr>
              <w:t>Students can use household vocabulary in a cloze activity</w:t>
            </w:r>
          </w:p>
        </w:tc>
        <w:tc>
          <w:tcPr>
            <w:tcW w:w="2537" w:type="dxa"/>
          </w:tcPr>
          <w:p w14:paraId="0DD44A6C">
            <w:pPr>
              <w:rPr>
                <w:rFonts w:hint="default"/>
                <w:vertAlign w:val="baseline"/>
                <w:lang w:val="vi-VN"/>
              </w:rPr>
            </w:pPr>
            <w:r>
              <w:rPr>
                <w:rFonts w:hint="default"/>
                <w:vertAlign w:val="baseline"/>
                <w:lang w:val="en-US"/>
              </w:rPr>
              <w:t xml:space="preserve">Walk around a 2d space and follow the requests from your brother. </w:t>
            </w:r>
          </w:p>
        </w:tc>
        <w:tc>
          <w:tcPr>
            <w:tcW w:w="2537" w:type="dxa"/>
          </w:tcPr>
          <w:p w14:paraId="1D1A3AB3">
            <w:pPr>
              <w:rPr>
                <w:rFonts w:hint="default"/>
                <w:vertAlign w:val="baseline"/>
                <w:lang w:val="en-US"/>
              </w:rPr>
            </w:pPr>
          </w:p>
        </w:tc>
      </w:tr>
      <w:tr w14:paraId="22E9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2056" w:hRule="atLeast"/>
        </w:trPr>
        <w:tc>
          <w:tcPr>
            <w:tcW w:w="619" w:type="dxa"/>
          </w:tcPr>
          <w:p w14:paraId="1F6DEF75">
            <w:pPr>
              <w:rPr>
                <w:rFonts w:hint="default"/>
                <w:vertAlign w:val="baseline"/>
                <w:lang w:val="en-US"/>
              </w:rPr>
            </w:pPr>
            <w:r>
              <w:rPr>
                <w:rFonts w:hint="default"/>
                <w:vertAlign w:val="baseline"/>
                <w:lang w:val="en-US"/>
              </w:rPr>
              <w:t>1.11</w:t>
            </w:r>
          </w:p>
        </w:tc>
        <w:tc>
          <w:tcPr>
            <w:tcW w:w="1975" w:type="dxa"/>
          </w:tcPr>
          <w:p w14:paraId="5E6B58DE">
            <w:pPr>
              <w:rPr>
                <w:rFonts w:hint="default"/>
                <w:vertAlign w:val="baseline"/>
                <w:lang w:val="en-US"/>
              </w:rPr>
            </w:pPr>
            <w:r>
              <w:rPr>
                <w:rFonts w:hint="default"/>
                <w:vertAlign w:val="baseline"/>
                <w:lang w:val="en-US"/>
              </w:rPr>
              <w:t xml:space="preserve">Get ready for school. Collect the items. Pack your things, and go to school. </w:t>
            </w:r>
          </w:p>
        </w:tc>
        <w:tc>
          <w:tcPr>
            <w:tcW w:w="1650" w:type="dxa"/>
          </w:tcPr>
          <w:p w14:paraId="39E965B1">
            <w:pPr>
              <w:rPr>
                <w:rFonts w:hint="default"/>
                <w:vertAlign w:val="baseline"/>
                <w:lang w:val="en-US"/>
              </w:rPr>
            </w:pPr>
          </w:p>
        </w:tc>
        <w:tc>
          <w:tcPr>
            <w:tcW w:w="2537" w:type="dxa"/>
          </w:tcPr>
          <w:p w14:paraId="2335FC18">
            <w:pPr>
              <w:rPr>
                <w:rFonts w:hint="default"/>
                <w:vertAlign w:val="baseline"/>
                <w:lang w:val="en-US"/>
              </w:rPr>
            </w:pPr>
          </w:p>
        </w:tc>
        <w:tc>
          <w:tcPr>
            <w:tcW w:w="2537" w:type="dxa"/>
          </w:tcPr>
          <w:p w14:paraId="7DB973CD">
            <w:pPr>
              <w:rPr>
                <w:rFonts w:hint="default"/>
                <w:vertAlign w:val="baseline"/>
                <w:lang w:val="en-US"/>
              </w:rPr>
            </w:pPr>
          </w:p>
        </w:tc>
      </w:tr>
      <w:tr w14:paraId="54E4B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408" w:hRule="atLeast"/>
        </w:trPr>
        <w:tc>
          <w:tcPr>
            <w:tcW w:w="619" w:type="dxa"/>
          </w:tcPr>
          <w:p w14:paraId="22F02B6E">
            <w:pPr>
              <w:rPr>
                <w:rFonts w:hint="default"/>
                <w:vertAlign w:val="baseline"/>
                <w:lang w:val="en-US"/>
              </w:rPr>
            </w:pPr>
            <w:r>
              <w:rPr>
                <w:rFonts w:hint="default"/>
                <w:vertAlign w:val="baseline"/>
                <w:lang w:val="en-US"/>
              </w:rPr>
              <w:t>1.12</w:t>
            </w:r>
          </w:p>
        </w:tc>
        <w:tc>
          <w:tcPr>
            <w:tcW w:w="1975" w:type="dxa"/>
          </w:tcPr>
          <w:p w14:paraId="39B67C1E">
            <w:pPr>
              <w:rPr>
                <w:rFonts w:hint="default"/>
                <w:vertAlign w:val="baseline"/>
                <w:lang w:val="en-US"/>
              </w:rPr>
            </w:pPr>
            <w:r>
              <w:rPr>
                <w:rFonts w:hint="default"/>
                <w:vertAlign w:val="baseline"/>
                <w:lang w:val="en-US"/>
              </w:rPr>
              <w:t xml:space="preserve">A vocabulary/Grammar written test plus record speaking. </w:t>
            </w:r>
          </w:p>
        </w:tc>
        <w:tc>
          <w:tcPr>
            <w:tcW w:w="1650" w:type="dxa"/>
          </w:tcPr>
          <w:p w14:paraId="080F9222">
            <w:pPr>
              <w:rPr>
                <w:rFonts w:hint="default"/>
                <w:vertAlign w:val="baseline"/>
                <w:lang w:val="en-US"/>
              </w:rPr>
            </w:pPr>
            <w:r>
              <w:rPr>
                <w:rFonts w:hint="default"/>
                <w:vertAlign w:val="baseline"/>
                <w:lang w:val="en-US"/>
              </w:rPr>
              <w:t>Test students mastery</w:t>
            </w:r>
          </w:p>
        </w:tc>
        <w:tc>
          <w:tcPr>
            <w:tcW w:w="2537" w:type="dxa"/>
          </w:tcPr>
          <w:p w14:paraId="5FA0FF5B">
            <w:pPr>
              <w:rPr>
                <w:rFonts w:hint="default"/>
                <w:vertAlign w:val="baseline"/>
                <w:lang w:val="en-US"/>
              </w:rPr>
            </w:pPr>
            <w:r>
              <w:rPr>
                <w:rFonts w:hint="default"/>
                <w:vertAlign w:val="baseline"/>
                <w:lang w:val="en-US"/>
              </w:rPr>
              <w:t xml:space="preserve">Final Boss / Test: students record themselves talking about their lives. A series of checkpoints/ hurdles/ tests of mastery stand in the way before they can </w:t>
            </w:r>
          </w:p>
        </w:tc>
        <w:tc>
          <w:tcPr>
            <w:tcW w:w="2537" w:type="dxa"/>
          </w:tcPr>
          <w:p w14:paraId="695D49C2">
            <w:pPr>
              <w:rPr>
                <w:rFonts w:hint="default"/>
                <w:vertAlign w:val="baseline"/>
                <w:lang w:val="en-US"/>
              </w:rPr>
            </w:pPr>
          </w:p>
        </w:tc>
      </w:tr>
    </w:tbl>
    <w:p w14:paraId="52AF4092">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37040D"/>
    <w:rsid w:val="60182CB2"/>
    <w:rsid w:val="6F3704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2026-05-25T10:55:00Z</dcterms:created>
  <dc:creator>Brady</dc:creator>
  <cp:lastModifiedBy>Brady</cp:lastModifiedBy>
  <dcterms:modified xsi:type="dcterms:W3CDTF">2026-05-26T09:18:06Z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90B05F66F68941528FA1D5E5F5FBA7A4_11</vt:lpwstr>
  </property>
  <property fmtid="{D5CDD505-2E9C-101B-9397-08002B2CF9AE}" pid="4" name="KSOTemplateDocerSaveRecord">
    <vt:lpwstr>eyJoZGlkIjoiYzZkNzQ4ZWFiZmQ4NTRhOWRkZTk3YTMwMjlmMmZhYmUiLCJ1c2VySWQiOiIxNjY2NTE2NjY4ODY4In0=</vt:lpwstr>
  </property>
</Properties>
</file>