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4D66" w:rsidRPr="006566CB" w:rsidRDefault="00B34D66" w:rsidP="00B34D66">
      <w:pPr>
        <w:pStyle w:val="Paragraphedeliste"/>
        <w:numPr>
          <w:ilvl w:val="0"/>
          <w:numId w:val="1"/>
        </w:numPr>
        <w:tabs>
          <w:tab w:val="left" w:pos="6195"/>
        </w:tabs>
        <w:rPr>
          <w:b/>
          <w:sz w:val="24"/>
          <w:szCs w:val="16"/>
        </w:rPr>
      </w:pPr>
      <w:r w:rsidRPr="006566CB">
        <w:rPr>
          <w:b/>
          <w:sz w:val="24"/>
          <w:szCs w:val="16"/>
        </w:rPr>
        <w:t>Ouverture de dossier</w:t>
      </w:r>
    </w:p>
    <w:p w:rsidR="00B34D66" w:rsidRDefault="00B34D66" w:rsidP="00B34D66">
      <w:pPr>
        <w:pStyle w:val="Paragraphedeliste"/>
        <w:numPr>
          <w:ilvl w:val="0"/>
          <w:numId w:val="2"/>
        </w:numPr>
        <w:tabs>
          <w:tab w:val="left" w:pos="6195"/>
        </w:tabs>
        <w:jc w:val="both"/>
        <w:rPr>
          <w:sz w:val="24"/>
          <w:szCs w:val="16"/>
        </w:rPr>
      </w:pPr>
      <w:r>
        <w:rPr>
          <w:sz w:val="24"/>
          <w:szCs w:val="16"/>
        </w:rPr>
        <w:t>Création d’un numéro de répertoire</w:t>
      </w:r>
    </w:p>
    <w:p w:rsidR="00B34D66" w:rsidRDefault="00B34D66" w:rsidP="00B34D66">
      <w:pPr>
        <w:pStyle w:val="Paragraphedeliste"/>
        <w:numPr>
          <w:ilvl w:val="0"/>
          <w:numId w:val="2"/>
        </w:numPr>
        <w:tabs>
          <w:tab w:val="left" w:pos="6195"/>
        </w:tabs>
        <w:jc w:val="both"/>
        <w:rPr>
          <w:sz w:val="24"/>
          <w:szCs w:val="16"/>
        </w:rPr>
      </w:pPr>
      <w:r>
        <w:rPr>
          <w:sz w:val="24"/>
          <w:szCs w:val="16"/>
        </w:rPr>
        <w:t>Enregistrement sur le registre des opérations en Douanes</w:t>
      </w:r>
    </w:p>
    <w:p w:rsidR="00B34D66" w:rsidRPr="006566CB" w:rsidRDefault="00B34D66" w:rsidP="00B34D66">
      <w:pPr>
        <w:pStyle w:val="Paragraphedeliste"/>
        <w:numPr>
          <w:ilvl w:val="0"/>
          <w:numId w:val="1"/>
        </w:numPr>
        <w:tabs>
          <w:tab w:val="left" w:pos="6195"/>
        </w:tabs>
        <w:jc w:val="both"/>
        <w:rPr>
          <w:b/>
          <w:sz w:val="24"/>
          <w:szCs w:val="16"/>
        </w:rPr>
      </w:pPr>
      <w:r w:rsidRPr="006566CB">
        <w:rPr>
          <w:b/>
          <w:sz w:val="24"/>
          <w:szCs w:val="16"/>
        </w:rPr>
        <w:t>Formalités de transit</w:t>
      </w:r>
    </w:p>
    <w:p w:rsidR="00B34D66" w:rsidRDefault="00B34D66" w:rsidP="00B34D66">
      <w:pPr>
        <w:pStyle w:val="Paragraphedeliste"/>
        <w:numPr>
          <w:ilvl w:val="0"/>
          <w:numId w:val="3"/>
        </w:numPr>
        <w:tabs>
          <w:tab w:val="left" w:pos="6195"/>
        </w:tabs>
        <w:jc w:val="both"/>
        <w:rPr>
          <w:sz w:val="24"/>
          <w:szCs w:val="16"/>
        </w:rPr>
      </w:pPr>
      <w:r>
        <w:rPr>
          <w:sz w:val="24"/>
          <w:szCs w:val="16"/>
        </w:rPr>
        <w:t xml:space="preserve">Etablissement de la note de détail </w:t>
      </w:r>
    </w:p>
    <w:p w:rsidR="00B34D66" w:rsidRDefault="00B34D66" w:rsidP="00B34D66">
      <w:pPr>
        <w:pStyle w:val="Paragraphedeliste"/>
        <w:numPr>
          <w:ilvl w:val="0"/>
          <w:numId w:val="3"/>
        </w:numPr>
        <w:tabs>
          <w:tab w:val="left" w:pos="6195"/>
        </w:tabs>
        <w:jc w:val="both"/>
        <w:rPr>
          <w:sz w:val="24"/>
          <w:szCs w:val="16"/>
        </w:rPr>
      </w:pPr>
      <w:r>
        <w:rPr>
          <w:sz w:val="24"/>
          <w:szCs w:val="16"/>
        </w:rPr>
        <w:t>Recherche dans le système GAINDE du manifeste maritime concernant le conteneur  ou la voiture à déclarer pour voir si le navire est arrivé à quai.</w:t>
      </w:r>
    </w:p>
    <w:p w:rsidR="00B34D66" w:rsidRDefault="00B34D66" w:rsidP="00B34D66">
      <w:pPr>
        <w:pStyle w:val="Paragraphedeliste"/>
        <w:numPr>
          <w:ilvl w:val="0"/>
          <w:numId w:val="3"/>
        </w:numPr>
        <w:tabs>
          <w:tab w:val="left" w:pos="6195"/>
        </w:tabs>
        <w:jc w:val="both"/>
        <w:rPr>
          <w:sz w:val="24"/>
          <w:szCs w:val="16"/>
        </w:rPr>
      </w:pPr>
      <w:r>
        <w:rPr>
          <w:sz w:val="24"/>
          <w:szCs w:val="16"/>
        </w:rPr>
        <w:t>Saisie dans le système GAINDE (Gestion automatisée des informations douanières et des échanges) de toutes les informations relatives à la marchandise.</w:t>
      </w:r>
    </w:p>
    <w:p w:rsidR="00B34D66" w:rsidRDefault="00B34D66" w:rsidP="00B34D66">
      <w:pPr>
        <w:pStyle w:val="Paragraphedeliste"/>
        <w:numPr>
          <w:ilvl w:val="0"/>
          <w:numId w:val="3"/>
        </w:numPr>
        <w:tabs>
          <w:tab w:val="left" w:pos="6195"/>
        </w:tabs>
        <w:jc w:val="both"/>
        <w:rPr>
          <w:sz w:val="24"/>
          <w:szCs w:val="16"/>
        </w:rPr>
      </w:pPr>
      <w:r>
        <w:rPr>
          <w:sz w:val="24"/>
          <w:szCs w:val="16"/>
        </w:rPr>
        <w:t>Enregistrement de la déclaration en détail et tirage de copies de déclaration devant faire le circuit en douanes</w:t>
      </w:r>
    </w:p>
    <w:p w:rsidR="00B34D66" w:rsidRDefault="00B34D66" w:rsidP="00B34D66">
      <w:pPr>
        <w:pStyle w:val="Paragraphedeliste"/>
        <w:numPr>
          <w:ilvl w:val="0"/>
          <w:numId w:val="3"/>
        </w:numPr>
        <w:tabs>
          <w:tab w:val="left" w:pos="6195"/>
        </w:tabs>
        <w:jc w:val="both"/>
        <w:rPr>
          <w:sz w:val="24"/>
          <w:szCs w:val="16"/>
        </w:rPr>
      </w:pPr>
      <w:r>
        <w:rPr>
          <w:sz w:val="24"/>
          <w:szCs w:val="16"/>
        </w:rPr>
        <w:t>Confection du dossier qui fera le circuit en douanes. Ce dossier sera composé du connaissement ou bill of lading, de la copie de la déclaration et de la facture commerciale.</w:t>
      </w:r>
    </w:p>
    <w:p w:rsidR="00B34D66" w:rsidRDefault="00B34D66" w:rsidP="00B34D66">
      <w:pPr>
        <w:pStyle w:val="Paragraphedeliste"/>
        <w:numPr>
          <w:ilvl w:val="0"/>
          <w:numId w:val="3"/>
        </w:numPr>
        <w:tabs>
          <w:tab w:val="left" w:pos="6195"/>
        </w:tabs>
        <w:jc w:val="both"/>
        <w:rPr>
          <w:sz w:val="24"/>
          <w:szCs w:val="16"/>
        </w:rPr>
      </w:pPr>
      <w:r>
        <w:rPr>
          <w:sz w:val="24"/>
          <w:szCs w:val="16"/>
        </w:rPr>
        <w:t>Après le circuit en douanes, impression du bon à enlever</w:t>
      </w:r>
    </w:p>
    <w:p w:rsidR="00B34D66" w:rsidRPr="006566CB" w:rsidRDefault="00B34D66" w:rsidP="00B34D66">
      <w:pPr>
        <w:pStyle w:val="Paragraphedeliste"/>
        <w:numPr>
          <w:ilvl w:val="0"/>
          <w:numId w:val="1"/>
        </w:numPr>
        <w:tabs>
          <w:tab w:val="left" w:pos="6195"/>
        </w:tabs>
        <w:jc w:val="both"/>
        <w:rPr>
          <w:b/>
          <w:sz w:val="24"/>
          <w:szCs w:val="16"/>
        </w:rPr>
      </w:pPr>
      <w:r w:rsidRPr="006566CB">
        <w:rPr>
          <w:b/>
          <w:sz w:val="24"/>
          <w:szCs w:val="16"/>
        </w:rPr>
        <w:t>Formalités douanières</w:t>
      </w:r>
    </w:p>
    <w:p w:rsidR="00B34D66" w:rsidRDefault="00B34D66" w:rsidP="00B34D66">
      <w:pPr>
        <w:pStyle w:val="Paragraphedeliste"/>
        <w:tabs>
          <w:tab w:val="left" w:pos="6195"/>
        </w:tabs>
        <w:jc w:val="both"/>
        <w:rPr>
          <w:sz w:val="24"/>
          <w:szCs w:val="16"/>
        </w:rPr>
      </w:pPr>
      <w:r>
        <w:rPr>
          <w:sz w:val="24"/>
          <w:szCs w:val="16"/>
        </w:rPr>
        <w:t>En effet, au niveau de la douane, le dossier passera dans 5 bureaux de douanes différents avant l’obtention du bon à enlever.</w:t>
      </w:r>
    </w:p>
    <w:p w:rsidR="00B34D66" w:rsidRDefault="00B34D66" w:rsidP="00B34D66">
      <w:pPr>
        <w:pStyle w:val="Paragraphedeliste"/>
        <w:tabs>
          <w:tab w:val="left" w:pos="6195"/>
        </w:tabs>
        <w:jc w:val="both"/>
        <w:rPr>
          <w:sz w:val="24"/>
          <w:szCs w:val="16"/>
        </w:rPr>
      </w:pPr>
      <w:r>
        <w:rPr>
          <w:sz w:val="24"/>
          <w:szCs w:val="16"/>
        </w:rPr>
        <w:t>Il s’agit de :</w:t>
      </w:r>
    </w:p>
    <w:p w:rsidR="00B34D66" w:rsidRDefault="00B34D66" w:rsidP="00B34D66">
      <w:pPr>
        <w:pStyle w:val="Paragraphedeliste"/>
        <w:numPr>
          <w:ilvl w:val="0"/>
          <w:numId w:val="4"/>
        </w:numPr>
        <w:tabs>
          <w:tab w:val="left" w:pos="6195"/>
        </w:tabs>
        <w:jc w:val="both"/>
        <w:rPr>
          <w:sz w:val="24"/>
          <w:szCs w:val="16"/>
        </w:rPr>
      </w:pPr>
      <w:r>
        <w:rPr>
          <w:sz w:val="24"/>
          <w:szCs w:val="16"/>
        </w:rPr>
        <w:t>La recevabilité </w:t>
      </w:r>
    </w:p>
    <w:p w:rsidR="00B34D66" w:rsidRDefault="00B34D66" w:rsidP="00B34D66">
      <w:pPr>
        <w:pStyle w:val="Paragraphedeliste"/>
        <w:numPr>
          <w:ilvl w:val="0"/>
          <w:numId w:val="4"/>
        </w:numPr>
        <w:tabs>
          <w:tab w:val="left" w:pos="6195"/>
        </w:tabs>
        <w:jc w:val="both"/>
        <w:rPr>
          <w:sz w:val="24"/>
          <w:szCs w:val="16"/>
        </w:rPr>
      </w:pPr>
      <w:r>
        <w:rPr>
          <w:sz w:val="24"/>
          <w:szCs w:val="16"/>
        </w:rPr>
        <w:t>La section d’écriture</w:t>
      </w:r>
    </w:p>
    <w:p w:rsidR="00B34D66" w:rsidRDefault="00B34D66" w:rsidP="00B34D66">
      <w:pPr>
        <w:pStyle w:val="Paragraphedeliste"/>
        <w:numPr>
          <w:ilvl w:val="0"/>
          <w:numId w:val="4"/>
        </w:numPr>
        <w:tabs>
          <w:tab w:val="left" w:pos="6195"/>
        </w:tabs>
        <w:jc w:val="both"/>
        <w:rPr>
          <w:sz w:val="24"/>
          <w:szCs w:val="16"/>
        </w:rPr>
      </w:pPr>
      <w:r>
        <w:rPr>
          <w:sz w:val="24"/>
          <w:szCs w:val="16"/>
        </w:rPr>
        <w:t>Le Chef de bureau</w:t>
      </w:r>
    </w:p>
    <w:p w:rsidR="00B34D66" w:rsidRDefault="00B34D66" w:rsidP="00B34D66">
      <w:pPr>
        <w:pStyle w:val="Paragraphedeliste"/>
        <w:numPr>
          <w:ilvl w:val="0"/>
          <w:numId w:val="4"/>
        </w:numPr>
        <w:tabs>
          <w:tab w:val="left" w:pos="6195"/>
        </w:tabs>
        <w:jc w:val="both"/>
        <w:rPr>
          <w:sz w:val="24"/>
          <w:szCs w:val="16"/>
        </w:rPr>
      </w:pPr>
      <w:r>
        <w:rPr>
          <w:sz w:val="24"/>
          <w:szCs w:val="16"/>
        </w:rPr>
        <w:t>Le Chef de visite</w:t>
      </w:r>
    </w:p>
    <w:p w:rsidR="00B34D66" w:rsidRDefault="00B34D66" w:rsidP="00B34D66">
      <w:pPr>
        <w:pStyle w:val="Paragraphedeliste"/>
        <w:numPr>
          <w:ilvl w:val="0"/>
          <w:numId w:val="4"/>
        </w:numPr>
        <w:tabs>
          <w:tab w:val="left" w:pos="6195"/>
        </w:tabs>
        <w:jc w:val="both"/>
        <w:rPr>
          <w:sz w:val="24"/>
          <w:szCs w:val="16"/>
        </w:rPr>
      </w:pPr>
      <w:r>
        <w:rPr>
          <w:sz w:val="24"/>
          <w:szCs w:val="16"/>
        </w:rPr>
        <w:t xml:space="preserve">L’Inspecteur Vérificateur : c’est lui qui, après vérification de la marchandise déclarée, si tout est conforme, lance le bon à enlever douanes, qui sera imprimé dans les locaux du commissionnaire en douanes. </w:t>
      </w:r>
    </w:p>
    <w:p w:rsidR="00B34D66" w:rsidRPr="006566CB" w:rsidRDefault="00B34D66" w:rsidP="00B34D66">
      <w:pPr>
        <w:pStyle w:val="Paragraphedeliste"/>
        <w:numPr>
          <w:ilvl w:val="0"/>
          <w:numId w:val="1"/>
        </w:numPr>
        <w:tabs>
          <w:tab w:val="left" w:pos="6195"/>
        </w:tabs>
        <w:jc w:val="both"/>
        <w:rPr>
          <w:b/>
          <w:sz w:val="24"/>
          <w:szCs w:val="16"/>
        </w:rPr>
      </w:pPr>
      <w:r w:rsidRPr="006566CB">
        <w:rPr>
          <w:b/>
          <w:sz w:val="24"/>
          <w:szCs w:val="16"/>
        </w:rPr>
        <w:t>Formalités portuaires</w:t>
      </w:r>
    </w:p>
    <w:p w:rsidR="00B34D66" w:rsidRDefault="00B34D66" w:rsidP="00B34D66">
      <w:pPr>
        <w:pStyle w:val="Paragraphedeliste"/>
        <w:tabs>
          <w:tab w:val="left" w:pos="6195"/>
        </w:tabs>
        <w:ind w:left="1440"/>
        <w:jc w:val="both"/>
        <w:rPr>
          <w:sz w:val="24"/>
          <w:szCs w:val="16"/>
        </w:rPr>
      </w:pPr>
      <w:r>
        <w:rPr>
          <w:sz w:val="24"/>
          <w:szCs w:val="16"/>
        </w:rPr>
        <w:t>N</w:t>
      </w:r>
      <w:r>
        <w:rPr>
          <w:sz w:val="24"/>
          <w:szCs w:val="16"/>
        </w:rPr>
        <w:t xml:space="preserve">ous nous rendons à la compagnie maritime pour payer les taxes ports et les débarquements. Après facturation, on récupère le bon à enlever compagnie. </w:t>
      </w:r>
    </w:p>
    <w:p w:rsidR="00B34D66" w:rsidRDefault="00B34D66" w:rsidP="00B34D66">
      <w:pPr>
        <w:pStyle w:val="Paragraphedeliste"/>
        <w:tabs>
          <w:tab w:val="left" w:pos="6195"/>
        </w:tabs>
        <w:ind w:left="1440"/>
        <w:jc w:val="both"/>
        <w:rPr>
          <w:sz w:val="24"/>
          <w:szCs w:val="16"/>
        </w:rPr>
      </w:pPr>
      <w:r>
        <w:rPr>
          <w:sz w:val="24"/>
          <w:szCs w:val="16"/>
        </w:rPr>
        <w:t>Pour procéder à l’enlèvement, on se rend au niveau de la brigade, munis d’une copie de déclaration, d’une copie de bon à enlever, d’</w:t>
      </w:r>
      <w:r>
        <w:rPr>
          <w:sz w:val="24"/>
          <w:szCs w:val="16"/>
        </w:rPr>
        <w:t xml:space="preserve">une copie du connaissement, du bon à enlever compagnie </w:t>
      </w:r>
      <w:r>
        <w:rPr>
          <w:sz w:val="24"/>
          <w:szCs w:val="16"/>
        </w:rPr>
        <w:t>et</w:t>
      </w:r>
      <w:r>
        <w:rPr>
          <w:sz w:val="24"/>
          <w:szCs w:val="16"/>
        </w:rPr>
        <w:t xml:space="preserve"> de</w:t>
      </w:r>
      <w:r>
        <w:rPr>
          <w:sz w:val="24"/>
          <w:szCs w:val="16"/>
        </w:rPr>
        <w:t xml:space="preserve"> la facture commerciale.</w:t>
      </w:r>
    </w:p>
    <w:p w:rsidR="00B34D66" w:rsidRPr="00C71593" w:rsidRDefault="00B34D66" w:rsidP="00B34D66">
      <w:pPr>
        <w:pStyle w:val="Paragraphedeliste"/>
        <w:numPr>
          <w:ilvl w:val="0"/>
          <w:numId w:val="1"/>
        </w:numPr>
        <w:tabs>
          <w:tab w:val="left" w:pos="6195"/>
        </w:tabs>
        <w:jc w:val="both"/>
        <w:rPr>
          <w:b/>
          <w:sz w:val="24"/>
          <w:szCs w:val="16"/>
        </w:rPr>
      </w:pPr>
      <w:r w:rsidRPr="00C71593">
        <w:rPr>
          <w:b/>
          <w:sz w:val="24"/>
          <w:szCs w:val="16"/>
        </w:rPr>
        <w:t>Expédition  du conteneu</w:t>
      </w:r>
      <w:bookmarkStart w:id="0" w:name="_GoBack"/>
      <w:bookmarkEnd w:id="0"/>
      <w:r w:rsidRPr="00C71593">
        <w:rPr>
          <w:b/>
          <w:sz w:val="24"/>
          <w:szCs w:val="16"/>
        </w:rPr>
        <w:t>r </w:t>
      </w:r>
    </w:p>
    <w:p w:rsidR="00B34D66" w:rsidRDefault="00B34D66" w:rsidP="00B34D66">
      <w:pPr>
        <w:pStyle w:val="Paragraphedeliste"/>
        <w:numPr>
          <w:ilvl w:val="0"/>
          <w:numId w:val="5"/>
        </w:numPr>
        <w:tabs>
          <w:tab w:val="left" w:pos="6195"/>
        </w:tabs>
        <w:jc w:val="both"/>
        <w:rPr>
          <w:sz w:val="24"/>
          <w:szCs w:val="16"/>
        </w:rPr>
      </w:pPr>
      <w:r>
        <w:rPr>
          <w:sz w:val="24"/>
          <w:szCs w:val="16"/>
        </w:rPr>
        <w:t>Pour expédier le conteneur dans les locaux du client, la société de transit paye une société de transport qui se chargera de récupérer le conteneur au niveau du port et de l’acheminer dans les magasins du client.</w:t>
      </w:r>
    </w:p>
    <w:p w:rsidR="00B34D66" w:rsidRPr="00C71593" w:rsidRDefault="00B34D66" w:rsidP="00B34D66">
      <w:pPr>
        <w:pStyle w:val="Paragraphedeliste"/>
        <w:numPr>
          <w:ilvl w:val="0"/>
          <w:numId w:val="1"/>
        </w:numPr>
        <w:tabs>
          <w:tab w:val="left" w:pos="6195"/>
        </w:tabs>
        <w:jc w:val="both"/>
        <w:rPr>
          <w:b/>
          <w:sz w:val="24"/>
          <w:szCs w:val="16"/>
        </w:rPr>
      </w:pPr>
      <w:r w:rsidRPr="00C71593">
        <w:rPr>
          <w:b/>
          <w:sz w:val="24"/>
          <w:szCs w:val="16"/>
        </w:rPr>
        <w:t>Livraison </w:t>
      </w:r>
    </w:p>
    <w:p w:rsidR="00B34D66" w:rsidRPr="00C71593" w:rsidRDefault="00B34D66" w:rsidP="00B34D66">
      <w:pPr>
        <w:pStyle w:val="Paragraphedeliste"/>
        <w:tabs>
          <w:tab w:val="left" w:pos="6195"/>
        </w:tabs>
        <w:jc w:val="both"/>
        <w:rPr>
          <w:sz w:val="24"/>
          <w:szCs w:val="16"/>
        </w:rPr>
      </w:pPr>
      <w:proofErr w:type="gramStart"/>
      <w:r>
        <w:rPr>
          <w:sz w:val="24"/>
          <w:szCs w:val="16"/>
        </w:rPr>
        <w:lastRenderedPageBreak/>
        <w:t>pour</w:t>
      </w:r>
      <w:proofErr w:type="gramEnd"/>
      <w:r>
        <w:rPr>
          <w:sz w:val="24"/>
          <w:szCs w:val="16"/>
        </w:rPr>
        <w:t xml:space="preserve"> la livraison, le transporteur accompagné d’un agent de la société emmène le conteneur jusque dans les locaux du client.</w:t>
      </w:r>
    </w:p>
    <w:p w:rsidR="00B34D66" w:rsidRPr="00E9739E" w:rsidRDefault="00B34D66" w:rsidP="00B34D66">
      <w:pPr>
        <w:tabs>
          <w:tab w:val="left" w:pos="6195"/>
        </w:tabs>
        <w:jc w:val="both"/>
        <w:rPr>
          <w:sz w:val="24"/>
          <w:szCs w:val="16"/>
        </w:rPr>
      </w:pPr>
    </w:p>
    <w:p w:rsidR="00107CF8" w:rsidRPr="00B34D66" w:rsidRDefault="00107CF8" w:rsidP="00B34D66"/>
    <w:sectPr w:rsidR="00107CF8" w:rsidRPr="00B34D66" w:rsidSect="00107CF8">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1D0E" w:rsidRDefault="005D1D0E" w:rsidP="00D41317">
      <w:pPr>
        <w:spacing w:after="0" w:line="240" w:lineRule="auto"/>
      </w:pPr>
      <w:r>
        <w:separator/>
      </w:r>
    </w:p>
  </w:endnote>
  <w:endnote w:type="continuationSeparator" w:id="0">
    <w:p w:rsidR="005D1D0E" w:rsidRDefault="005D1D0E" w:rsidP="00D41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283" w:rsidRDefault="000E1283">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1317" w:rsidRDefault="00D41317" w:rsidP="00693124">
    <w:pPr>
      <w:pStyle w:val="Pieddepage"/>
      <w:pBdr>
        <w:top w:val="thinThickSmallGap" w:sz="24" w:space="0" w:color="622423" w:themeColor="accent2" w:themeShade="7F"/>
      </w:pBdr>
      <w:jc w:val="center"/>
    </w:pPr>
    <w:r w:rsidRPr="00693124">
      <w:rPr>
        <w:rFonts w:asciiTheme="majorHAnsi" w:hAnsiTheme="majorHAnsi"/>
        <w:sz w:val="20"/>
      </w:rPr>
      <w:t xml:space="preserve">MADINA TRANSIT TRANSPORT LOGISTIQUE  </w:t>
    </w:r>
    <w:r w:rsidR="00F855EC" w:rsidRPr="00693124">
      <w:rPr>
        <w:rFonts w:asciiTheme="majorHAnsi" w:hAnsiTheme="majorHAnsi"/>
        <w:sz w:val="20"/>
      </w:rPr>
      <w:t>04,</w:t>
    </w:r>
    <w:r w:rsidRPr="00693124">
      <w:rPr>
        <w:rFonts w:asciiTheme="majorHAnsi" w:hAnsiTheme="majorHAnsi"/>
        <w:sz w:val="20"/>
      </w:rPr>
      <w:t xml:space="preserve"> RUE MALAN au MOLE 1</w:t>
    </w:r>
    <w:r w:rsidR="00693124" w:rsidRPr="00693124">
      <w:rPr>
        <w:rFonts w:asciiTheme="majorHAnsi" w:hAnsiTheme="majorHAnsi"/>
        <w:sz w:val="20"/>
      </w:rPr>
      <w:t xml:space="preserve"> </w:t>
    </w:r>
    <w:proofErr w:type="spellStart"/>
    <w:r w:rsidR="00693124" w:rsidRPr="00693124">
      <w:rPr>
        <w:rFonts w:asciiTheme="majorHAnsi" w:hAnsiTheme="majorHAnsi"/>
        <w:sz w:val="20"/>
      </w:rPr>
      <w:t>Ninéa</w:t>
    </w:r>
    <w:proofErr w:type="spellEnd"/>
    <w:r w:rsidR="00693124" w:rsidRPr="00693124">
      <w:rPr>
        <w:rFonts w:asciiTheme="majorHAnsi" w:hAnsiTheme="majorHAnsi"/>
        <w:sz w:val="20"/>
      </w:rPr>
      <w:t> : 0058038212A2</w:t>
    </w:r>
    <w:r w:rsidR="00693124">
      <w:rPr>
        <w:rFonts w:asciiTheme="majorHAnsi" w:hAnsiTheme="majorHAnsi"/>
        <w:sz w:val="20"/>
      </w:rPr>
      <w:t xml:space="preserve"> Tel : 33 823 38 03 / 77 638 68 16 / 77 532 59 53 email : </w:t>
    </w:r>
    <w:hyperlink r:id="rId1" w:history="1">
      <w:r w:rsidR="00693124" w:rsidRPr="00D940AC">
        <w:rPr>
          <w:rStyle w:val="Lienhypertexte"/>
          <w:rFonts w:asciiTheme="majorHAnsi" w:hAnsiTheme="majorHAnsi"/>
          <w:sz w:val="20"/>
        </w:rPr>
        <w:t>madinatransit@gmail.com</w:t>
      </w:r>
    </w:hyperlink>
  </w:p>
  <w:p w:rsidR="00F855EC" w:rsidRDefault="00F855EC" w:rsidP="00693124">
    <w:pPr>
      <w:pStyle w:val="Pieddepage"/>
      <w:jc w:val="center"/>
    </w:pPr>
  </w:p>
  <w:p w:rsidR="00315EDF" w:rsidRDefault="00315EDF">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283" w:rsidRDefault="000E128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1D0E" w:rsidRDefault="005D1D0E" w:rsidP="00D41317">
      <w:pPr>
        <w:spacing w:after="0" w:line="240" w:lineRule="auto"/>
      </w:pPr>
      <w:r>
        <w:separator/>
      </w:r>
    </w:p>
  </w:footnote>
  <w:footnote w:type="continuationSeparator" w:id="0">
    <w:p w:rsidR="005D1D0E" w:rsidRDefault="005D1D0E" w:rsidP="00D413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124" w:rsidRDefault="005D1D0E">
    <w:pPr>
      <w:pStyle w:val="En-tt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1901813" o:spid="_x0000_s2050" type="#_x0000_t75" style="position:absolute;margin-left:0;margin-top:0;width:453.55pt;height:342pt;z-index:-251657216;mso-position-horizontal:center;mso-position-horizontal-relative:margin;mso-position-vertical:center;mso-position-vertical-relative:margin" o:allowincell="f">
          <v:imagedata r:id="rId1" o:title="img14"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1317" w:rsidRDefault="00693124">
    <w:pPr>
      <w:pStyle w:val="En-tte"/>
    </w:pPr>
    <w:r w:rsidRPr="00693124">
      <w:rPr>
        <w:noProof/>
      </w:rPr>
      <w:drawing>
        <wp:inline distT="0" distB="0" distL="0" distR="0">
          <wp:extent cx="6496049" cy="1104900"/>
          <wp:effectExtent l="19050" t="0" r="1" b="0"/>
          <wp:docPr id="2" name="Image 1" descr="C:\Users\COMPTABILITE\Pictures\IMG_18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TABILITE\Pictures\IMG_1825.JPG"/>
                  <pic:cNvPicPr>
                    <a:picLocks noChangeAspect="1" noChangeArrowheads="1"/>
                  </pic:cNvPicPr>
                </pic:nvPicPr>
                <pic:blipFill>
                  <a:blip r:embed="rId1"/>
                  <a:srcRect l="-438" b="85811"/>
                  <a:stretch>
                    <a:fillRect/>
                  </a:stretch>
                </pic:blipFill>
                <pic:spPr bwMode="auto">
                  <a:xfrm>
                    <a:off x="0" y="0"/>
                    <a:ext cx="6493902" cy="1104535"/>
                  </a:xfrm>
                  <a:prstGeom prst="rect">
                    <a:avLst/>
                  </a:prstGeom>
                  <a:noFill/>
                  <a:ln w="9525">
                    <a:noFill/>
                    <a:miter lim="800000"/>
                    <a:headEnd/>
                    <a:tailEnd/>
                  </a:ln>
                </pic:spPr>
              </pic:pic>
            </a:graphicData>
          </a:graphic>
        </wp:inline>
      </w:drawing>
    </w:r>
  </w:p>
  <w:p w:rsidR="00D41317" w:rsidRDefault="005D1D0E">
    <w:pPr>
      <w:pStyle w:val="En-tt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1901814" o:spid="_x0000_s2051" type="#_x0000_t75" style="position:absolute;margin-left:-42pt;margin-top:103.6pt;width:534.4pt;height:380.25pt;z-index:-251656192;mso-position-horizontal-relative:margin;mso-position-vertical-relative:margin" o:allowincell="f">
          <v:imagedata r:id="rId2" o:title="img14"/>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124" w:rsidRDefault="005D1D0E">
    <w:pPr>
      <w:pStyle w:val="En-tt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1901812" o:spid="_x0000_s2049" type="#_x0000_t75" style="position:absolute;margin-left:0;margin-top:0;width:453.55pt;height:342pt;z-index:-251658240;mso-position-horizontal:center;mso-position-horizontal-relative:margin;mso-position-vertical:center;mso-position-vertical-relative:margin" o:allowincell="f">
          <v:imagedata r:id="rId1" o:title="img14"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97296C"/>
    <w:multiLevelType w:val="hybridMultilevel"/>
    <w:tmpl w:val="C12E816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32647093"/>
    <w:multiLevelType w:val="hybridMultilevel"/>
    <w:tmpl w:val="15DE3FE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3A406453"/>
    <w:multiLevelType w:val="hybridMultilevel"/>
    <w:tmpl w:val="24C2A76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nsid w:val="4B913F1C"/>
    <w:multiLevelType w:val="hybridMultilevel"/>
    <w:tmpl w:val="C23C035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nsid w:val="70966E1F"/>
    <w:multiLevelType w:val="hybridMultilevel"/>
    <w:tmpl w:val="A9EA1D10"/>
    <w:lvl w:ilvl="0" w:tplc="C7BA9CF8">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E47"/>
    <w:rsid w:val="000D3305"/>
    <w:rsid w:val="000E1283"/>
    <w:rsid w:val="000E2A52"/>
    <w:rsid w:val="000F4163"/>
    <w:rsid w:val="00107CF8"/>
    <w:rsid w:val="001224BF"/>
    <w:rsid w:val="00256CC7"/>
    <w:rsid w:val="002B0FED"/>
    <w:rsid w:val="002C2D97"/>
    <w:rsid w:val="002C5C80"/>
    <w:rsid w:val="002E5BAB"/>
    <w:rsid w:val="00315EDF"/>
    <w:rsid w:val="003A66C9"/>
    <w:rsid w:val="003E5EFF"/>
    <w:rsid w:val="004408D6"/>
    <w:rsid w:val="00466025"/>
    <w:rsid w:val="005D1D0E"/>
    <w:rsid w:val="00654821"/>
    <w:rsid w:val="00693124"/>
    <w:rsid w:val="00806387"/>
    <w:rsid w:val="009D7ADB"/>
    <w:rsid w:val="009D7E47"/>
    <w:rsid w:val="00A628C0"/>
    <w:rsid w:val="00AE7581"/>
    <w:rsid w:val="00B34D66"/>
    <w:rsid w:val="00BF3D29"/>
    <w:rsid w:val="00C178F0"/>
    <w:rsid w:val="00D41317"/>
    <w:rsid w:val="00D545A8"/>
    <w:rsid w:val="00DB5209"/>
    <w:rsid w:val="00EF7B12"/>
    <w:rsid w:val="00F855EC"/>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D7A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D7A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D7ADB"/>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9D7ADB"/>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9D7AD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D7ADB"/>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9D7ADB"/>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9D7ADB"/>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9D7ADB"/>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9D7ADB"/>
    <w:rPr>
      <w:rFonts w:asciiTheme="majorHAnsi" w:eastAsiaTheme="majorEastAsia" w:hAnsiTheme="majorHAnsi" w:cstheme="majorBidi"/>
      <w:color w:val="243F60" w:themeColor="accent1" w:themeShade="7F"/>
    </w:rPr>
  </w:style>
  <w:style w:type="paragraph" w:styleId="Sansinterligne">
    <w:name w:val="No Spacing"/>
    <w:link w:val="SansinterligneCar"/>
    <w:uiPriority w:val="1"/>
    <w:qFormat/>
    <w:rsid w:val="009D7ADB"/>
    <w:pPr>
      <w:spacing w:after="0" w:line="240" w:lineRule="auto"/>
    </w:pPr>
  </w:style>
  <w:style w:type="paragraph" w:styleId="Textedebulles">
    <w:name w:val="Balloon Text"/>
    <w:basedOn w:val="Normal"/>
    <w:link w:val="TextedebullesCar"/>
    <w:uiPriority w:val="99"/>
    <w:semiHidden/>
    <w:unhideWhenUsed/>
    <w:rsid w:val="009D7E4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D7E47"/>
    <w:rPr>
      <w:rFonts w:ascii="Tahoma" w:hAnsi="Tahoma" w:cs="Tahoma"/>
      <w:sz w:val="16"/>
      <w:szCs w:val="16"/>
    </w:rPr>
  </w:style>
  <w:style w:type="character" w:customStyle="1" w:styleId="SansinterligneCar">
    <w:name w:val="Sans interligne Car"/>
    <w:basedOn w:val="Policepardfaut"/>
    <w:link w:val="Sansinterligne"/>
    <w:uiPriority w:val="1"/>
    <w:rsid w:val="009D7E47"/>
  </w:style>
  <w:style w:type="paragraph" w:styleId="En-tte">
    <w:name w:val="header"/>
    <w:basedOn w:val="Normal"/>
    <w:link w:val="En-tteCar"/>
    <w:uiPriority w:val="99"/>
    <w:unhideWhenUsed/>
    <w:rsid w:val="00D41317"/>
    <w:pPr>
      <w:tabs>
        <w:tab w:val="center" w:pos="4536"/>
        <w:tab w:val="right" w:pos="9072"/>
      </w:tabs>
      <w:spacing w:after="0" w:line="240" w:lineRule="auto"/>
    </w:pPr>
  </w:style>
  <w:style w:type="character" w:customStyle="1" w:styleId="En-tteCar">
    <w:name w:val="En-tête Car"/>
    <w:basedOn w:val="Policepardfaut"/>
    <w:link w:val="En-tte"/>
    <w:uiPriority w:val="99"/>
    <w:rsid w:val="00D41317"/>
  </w:style>
  <w:style w:type="paragraph" w:styleId="Pieddepage">
    <w:name w:val="footer"/>
    <w:basedOn w:val="Normal"/>
    <w:link w:val="PieddepageCar"/>
    <w:uiPriority w:val="99"/>
    <w:unhideWhenUsed/>
    <w:rsid w:val="00D4131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41317"/>
  </w:style>
  <w:style w:type="character" w:styleId="Lienhypertexte">
    <w:name w:val="Hyperlink"/>
    <w:basedOn w:val="Policepardfaut"/>
    <w:uiPriority w:val="99"/>
    <w:unhideWhenUsed/>
    <w:rsid w:val="00F855EC"/>
    <w:rPr>
      <w:color w:val="0000FF" w:themeColor="hyperlink"/>
      <w:u w:val="single"/>
    </w:rPr>
  </w:style>
  <w:style w:type="paragraph" w:styleId="Paragraphedeliste">
    <w:name w:val="List Paragraph"/>
    <w:basedOn w:val="Normal"/>
    <w:uiPriority w:val="34"/>
    <w:qFormat/>
    <w:rsid w:val="00B34D6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D7A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D7A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D7ADB"/>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9D7ADB"/>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9D7AD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D7ADB"/>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9D7ADB"/>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9D7ADB"/>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9D7ADB"/>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9D7ADB"/>
    <w:rPr>
      <w:rFonts w:asciiTheme="majorHAnsi" w:eastAsiaTheme="majorEastAsia" w:hAnsiTheme="majorHAnsi" w:cstheme="majorBidi"/>
      <w:color w:val="243F60" w:themeColor="accent1" w:themeShade="7F"/>
    </w:rPr>
  </w:style>
  <w:style w:type="paragraph" w:styleId="Sansinterligne">
    <w:name w:val="No Spacing"/>
    <w:link w:val="SansinterligneCar"/>
    <w:uiPriority w:val="1"/>
    <w:qFormat/>
    <w:rsid w:val="009D7ADB"/>
    <w:pPr>
      <w:spacing w:after="0" w:line="240" w:lineRule="auto"/>
    </w:pPr>
  </w:style>
  <w:style w:type="paragraph" w:styleId="Textedebulles">
    <w:name w:val="Balloon Text"/>
    <w:basedOn w:val="Normal"/>
    <w:link w:val="TextedebullesCar"/>
    <w:uiPriority w:val="99"/>
    <w:semiHidden/>
    <w:unhideWhenUsed/>
    <w:rsid w:val="009D7E4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D7E47"/>
    <w:rPr>
      <w:rFonts w:ascii="Tahoma" w:hAnsi="Tahoma" w:cs="Tahoma"/>
      <w:sz w:val="16"/>
      <w:szCs w:val="16"/>
    </w:rPr>
  </w:style>
  <w:style w:type="character" w:customStyle="1" w:styleId="SansinterligneCar">
    <w:name w:val="Sans interligne Car"/>
    <w:basedOn w:val="Policepardfaut"/>
    <w:link w:val="Sansinterligne"/>
    <w:uiPriority w:val="1"/>
    <w:rsid w:val="009D7E47"/>
  </w:style>
  <w:style w:type="paragraph" w:styleId="En-tte">
    <w:name w:val="header"/>
    <w:basedOn w:val="Normal"/>
    <w:link w:val="En-tteCar"/>
    <w:uiPriority w:val="99"/>
    <w:unhideWhenUsed/>
    <w:rsid w:val="00D41317"/>
    <w:pPr>
      <w:tabs>
        <w:tab w:val="center" w:pos="4536"/>
        <w:tab w:val="right" w:pos="9072"/>
      </w:tabs>
      <w:spacing w:after="0" w:line="240" w:lineRule="auto"/>
    </w:pPr>
  </w:style>
  <w:style w:type="character" w:customStyle="1" w:styleId="En-tteCar">
    <w:name w:val="En-tête Car"/>
    <w:basedOn w:val="Policepardfaut"/>
    <w:link w:val="En-tte"/>
    <w:uiPriority w:val="99"/>
    <w:rsid w:val="00D41317"/>
  </w:style>
  <w:style w:type="paragraph" w:styleId="Pieddepage">
    <w:name w:val="footer"/>
    <w:basedOn w:val="Normal"/>
    <w:link w:val="PieddepageCar"/>
    <w:uiPriority w:val="99"/>
    <w:unhideWhenUsed/>
    <w:rsid w:val="00D4131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41317"/>
  </w:style>
  <w:style w:type="character" w:styleId="Lienhypertexte">
    <w:name w:val="Hyperlink"/>
    <w:basedOn w:val="Policepardfaut"/>
    <w:uiPriority w:val="99"/>
    <w:unhideWhenUsed/>
    <w:rsid w:val="00F855EC"/>
    <w:rPr>
      <w:color w:val="0000FF" w:themeColor="hyperlink"/>
      <w:u w:val="single"/>
    </w:rPr>
  </w:style>
  <w:style w:type="paragraph" w:styleId="Paragraphedeliste">
    <w:name w:val="List Paragraph"/>
    <w:basedOn w:val="Normal"/>
    <w:uiPriority w:val="34"/>
    <w:qFormat/>
    <w:rsid w:val="00B34D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madinatransit@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qu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D1CDF5-8090-4DA7-89F6-E584DD747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311</Words>
  <Characters>1716</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P R C</Company>
  <LinksUpToDate>false</LinksUpToDate>
  <CharactersWithSpaces>2023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COMPTABILITE</dc:creator>
  <cp:lastModifiedBy>MOMO</cp:lastModifiedBy>
  <cp:revision>2</cp:revision>
  <cp:lastPrinted>2017-05-19T14:26:00Z</cp:lastPrinted>
  <dcterms:created xsi:type="dcterms:W3CDTF">2017-05-19T14:26:00Z</dcterms:created>
  <dcterms:modified xsi:type="dcterms:W3CDTF">2017-05-19T14:26:00Z</dcterms:modified>
</cp:coreProperties>
</file>