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7969" w14:textId="2BCBDA40" w:rsidR="003B223D" w:rsidRPr="00D04713" w:rsidRDefault="00D0471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04713">
          <w:rPr>
            <w:rStyle w:val="a3"/>
            <w:rFonts w:ascii="Times New Roman" w:hAnsi="Times New Roman" w:cs="Times New Roman"/>
            <w:sz w:val="28"/>
            <w:szCs w:val="28"/>
          </w:rPr>
          <w:t>http://www.consultant.ru/document/cons_doc_LAW_58804/e14327394d63c4f451508a6f2d1ae0c7d73e9359/</w:t>
        </w:r>
      </w:hyperlink>
    </w:p>
    <w:sectPr w:rsidR="003B223D" w:rsidRPr="00D0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3"/>
    <w:rsid w:val="003B223D"/>
    <w:rsid w:val="00D04713"/>
    <w:rsid w:val="00D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244C7-4B1F-4F6A-82FC-A29797BC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7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2023-02-17T08:55:00Z</dcterms:created>
  <dcterms:modified xsi:type="dcterms:W3CDTF">2023-02-17T08:55:00Z</dcterms:modified>
</cp:coreProperties>
</file>