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validation against manual (WGLS) classification</w:t>
      </w:r>
    </w:p>
    <w:p>
      <w:r>
        <w:rPr>
          <w:i/>
          <w:color w:val="666666"/>
        </w:rPr>
        <w:t>Summary for the team — tier-1 dataset (1,054 variants)</w:t>
      </w:r>
    </w:p>
    <w:p>
      <w:r>
        <w:t>We use the geneticist's manual classification as the reference standard and test two automated approaches against it: (1) OncoKB-only and (2) SMART multi-evidence. The aim is not a perfect benchmark (the manual calls are tumour-type specific while our approaches are tumour-agnostic) but to check whether our automated calls give useful information — especially for genes outside the tumour-specific panel that are never reviewed manually.</w:t>
      </w:r>
    </w:p>
    <w:p>
      <w:pPr>
        <w:pStyle w:val="Heading1"/>
      </w:pPr>
      <w:r>
        <w:t>1. What we are measuring</w:t>
      </w:r>
    </w:p>
    <w:p>
      <w:r>
        <w:t>The geneticist (WGLS) classified each variant manually — this is the truth we compare against. We then ask how well each of our two approaches reproduces those calls. One important caveat is coverage: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4408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4408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Almost half the variants had no OncoKB record, so they default to VUS. These are abstentions, not genuine 'not oncogenic' calls — counting them as correct negatives would make accuracy look better than it is. We therefore also report a chance-corrected, ordinal measure (weighted kappa).</w:t>
      </w:r>
    </w:p>
    <w:p>
      <w:pPr>
        <w:pStyle w:val="Heading1"/>
      </w:pPr>
      <w:r>
        <w:t>2. How each approach decides if a mutation is pathogenic</w:t>
      </w:r>
    </w:p>
    <w:p>
      <w:r>
        <w:t>Both approaches end in the same three-way call — Oncogenic, VUS, or Benign — but they reach it very differently. For the 'pathogenic vs not' question, 'pathogenic' means a final call of Oncogenic or Likely Oncogenic; everything else (VUS, Likely Benign, Benign) counts as not pathogenic.</w:t>
      </w:r>
    </w:p>
    <w:p>
      <w:r>
        <w:rPr>
          <w:b/>
        </w:rPr>
        <w:t>OncoKB-only</w:t>
      </w:r>
    </w:p>
    <w:p>
      <w:r>
        <w:t>The verdict is taken directly from the single OncoKB oncogenicity annotation, with no other evidence used:</w:t>
      </w:r>
    </w:p>
    <w:p>
      <w:pPr>
        <w:pStyle w:val="ListBullet"/>
      </w:pPr>
      <w:r>
        <w:t>OncoKB = Oncogenic / Likely Oncogenic / Resistance  →  Pathogenic</w:t>
      </w:r>
    </w:p>
    <w:p>
      <w:pPr>
        <w:pStyle w:val="ListBullet"/>
      </w:pPr>
      <w:r>
        <w:t>OncoKB = Unknown / Inconclusive  →  VUS</w:t>
      </w:r>
    </w:p>
    <w:p>
      <w:pPr>
        <w:pStyle w:val="ListBullet"/>
      </w:pPr>
      <w:r>
        <w:t>OncoKB = Likely Neutral / Neutral  →  Benign</w:t>
      </w:r>
    </w:p>
    <w:p>
      <w:pPr>
        <w:pStyle w:val="ListBullet"/>
      </w:pPr>
      <w:r>
        <w:t>No OncoKB record  →  VUS (this is what happens to ~49% of variants)</w:t>
      </w:r>
    </w:p>
    <w:p>
      <w:r>
        <w:rPr>
          <w:b/>
        </w:rPr>
        <w:t>SMART multi-evidence (SVIG-UK points)</w:t>
      </w:r>
    </w:p>
    <w:p>
      <w:r>
        <w:t>We follow the SVIG-UK / ACGS 2025 point system: each piece of evidence adds or subtracts points, and the running total decides the tier. This lets us classify variants even when OncoKB is silent. Points used in this v1:</w:t>
      </w:r>
    </w:p>
    <w:p>
      <w:pPr>
        <w:pStyle w:val="ListBullet"/>
      </w:pPr>
      <w:r>
        <w:t>OncoKB call: Oncogenic +10, Likely Oncogenic / Resistance +6, Likely Neutral −4, Neutral −7</w:t>
      </w:r>
    </w:p>
    <w:p>
      <w:pPr>
        <w:pStyle w:val="ListBullet"/>
      </w:pPr>
      <w:r>
        <w:t>ClinVar: Pathogenic +5, Likely pathogenic +3, oncogenic flag +4, Benign −5, Likely benign −3</w:t>
      </w:r>
    </w:p>
    <w:p>
      <w:pPr>
        <w:pStyle w:val="ListBullet"/>
      </w:pPr>
      <w:r>
        <w:t>Loss-of-function (frameshift / stop-gain / splice, HIGH impact): +4</w:t>
      </w:r>
    </w:p>
    <w:p>
      <w:pPr>
        <w:pStyle w:val="ListBullet"/>
      </w:pPr>
      <w:r>
        <w:t>Mutational hotspot (OncoKB or CancerHotspots): +2</w:t>
      </w:r>
    </w:p>
    <w:p>
      <w:pPr>
        <w:pStyle w:val="ListBullet"/>
      </w:pPr>
      <w:r>
        <w:t>Population frequency (gnomAD): absent +2, ultra-rare +1, ≥0.1% −4, ≥1% −8</w:t>
      </w:r>
    </w:p>
    <w:p>
      <w:pPr>
        <w:pStyle w:val="ListBullet"/>
      </w:pPr>
      <w:r>
        <w:t>In-silico predictors: REVEL ≥0.7 or SpliceAI ≥0.2 → +1; clearly benign in-silico → −1</w:t>
      </w:r>
    </w:p>
    <w:p>
      <w:pPr>
        <w:pStyle w:val="ListBullet"/>
      </w:pPr>
      <w:r>
        <w:t>Gene constraint (LOEUF &lt; 0.6): +1</w:t>
      </w:r>
    </w:p>
    <w:p>
      <w:pPr>
        <w:pStyle w:val="ListBullet"/>
      </w:pPr>
      <w:r>
        <w:t>Synonymous change: −4</w:t>
      </w:r>
    </w:p>
    <w:p>
      <w:r>
        <w:t>The total score maps to a tier:  ≥10 = Oncogenic,  6–9 = Likely Oncogenic,  0–5 = VUS,  −1 to −6 = Likely Benign,  ≤ −7 = Benign.</w:t>
      </w:r>
    </w:p>
    <w:p>
      <w:pPr>
        <w:pStyle w:val="Heading1"/>
      </w:pPr>
      <w:r>
        <w:t>3. How well each approach matches the geneticist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Approach (vs geneticist)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Acc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Sens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Spec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PPV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Weighted κ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OncoKB-only (current verdict)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0.934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0.953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0.915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0.914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0.633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SMART multi-evidence (SVIG-UK v1)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0.933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0.937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0.928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0.925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0.931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sz w:val="18"/>
              </w:rPr>
              <w:t>0.744</w:t>
            </w:r>
          </w:p>
        </w:tc>
      </w:tr>
    </w:tbl>
    <w:p>
      <w:r>
        <w:t>Both approaches agree substantially with the geneticist. The multi-evidence approach raises specificity, precision and the ordinal agreement (weighted kappa 0.63 → 0.74, from 'substantial' towards 'strong'), at a small cost in sensitivity.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24472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p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447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Where the added value comes from (and what's missing)</w:t>
      </w:r>
    </w:p>
    <w:p>
      <w:r>
        <w:t>The key test is what multi-evidence does with the 515 variants OncoKB could not judge. The direction is the important part: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cu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Benign side (value): multi-evidence correctly de-prioritises ~182 non-actionable variants OncoKB couldn't judge. This is the real gain — less manual review noise.</w:t>
      </w:r>
    </w:p>
    <w:p>
      <w:pPr>
        <w:pStyle w:val="ListBullet"/>
      </w:pPr>
      <w:r>
        <w:t>Oncogenic side (gap): it recovers almost none of the missed actionable variants. This is faithful to the guidelines — a high REVEL score alone is only weak evidence. The strong discriminator (O4: somatic frequency from GENIE/COSMIC) is not yet in the pipeline.</w:t>
      </w:r>
    </w:p>
    <w:p>
      <w:pPr>
        <w:pStyle w:val="ListBullet"/>
      </w:pPr>
      <w:r>
        <w:t>Cost to watch: 5 variants the geneticist called oncogenic were moved to benign — these need manual review.</w:t>
      </w:r>
    </w:p>
    <w:p>
      <w:pPr>
        <w:pStyle w:val="Heading1"/>
      </w:pPr>
      <w:r>
        <w:t>5. Take-home for the team</w:t>
      </w:r>
    </w:p>
    <w:p>
      <w:pPr>
        <w:pStyle w:val="ListBullet"/>
      </w:pPr>
      <w:r>
        <w:t>SMART agrees substantially with manual classification (weighted kappa 0.63–0.74).</w:t>
      </w:r>
    </w:p>
    <w:p>
      <w:pPr>
        <w:pStyle w:val="ListBullet"/>
      </w:pPr>
      <w:r>
        <w:t>Its current strength is filtering out non-actionable variants, reducing review burden.</w:t>
      </w:r>
    </w:p>
    <w:p>
      <w:pPr>
        <w:pStyle w:val="ListBullet"/>
      </w:pPr>
      <w:r>
        <w:t>To recover missed actionable variants, the top priority is adding somatic-frequency data (GENIE/COSMIC, the SVIG-UK 'O4' code).</w:t>
      </w:r>
    </w:p>
    <w:p>
      <w:pPr>
        <w:pStyle w:val="ListBullet"/>
      </w:pPr>
      <w:r>
        <w:t>All numbers are reproducible and every per-variant call is auditable (scripts + tables in the validation_report folder).</w:t>
      </w:r>
    </w:p>
    <w:p>
      <w:r>
        <w:rPr>
          <w:i/>
          <w:color w:val="666666"/>
          <w:sz w:val="18"/>
        </w:rPr>
        <w:t>Caveat: manual (WGLS) calls are tumour-type specific while SMART/OncoKB is tumour-agnostic, so some SMART 'over-calls' are defensible. The multi-evidence classifier here is a v1 approximation, not the certified WGLS pipeline.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