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40"/>
      </w:pPr>
      <w:r>
        <w:rPr>
          <w:rFonts w:ascii="Arial" w:cs="Arial" w:eastAsia="Arial" w:hAnsi="Arial"/>
          <w:b/>
          <w:bCs/>
          <w:sz w:val="26"/>
          <w:szCs w:val="26"/>
        </w:rPr>
        <w:t xml:space="preserve">3.X Output utility</w:t>
      </w:r>
    </w:p>
    <w:p>
      <w:pPr>
        <w:spacing w:after="160"/>
      </w:pPr>
      <w:r>
        <w:rPr>
          <w:rFonts w:ascii="Arial" w:cs="Arial" w:eastAsia="Arial" w:hAnsi="Arial"/>
          <w:b w:val="false"/>
          <w:bCs w:val="false"/>
          <w:i w:val="false"/>
          <w:iCs w:val="false"/>
          <w:sz w:val="22"/>
          <w:szCs w:val="22"/>
        </w:rPr>
        <w:t xml:space="preserve">SMART produces three structured output files at the conclusion of each pipeline run, each targeting a distinct analytical use case. The composition of Tier 2 and Tier 3 is fully configurable through the user-supplied configuration file (Config.yaml), in which every annotation field is assigned an explicit tier designation (2, 3, or drop). Both subsampled files include a two-row header: the first row contains field names, and the second row provides human-readable metadata for each field, comprising a plain-language description, the originating data source, and the version or release identifier. This design enables downstream users to interpret annotation content without cross-referencing external documentation, and supports auditability by embedding provenance information directly within the output file.</w:t>
      </w:r>
    </w:p>
    <w:p>
      <w:pPr>
        <w:spacing w:after="160"/>
      </w:pPr>
      <w:r>
        <w:rPr>
          <w:rFonts w:ascii="Arial" w:cs="Arial" w:eastAsia="Arial" w:hAnsi="Arial"/>
          <w:b w:val="false"/>
          <w:bCs w:val="false"/>
          <w:i w:val="false"/>
          <w:iCs w:val="false"/>
          <w:sz w:val="22"/>
          <w:szCs w:val="22"/>
        </w:rPr>
        <w:t xml:space="preserve">Tier 1 is a complete Mutation Annotation Format (MAF) file retaining all 1,028 annotation fields generated by the pipeline. It encompasses the full set of VEP consequence fields, all OncoKB annotation fields, ClinVar, CIViC, Cancer Hotspots, SpliceAI delta scores, REVEL, LOEUF, gnomAD population frequencies, MAF-standard columns (Hugo_Symbol, Variant_Classification, HGVSp_Short, and related identifiers), and all per-sample FORMAT fields carried over from the input VCF. Tier 1 is intended for use in computational downstream analyses, including cohort-level somatic mutation profiling, integration with MAF-based analytical frameworks, and custom filtering or aggregation workflows.</w:t>
      </w:r>
    </w:p>
    <w:p>
      <w:pPr>
        <w:spacing w:after="160"/>
      </w:pPr>
      <w:r>
        <w:rPr>
          <w:rFonts w:ascii="Arial" w:cs="Arial" w:eastAsia="Arial" w:hAnsi="Arial"/>
          <w:b w:val="false"/>
          <w:bCs w:val="false"/>
          <w:i w:val="false"/>
          <w:iCs w:val="false"/>
          <w:sz w:val="22"/>
          <w:szCs w:val="22"/>
        </w:rPr>
        <w:t xml:space="preserve">Tier 2 retains 670 fields in a tab-delimited format and is designed for detailed bioinformatic review. It preserves the full annotation content of the pipeline output while excluding redundant MAF scaffolding columns, providing a technically complete view of all variant-level annotations alongside their embedded metadata. Tier 2 is the primary output for bioinformaticians performing annotation quality checks, troubleshooting transcript assignments, or extracting specific annotation layers for downstream processing.</w:t>
      </w:r>
    </w:p>
    <w:p>
      <w:pPr>
        <w:spacing w:after="160"/>
      </w:pPr>
      <w:r>
        <w:rPr>
          <w:rFonts w:ascii="Arial" w:cs="Arial" w:eastAsia="Arial" w:hAnsi="Arial"/>
          <w:b w:val="false"/>
          <w:bCs w:val="false"/>
          <w:i w:val="false"/>
          <w:iCs w:val="false"/>
          <w:sz w:val="22"/>
          <w:szCs w:val="22"/>
        </w:rPr>
        <w:t xml:space="preserve">Tier 3 is a 77-field clinically focused subset presented in the same TSV format with the two-row annotated header. Fields are selected to support direct variant interpretation in multidisciplinary team (MDT) settings, without requiring familiarity with the full annotation space. The subset includes: core variant identity fields (sample identifier, genomic coordinates, reference and alternate alleles, HGVS coding and protein notation, prioritised transcript); VEP-derived consequence and impact tier; in silico pathogenicity and splicing predictors (SpliceAI, REVEL, LOEUF, SIFT, PolyPhen); population allele frequencies from gnomAD exome and genome cohorts; ClinVar clinical significance and oncogenicity assertions; CIViC variant-level and evidence-level fields; Cancer Hotspots linear and three-dimensional annotation; OncoKB oncogenicity classification and mutation effect; and the full hierarchy of OncoKB evidence levels, including therapeutic sensitivity (Level 1–4), therapeutic resistance (R1–R3), diagnostic (Dx1–3), prognostic (Px1–3), and FDA regulatory levels. Variant allele fraction (VAF) is also included to contextualise tumour burden. Tier 3 is not intended to replace specialist review, but to provide a compact and consistently structured representation of the most clinically relevant annotations for each variant, suitable for discussion in an MDT context.</w:t>
      </w:r>
    </w:p>
    <w:p>
      <w:pPr>
        <w:spacing w:after="160"/>
      </w:pPr>
      <w:r>
        <w:rPr>
          <w:rFonts w:ascii="Arial" w:cs="Arial" w:eastAsia="Arial" w:hAnsi="Arial"/>
          <w:b w:val="false"/>
          <w:bCs w:val="false"/>
          <w:i w:val="false"/>
          <w:iCs w:val="false"/>
          <w:sz w:val="22"/>
          <w:szCs w:val="22"/>
        </w:rPr>
        <w:t xml:space="preserve">The three output tiers are summarised in Table X.</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800"/>
        <w:gridCol w:w="4526"/>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r>
              <w:rPr>
                <w:rFonts w:ascii="Arial" w:cs="Arial" w:eastAsia="Arial" w:hAnsi="Arial"/>
                <w:b/>
                <w:bCs/>
                <w:color w:val="FFFFFF"/>
                <w:sz w:val="18"/>
                <w:szCs w:val="18"/>
              </w:rPr>
              <w:t xml:space="preserve">Output tier</w:t>
            </w:r>
          </w:p>
        </w:tc>
        <w:tc>
          <w:tcPr>
            <w:tcW w:type="dxa" w:w="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r>
              <w:rPr>
                <w:rFonts w:ascii="Arial" w:cs="Arial" w:eastAsia="Arial" w:hAnsi="Arial"/>
                <w:b/>
                <w:bCs/>
                <w:color w:val="FFFFFF"/>
                <w:sz w:val="18"/>
                <w:szCs w:val="18"/>
              </w:rPr>
              <w:t xml:space="preserve">Format</w:t>
            </w:r>
          </w:p>
        </w:tc>
        <w:tc>
          <w:tcPr>
            <w:tcW w:type="dxa" w:w="9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r>
              <w:rPr>
                <w:rFonts w:ascii="Arial" w:cs="Arial" w:eastAsia="Arial" w:hAnsi="Arial"/>
                <w:b/>
                <w:bCs/>
                <w:color w:val="FFFFFF"/>
                <w:sz w:val="18"/>
                <w:szCs w:val="18"/>
              </w:rPr>
              <w:t xml:space="preserve">Fields (n)</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r>
              <w:rPr>
                <w:rFonts w:ascii="Arial" w:cs="Arial" w:eastAsia="Arial" w:hAnsi="Arial"/>
                <w:b/>
                <w:bCs/>
                <w:color w:val="FFFFFF"/>
                <w:sz w:val="18"/>
                <w:szCs w:val="18"/>
              </w:rPr>
              <w:t xml:space="preserve">Target audience</w:t>
            </w:r>
          </w:p>
        </w:tc>
        <w:tc>
          <w:tcPr>
            <w:tcW w:type="dxa" w:w="4526"/>
            <w:tcBorders>
              <w:top w:val="single" w:color="AAAAAA" w:sz="1"/>
              <w:left w:val="single" w:color="AAAAAA" w:sz="1"/>
              <w:bottom w:val="single" w:color="AAAAAA" w:sz="1"/>
              <w:right w:val="single" w:color="AAAAAA" w:sz="1"/>
            </w:tcBorders>
            <w:shd w:fill="1F4E79" w:val="clear"/>
            <w:tcMar>
              <w:top w:type="dxa" w:w="100"/>
              <w:left w:type="dxa" w:w="140"/>
              <w:bottom w:type="dxa" w:w="100"/>
              <w:right w:type="dxa" w:w="140"/>
            </w:tcMar>
            <w:vAlign w:val="center"/>
          </w:tcPr>
          <w:p>
            <w:r>
              <w:rPr>
                <w:rFonts w:ascii="Arial" w:cs="Arial" w:eastAsia="Arial" w:hAnsi="Arial"/>
                <w:b/>
                <w:bCs/>
                <w:color w:val="FFFFFF"/>
                <w:sz w:val="18"/>
                <w:szCs w:val="18"/>
              </w:rPr>
              <w:t xml:space="preserve">Key content categories</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Tier 1</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MAF</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1,028</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Computational / bioinformatics</w:t>
            </w:r>
          </w:p>
        </w:tc>
        <w:tc>
          <w:tcPr>
            <w:tcW w:type="dxa" w:w="45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All VEP consequence fields; all OncoKB fields; ClinVar; CIViC; Cancer Hotspots; SpliceAI; REVEL; LOEUF; gnomAD; MAF standard fields (Hugo_Symbol, Variant_Classification, HGVSp_Short, etc.); all caller FORMAT fields</w:t>
            </w:r>
          </w:p>
        </w:tc>
      </w:tr>
      <w:tr>
        <w:tc>
          <w:tcPr>
            <w:tcW w:type="dxa" w:w="900"/>
            <w:tcBorders>
              <w:top w:val="single" w:color="AAAAAA" w:sz="1"/>
              <w:left w:val="single" w:color="AAAAAA" w:sz="1"/>
              <w:bottom w:val="single" w:color="AAAAAA" w:sz="1"/>
              <w:right w:val="single" w:color="AAAAAA" w:sz="1"/>
            </w:tcBorders>
            <w:shd w:fill="EAF2FB" w:val="clear"/>
            <w:tcMar>
              <w:top w:type="dxa" w:w="100"/>
              <w:left w:type="dxa" w:w="140"/>
              <w:bottom w:type="dxa" w:w="100"/>
              <w:right w:type="dxa" w:w="140"/>
            </w:tcMar>
            <w:vAlign w:val="top"/>
          </w:tcPr>
          <w:p>
            <w:r>
              <w:rPr>
                <w:rFonts w:ascii="Arial" w:cs="Arial" w:eastAsia="Arial" w:hAnsi="Arial"/>
                <w:sz w:val="18"/>
                <w:szCs w:val="18"/>
              </w:rPr>
              <w:t xml:space="preserve">Tier 2</w:t>
            </w:r>
          </w:p>
        </w:tc>
        <w:tc>
          <w:tcPr>
            <w:tcW w:type="dxa" w:w="900"/>
            <w:tcBorders>
              <w:top w:val="single" w:color="AAAAAA" w:sz="1"/>
              <w:left w:val="single" w:color="AAAAAA" w:sz="1"/>
              <w:bottom w:val="single" w:color="AAAAAA" w:sz="1"/>
              <w:right w:val="single" w:color="AAAAAA" w:sz="1"/>
            </w:tcBorders>
            <w:shd w:fill="EAF2FB" w:val="clear"/>
            <w:tcMar>
              <w:top w:type="dxa" w:w="100"/>
              <w:left w:type="dxa" w:w="140"/>
              <w:bottom w:type="dxa" w:w="100"/>
              <w:right w:type="dxa" w:w="140"/>
            </w:tcMar>
            <w:vAlign w:val="top"/>
          </w:tcPr>
          <w:p>
            <w:r>
              <w:rPr>
                <w:rFonts w:ascii="Arial" w:cs="Arial" w:eastAsia="Arial" w:hAnsi="Arial"/>
                <w:sz w:val="18"/>
                <w:szCs w:val="18"/>
              </w:rPr>
              <w:t xml:space="preserve">TSV</w:t>
            </w:r>
          </w:p>
        </w:tc>
        <w:tc>
          <w:tcPr>
            <w:tcW w:type="dxa" w:w="900"/>
            <w:tcBorders>
              <w:top w:val="single" w:color="AAAAAA" w:sz="1"/>
              <w:left w:val="single" w:color="AAAAAA" w:sz="1"/>
              <w:bottom w:val="single" w:color="AAAAAA" w:sz="1"/>
              <w:right w:val="single" w:color="AAAAAA" w:sz="1"/>
            </w:tcBorders>
            <w:shd w:fill="EAF2FB" w:val="clear"/>
            <w:tcMar>
              <w:top w:type="dxa" w:w="100"/>
              <w:left w:type="dxa" w:w="140"/>
              <w:bottom w:type="dxa" w:w="100"/>
              <w:right w:type="dxa" w:w="140"/>
            </w:tcMar>
            <w:vAlign w:val="top"/>
          </w:tcPr>
          <w:p>
            <w:r>
              <w:rPr>
                <w:rFonts w:ascii="Arial" w:cs="Arial" w:eastAsia="Arial" w:hAnsi="Arial"/>
                <w:sz w:val="18"/>
                <w:szCs w:val="18"/>
              </w:rPr>
              <w:t xml:space="preserve">670</w:t>
            </w:r>
          </w:p>
        </w:tc>
        <w:tc>
          <w:tcPr>
            <w:tcW w:type="dxa" w:w="1800"/>
            <w:tcBorders>
              <w:top w:val="single" w:color="AAAAAA" w:sz="1"/>
              <w:left w:val="single" w:color="AAAAAA" w:sz="1"/>
              <w:bottom w:val="single" w:color="AAAAAA" w:sz="1"/>
              <w:right w:val="single" w:color="AAAAAA" w:sz="1"/>
            </w:tcBorders>
            <w:shd w:fill="EAF2FB" w:val="clear"/>
            <w:tcMar>
              <w:top w:type="dxa" w:w="100"/>
              <w:left w:type="dxa" w:w="140"/>
              <w:bottom w:type="dxa" w:w="100"/>
              <w:right w:type="dxa" w:w="140"/>
            </w:tcMar>
            <w:vAlign w:val="top"/>
          </w:tcPr>
          <w:p>
            <w:r>
              <w:rPr>
                <w:rFonts w:ascii="Arial" w:cs="Arial" w:eastAsia="Arial" w:hAnsi="Arial"/>
                <w:sz w:val="18"/>
                <w:szCs w:val="18"/>
              </w:rPr>
              <w:t xml:space="preserve">Bioinformaticians</w:t>
            </w:r>
          </w:p>
        </w:tc>
        <w:tc>
          <w:tcPr>
            <w:tcW w:type="dxa" w:w="4526"/>
            <w:tcBorders>
              <w:top w:val="single" w:color="AAAAAA" w:sz="1"/>
              <w:left w:val="single" w:color="AAAAAA" w:sz="1"/>
              <w:bottom w:val="single" w:color="AAAAAA" w:sz="1"/>
              <w:right w:val="single" w:color="AAAAAA" w:sz="1"/>
            </w:tcBorders>
            <w:shd w:fill="EAF2FB" w:val="clear"/>
            <w:tcMar>
              <w:top w:type="dxa" w:w="100"/>
              <w:left w:type="dxa" w:w="140"/>
              <w:bottom w:type="dxa" w:w="100"/>
              <w:right w:type="dxa" w:w="140"/>
            </w:tcMar>
            <w:vAlign w:val="top"/>
          </w:tcPr>
          <w:p>
            <w:r>
              <w:rPr>
                <w:rFonts w:ascii="Arial" w:cs="Arial" w:eastAsia="Arial" w:hAnsi="Arial"/>
                <w:sz w:val="18"/>
                <w:szCs w:val="18"/>
              </w:rPr>
              <w:t xml:space="preserve">Full annotation subset excluding redundant MAF scaffolding; two-row header (field name + description, source, version); VCF core fields; all VEP annotations; all OncoKB levels; ClinVar; CIViC; SpliceAI; REVEL; LOEUF; gnomAD; sample FORMAT data</w:t>
            </w:r>
          </w:p>
        </w:tc>
      </w:tr>
      <w:tr>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Tier 3</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TSV</w:t>
            </w:r>
          </w:p>
        </w:tc>
        <w:tc>
          <w:tcPr>
            <w:tcW w:type="dxa" w:w="9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77</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Clinical / MDT interpretation</w:t>
            </w:r>
          </w:p>
        </w:tc>
        <w:tc>
          <w:tcPr>
            <w:tcW w:type="dxa" w:w="4526"/>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top"/>
          </w:tcPr>
          <w:p>
            <w:r>
              <w:rPr>
                <w:rFonts w:ascii="Arial" w:cs="Arial" w:eastAsia="Arial" w:hAnsi="Arial"/>
                <w:sz w:val="18"/>
                <w:szCs w:val="18"/>
              </w:rPr>
              <w:t xml:space="preserve">Core variant identity (sample, coordinates, HGVS, transcript); VEP consequence and impact; in silico predictors (SpliceAI, REVEL, LOEUF, SIFT, PolyPhen); population frequencies (gnomAD exome/genome); ClinVar significance; CIViC evidence; Cancer Hotspots; OncoKB oncogenicity, mutation effect, and therapeutic/diagnostic/prognostic levels (L1–L4, R1–R3, Dx1–3, Px1–3, FDA); VAF</w:t>
            </w:r>
          </w:p>
        </w:tc>
      </w:tr>
    </w:tbl>
    <w:p>
      <w:pPr>
        <w:spacing w:after="200" w:before="120"/>
      </w:pPr>
      <w:r>
        <w:rPr>
          <w:rFonts w:ascii="Arial" w:cs="Arial" w:eastAsia="Arial" w:hAnsi="Arial"/>
          <w:i/>
          <w:iCs/>
          <w:sz w:val="18"/>
          <w:szCs w:val="18"/>
        </w:rPr>
        <w:t xml:space="preserve">Table X | Summary of SMART output tiers. Fields (n) denotes the number of annotation columns retained in each output file. MAF, Mutation Annotation Format; TSV, tab-separated values; VEP, Variant Effect Predictor; MDT, multidisciplinary team; VAF, variant allele fraction.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2026-05-02T18:48:49.009Z</dcterms:created>
  <dcterms:modified xsi:type="dcterms:W3CDTF">2026-05-02T18:48:49.009Z</dcterms:modified>
</cp:coreProperties>
</file>

<file path=docProps/custom.xml><?xml version="1.0" encoding="utf-8"?>
<Properties xmlns="http://schemas.openxmlformats.org/officeDocument/2006/custom-properties" xmlns:vt="http://schemas.openxmlformats.org/officeDocument/2006/docPropsVTypes"/>
</file>