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40"/>
      </w:pPr>
      <w:r>
        <w:rPr>
          <w:rFonts w:ascii="Arial" w:cs="Arial" w:eastAsia="Arial" w:hAnsi="Arial"/>
          <w:b/>
          <w:bCs/>
          <w:sz w:val="24"/>
          <w:szCs w:val="24"/>
        </w:rPr>
        <w:t xml:space="preserve">3.1.2 Transcript prioritisation impact</w:t>
      </w:r>
    </w:p>
    <w:p>
      <w:pPr>
        <w:spacing w:after="160"/>
      </w:pPr>
      <w:r>
        <w:rPr>
          <w:rFonts w:ascii="Arial" w:cs="Arial" w:eastAsia="Arial" w:hAnsi="Arial"/>
          <w:sz w:val="22"/>
          <w:szCs w:val="22"/>
        </w:rPr>
        <w:t xml:space="preserve">To demonstrate that transcript selection has direct and reproducible consequences on clinical annotation, the pipeline was executed twice on an identical input VCF using two distinct transcript configurations: a set of clinically curated preferred transcripts (set A) and a set of biologically plausible but non-preferred alternatives (set B). Across three representative variants, the choice of transcript determined protein consequence, OncoKB oncogenicity classification, and the presence or absence of therapeutic and prognostic evidence levels (Table 2). Because downstream knowledgebase queries are driven by the protein change or gene identifier submitted, use of alternative transcripts caused clinically actionable variants to be presented to OncoKB under unrecognised alterations or under the wrong gene entirely, abrogating all therapeutic and diagnostic annotations.</w:t>
      </w:r>
    </w:p>
    <w:p>
      <w:pPr>
        <w:spacing w:after="200"/>
      </w:pP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4000"/>
        <w:gridCol w:w="2100"/>
        <w:gridCol w:w="3758"/>
      </w:tblGrid>
      <w:tr>
        <w:trPr>
          <w:tblHeader/>
        </w:trPr>
        <w:tc>
          <w:tcPr>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Variant</w:t>
            </w:r>
          </w:p>
        </w:tc>
        <w:tc>
          <w:tcPr>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Transcript
(set A)</w:t>
            </w:r>
          </w:p>
        </w:tc>
        <w:tc>
          <w:tcPr>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OncoKB annotation — set A</w:t>
            </w:r>
          </w:p>
        </w:tc>
        <w:tc>
          <w:tcPr>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Transcript
(set B)</w:t>
            </w:r>
          </w:p>
        </w:tc>
        <w:tc>
          <w:tcPr>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OncoKB annotation — set B</w:t>
            </w:r>
          </w:p>
        </w:tc>
      </w:tr>
      <w:tr>
        <w:tc>
          <w:tcPr>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vAlign w:val="top"/>
          </w:tcPr>
          <w:p>
            <w:r>
              <w:rPr>
                <w:rFonts w:ascii="Arial" w:cs="Arial" w:eastAsia="Arial" w:hAnsi="Arial"/>
                <w:b/>
                <w:bCs/>
                <w:sz w:val="16"/>
                <w:szCs w:val="16"/>
              </w:rPr>
              <w:t xml:space="preserve">EGFR L858R</w:t>
            </w:r>
            <w:r>
              <w:rPr>
                <w:rFonts w:ascii="Arial" w:cs="Arial" w:eastAsia="Arial" w:hAnsi="Arial"/>
                <w:b w:val="false"/>
                <w:bCs w:val="false"/>
                <w:sz w:val="16"/>
                <w:szCs w:val="16"/>
              </w:rPr>
              <w:t xml:space="preserve">
chr7:55,191,822 T&gt;G
(SNV)</w:t>
            </w:r>
          </w:p>
        </w:tc>
        <w:tc>
          <w:tcPr>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vAlign w:val="top"/>
          </w:tcPr>
          <w:p>
            <w:r>
              <w:rPr>
                <w:rFonts w:ascii="Arial" w:cs="Arial" w:eastAsia="Arial" w:hAnsi="Arial"/>
                <w:b/>
                <w:bCs/>
                <w:sz w:val="16"/>
                <w:szCs w:val="16"/>
              </w:rPr>
              <w:t xml:space="preserve">NM_005228.5</w:t>
            </w:r>
            <w:r>
              <w:rPr>
                <w:rFonts w:ascii="Arial" w:cs="Arial" w:eastAsia="Arial" w:hAnsi="Arial"/>
                <w:b w:val="false"/>
                <w:bCs w:val="false"/>
                <w:sz w:val="16"/>
                <w:szCs w:val="16"/>
              </w:rPr>
              <w:t xml:space="preserve">
(MANE Select)</w:t>
            </w:r>
          </w:p>
        </w:tc>
        <w:tc>
          <w:tcPr>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vAlign w:val="top"/>
          </w:tcPr>
          <w:p>
            <w:r>
              <w:rPr>
                <w:rFonts w:ascii="Arial" w:cs="Arial" w:eastAsia="Arial" w:hAnsi="Arial"/>
                <w:b/>
                <w:bCs/>
                <w:sz w:val="16"/>
                <w:szCs w:val="16"/>
              </w:rPr>
              <w:t xml:space="preserve">p.Leu858Arg</w:t>
            </w:r>
            <w:r>
              <w:rPr>
                <w:rFonts w:ascii="Arial" w:cs="Arial" w:eastAsia="Arial" w:hAnsi="Arial"/>
                <w:b w:val="false"/>
                <w:bCs w:val="false"/>
                <w:sz w:val="16"/>
                <w:szCs w:val="16"/>
              </w:rPr>
              <w:t xml:space="preserve">  |  Oncogenic
Gain-of-function  |  Hotspot: TRUE
</w:t>
            </w:r>
            <w:r>
              <w:rPr>
                <w:rFonts w:ascii="Arial" w:cs="Arial" w:eastAsia="Arial" w:hAnsi="Arial"/>
                <w:b/>
                <w:bCs/>
                <w:sz w:val="16"/>
                <w:szCs w:val="16"/>
              </w:rPr>
              <w:t xml:space="preserve">LEVEL_1</w:t>
            </w:r>
            <w:r>
              <w:rPr>
                <w:rFonts w:ascii="Arial" w:cs="Arial" w:eastAsia="Arial" w:hAnsi="Arial"/>
                <w:b w:val="false"/>
                <w:bCs w:val="false"/>
                <w:sz w:val="16"/>
                <w:szCs w:val="16"/>
              </w:rPr>
              <w:t xml:space="preserve"> (afatinib, osimertinib, gefitinib,
dacomitinib + 6 further agents; NSCLC)
</w:t>
            </w:r>
            <w:r>
              <w:rPr>
                <w:rFonts w:ascii="Arial" w:cs="Arial" w:eastAsia="Arial" w:hAnsi="Arial"/>
                <w:b w:val="false"/>
                <w:bCs w:val="false"/>
                <w:sz w:val="16"/>
                <w:szCs w:val="16"/>
              </w:rPr>
              <w:t xml:space="preserve">VARIANT_IN_ONCOKB: TRUE</w:t>
            </w:r>
          </w:p>
        </w:tc>
        <w:tc>
          <w:tcPr>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vAlign w:val="top"/>
          </w:tcPr>
          <w:p>
            <w:r>
              <w:rPr>
                <w:rFonts w:ascii="Arial" w:cs="Arial" w:eastAsia="Arial" w:hAnsi="Arial"/>
                <w:b/>
                <w:bCs/>
                <w:sz w:val="16"/>
                <w:szCs w:val="16"/>
              </w:rPr>
              <w:t xml:space="preserve">NM_001346897.2</w:t>
            </w:r>
            <w:r>
              <w:rPr>
                <w:rFonts w:ascii="Arial" w:cs="Arial" w:eastAsia="Arial" w:hAnsi="Arial"/>
                <w:b w:val="false"/>
                <w:bCs w:val="false"/>
                <w:sz w:val="16"/>
                <w:szCs w:val="16"/>
              </w:rPr>
              <w:t xml:space="preserve">
(alternative isoform)</w:t>
            </w:r>
          </w:p>
        </w:tc>
        <w:tc>
          <w:tcPr>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vAlign w:val="top"/>
          </w:tcPr>
          <w:p>
            <w:r>
              <w:rPr>
                <w:rFonts w:ascii="Arial" w:cs="Arial" w:eastAsia="Arial" w:hAnsi="Arial"/>
                <w:b/>
                <w:bCs/>
                <w:sz w:val="16"/>
                <w:szCs w:val="16"/>
              </w:rPr>
              <w:t xml:space="preserve">p.Leu813Arg</w:t>
            </w:r>
            <w:r>
              <w:rPr>
                <w:rFonts w:ascii="Arial" w:cs="Arial" w:eastAsia="Arial" w:hAnsi="Arial"/>
                <w:b w:val="false"/>
                <w:bCs w:val="false"/>
                <w:sz w:val="16"/>
                <w:szCs w:val="16"/>
              </w:rPr>
              <w:t xml:space="preserve">  |  </w:t>
            </w:r>
            <w:r>
              <w:rPr>
                <w:rFonts w:ascii="Arial" w:cs="Arial" w:eastAsia="Arial" w:hAnsi="Arial"/>
                <w:b/>
                <w:bCs/>
                <w:sz w:val="16"/>
                <w:szCs w:val="16"/>
              </w:rPr>
              <w:t xml:space="preserve">Unknown</w:t>
            </w:r>
            <w:r>
              <w:rPr>
                <w:rFonts w:ascii="Arial" w:cs="Arial" w:eastAsia="Arial" w:hAnsi="Arial"/>
                <w:b w:val="false"/>
                <w:bCs w:val="false"/>
                <w:sz w:val="16"/>
                <w:szCs w:val="16"/>
              </w:rPr>
              <w:t xml:space="preserve">
No therapeutic level
Hotspot: FALSE
VARIANT_IN_ONCOKB: FALSE</w:t>
            </w:r>
          </w:p>
        </w:tc>
      </w:tr>
      <w:tr>
        <w:tc>
          <w:tcPr>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TP53 R175H</w:t>
            </w:r>
            <w:r>
              <w:rPr>
                <w:rFonts w:ascii="Arial" w:cs="Arial" w:eastAsia="Arial" w:hAnsi="Arial"/>
                <w:b w:val="false"/>
                <w:bCs w:val="false"/>
                <w:sz w:val="16"/>
                <w:szCs w:val="16"/>
              </w:rPr>
              <w:t xml:space="preserve">
chr17:7,675,088 C&gt;T
(SNV)</w:t>
            </w:r>
          </w:p>
        </w:tc>
        <w:tc>
          <w:tcPr>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NM_000546.6</w:t>
            </w:r>
            <w:r>
              <w:rPr>
                <w:rFonts w:ascii="Arial" w:cs="Arial" w:eastAsia="Arial" w:hAnsi="Arial"/>
                <w:b w:val="false"/>
                <w:bCs w:val="false"/>
                <w:sz w:val="16"/>
                <w:szCs w:val="16"/>
              </w:rPr>
              <w:t xml:space="preserve">
(MANE Select)</w:t>
            </w:r>
          </w:p>
        </w:tc>
        <w:tc>
          <w:tcPr>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p.Arg175His</w:t>
            </w:r>
            <w:r>
              <w:rPr>
                <w:rFonts w:ascii="Arial" w:cs="Arial" w:eastAsia="Arial" w:hAnsi="Arial"/>
                <w:b w:val="false"/>
                <w:bCs w:val="false"/>
                <w:sz w:val="16"/>
                <w:szCs w:val="16"/>
              </w:rPr>
              <w:t xml:space="preserve">  |  Oncogenic
Loss-of-function  |  Hotspot: TRUE
</w:t>
            </w:r>
            <w:r>
              <w:rPr>
                <w:rFonts w:ascii="Arial" w:cs="Arial" w:eastAsia="Arial" w:hAnsi="Arial"/>
                <w:b/>
                <w:bCs/>
                <w:sz w:val="16"/>
                <w:szCs w:val="16"/>
              </w:rPr>
              <w:t xml:space="preserve">LEVEL_Px1</w:t>
            </w:r>
            <w:r>
              <w:rPr>
                <w:rFonts w:ascii="Arial" w:cs="Arial" w:eastAsia="Arial" w:hAnsi="Arial"/>
                <w:b w:val="false"/>
                <w:bCs w:val="false"/>
                <w:sz w:val="16"/>
                <w:szCs w:val="16"/>
              </w:rPr>
              <w:t xml:space="preserve"> (AML, MDS, CLL/SLL, MPN, PMF, TMN,
AML-MRC, ET)
</w:t>
            </w:r>
            <w:r>
              <w:rPr>
                <w:rFonts w:ascii="Arial" w:cs="Arial" w:eastAsia="Arial" w:hAnsi="Arial"/>
                <w:b/>
                <w:bCs/>
                <w:sz w:val="16"/>
                <w:szCs w:val="16"/>
              </w:rPr>
              <w:t xml:space="preserve">LEVEL_Px3</w:t>
            </w:r>
            <w:r>
              <w:rPr>
                <w:rFonts w:ascii="Arial" w:cs="Arial" w:eastAsia="Arial" w:hAnsi="Arial"/>
                <w:b w:val="false"/>
                <w:bCs w:val="false"/>
                <w:sz w:val="16"/>
                <w:szCs w:val="16"/>
              </w:rPr>
              <w:t xml:space="preserve"> (MCL)
VARIANT_IN_ONCOKB: TRUE</w:t>
            </w:r>
          </w:p>
        </w:tc>
        <w:tc>
          <w:tcPr>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NM_001126115.2</w:t>
            </w:r>
            <w:r>
              <w:rPr>
                <w:rFonts w:ascii="Arial" w:cs="Arial" w:eastAsia="Arial" w:hAnsi="Arial"/>
                <w:b w:val="false"/>
                <w:bCs w:val="false"/>
                <w:sz w:val="16"/>
                <w:szCs w:val="16"/>
              </w:rPr>
              <w:t xml:space="preserve">
(short isoform, Δexon 1–3)</w:t>
            </w:r>
          </w:p>
        </w:tc>
        <w:tc>
          <w:tcPr>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b/>
                <w:bCs/>
                <w:sz w:val="16"/>
                <w:szCs w:val="16"/>
              </w:rPr>
              <w:t xml:space="preserve">p.Arg43His</w:t>
            </w:r>
            <w:r>
              <w:rPr>
                <w:rFonts w:ascii="Arial" w:cs="Arial" w:eastAsia="Arial" w:hAnsi="Arial"/>
                <w:b w:val="false"/>
                <w:bCs w:val="false"/>
                <w:sz w:val="16"/>
                <w:szCs w:val="16"/>
              </w:rPr>
              <w:t xml:space="preserve">  |  </w:t>
            </w:r>
            <w:r>
              <w:rPr>
                <w:rFonts w:ascii="Arial" w:cs="Arial" w:eastAsia="Arial" w:hAnsi="Arial"/>
                <w:b/>
                <w:bCs/>
                <w:sz w:val="16"/>
                <w:szCs w:val="16"/>
              </w:rPr>
              <w:t xml:space="preserve">Unknown</w:t>
            </w:r>
            <w:r>
              <w:rPr>
                <w:rFonts w:ascii="Arial" w:cs="Arial" w:eastAsia="Arial" w:hAnsi="Arial"/>
                <w:b w:val="false"/>
                <w:bCs w:val="false"/>
                <w:sz w:val="16"/>
                <w:szCs w:val="16"/>
              </w:rPr>
              <w:t xml:space="preserve">
No prognostic level
Hotspot: FALSE
VARIANT_IN_ONCOKB: FALSE</w:t>
            </w:r>
          </w:p>
        </w:tc>
      </w:tr>
      <w:tr>
        <w:tc>
          <w:tcPr>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vAlign w:val="top"/>
          </w:tcPr>
          <w:p>
            <w:r>
              <w:rPr>
                <w:rFonts w:ascii="Arial" w:cs="Arial" w:eastAsia="Arial" w:hAnsi="Arial"/>
                <w:b/>
                <w:bCs/>
                <w:sz w:val="16"/>
                <w:szCs w:val="16"/>
              </w:rPr>
              <w:t xml:space="preserve">chr9 DEL</w:t>
            </w:r>
            <w:r>
              <w:rPr>
                <w:rFonts w:ascii="Arial" w:cs="Arial" w:eastAsia="Arial" w:hAnsi="Arial"/>
                <w:b w:val="false"/>
                <w:bCs w:val="false"/>
                <w:sz w:val="16"/>
                <w:szCs w:val="16"/>
              </w:rPr>
              <w:t xml:space="preserve">
chr9:21,990,000–
22,005,000
(structural)</w:t>
            </w:r>
          </w:p>
        </w:tc>
        <w:tc>
          <w:tcPr>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vAlign w:val="top"/>
          </w:tcPr>
          <w:p>
            <w:r>
              <w:rPr>
                <w:rFonts w:ascii="Arial" w:cs="Arial" w:eastAsia="Arial" w:hAnsi="Arial"/>
                <w:b/>
                <w:bCs/>
                <w:sz w:val="16"/>
                <w:szCs w:val="16"/>
              </w:rPr>
              <w:t xml:space="preserve">NM_058195.4</w:t>
            </w:r>
            <w:r>
              <w:rPr>
                <w:rFonts w:ascii="Arial" w:cs="Arial" w:eastAsia="Arial" w:hAnsi="Arial"/>
                <w:b w:val="false"/>
                <w:bCs w:val="false"/>
                <w:sz w:val="16"/>
                <w:szCs w:val="16"/>
              </w:rPr>
              <w:t xml:space="preserve">
(MANE Plus Clinical;
CDKN2A p14ARF)</w:t>
            </w:r>
          </w:p>
        </w:tc>
        <w:tc>
          <w:tcPr>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vAlign w:val="top"/>
          </w:tcPr>
          <w:p>
            <w:r>
              <w:rPr>
                <w:rFonts w:ascii="Arial" w:cs="Arial" w:eastAsia="Arial" w:hAnsi="Arial"/>
                <w:b/>
                <w:bCs/>
                <w:sz w:val="16"/>
                <w:szCs w:val="16"/>
              </w:rPr>
              <w:t xml:space="preserve">Gene: CDKN2A</w:t>
            </w:r>
            <w:r>
              <w:rPr>
                <w:rFonts w:ascii="Arial" w:cs="Arial" w:eastAsia="Arial" w:hAnsi="Arial"/>
                <w:b w:val="false"/>
                <w:bCs w:val="false"/>
                <w:sz w:val="16"/>
                <w:szCs w:val="16"/>
              </w:rPr>
              <w:t xml:space="preserve">  |  Oncogenic
Loss-of-function
</w:t>
            </w:r>
            <w:r>
              <w:rPr>
                <w:rFonts w:ascii="Arial" w:cs="Arial" w:eastAsia="Arial" w:hAnsi="Arial"/>
                <w:b/>
                <w:bCs/>
                <w:sz w:val="16"/>
                <w:szCs w:val="16"/>
              </w:rPr>
              <w:t xml:space="preserve">LEVEL_4</w:t>
            </w:r>
            <w:r>
              <w:rPr>
                <w:rFonts w:ascii="Arial" w:cs="Arial" w:eastAsia="Arial" w:hAnsi="Arial"/>
                <w:b w:val="false"/>
                <w:bCs w:val="false"/>
                <w:sz w:val="16"/>
                <w:szCs w:val="16"/>
              </w:rPr>
              <w:t xml:space="preserve"> (palbociclib, ribociclib,
abemaciclib; all solid tumours)
</w:t>
            </w:r>
            <w:r>
              <w:rPr>
                <w:rFonts w:ascii="Arial" w:cs="Arial" w:eastAsia="Arial" w:hAnsi="Arial"/>
                <w:b/>
                <w:bCs/>
                <w:sz w:val="16"/>
                <w:szCs w:val="16"/>
              </w:rPr>
              <w:t xml:space="preserve">LEVEL_Dx2</w:t>
            </w:r>
            <w:r>
              <w:rPr>
                <w:rFonts w:ascii="Arial" w:cs="Arial" w:eastAsia="Arial" w:hAnsi="Arial"/>
                <w:b w:val="false"/>
                <w:bCs w:val="false"/>
                <w:sz w:val="16"/>
                <w:szCs w:val="16"/>
              </w:rPr>
              <w:t xml:space="preserve"> (AML/BCR-ABL1, B-ALL, T-ALL)
</w:t>
            </w:r>
            <w:r>
              <w:rPr>
                <w:rFonts w:ascii="Arial" w:cs="Arial" w:eastAsia="Arial" w:hAnsi="Arial"/>
                <w:b w:val="false"/>
                <w:bCs w:val="false"/>
                <w:sz w:val="16"/>
                <w:szCs w:val="16"/>
              </w:rPr>
              <w:t xml:space="preserve">ONCOKB_FDA_LVL: LEVEL_Fda3</w:t>
            </w:r>
          </w:p>
        </w:tc>
        <w:tc>
          <w:tcPr>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vAlign w:val="top"/>
          </w:tcPr>
          <w:p>
            <w:r>
              <w:rPr>
                <w:rFonts w:ascii="Arial" w:cs="Arial" w:eastAsia="Arial" w:hAnsi="Arial"/>
                <w:b/>
                <w:bCs/>
                <w:sz w:val="16"/>
                <w:szCs w:val="16"/>
              </w:rPr>
              <w:t xml:space="preserve">NM_004936.4</w:t>
            </w:r>
            <w:r>
              <w:rPr>
                <w:rFonts w:ascii="Arial" w:cs="Arial" w:eastAsia="Arial" w:hAnsi="Arial"/>
                <w:b w:val="false"/>
                <w:bCs w:val="false"/>
                <w:sz w:val="16"/>
                <w:szCs w:val="16"/>
              </w:rPr>
              <w:t xml:space="preserve">
(MANE Select;
CDKN2B)</w:t>
            </w:r>
          </w:p>
        </w:tc>
        <w:tc>
          <w:tcPr>
            <w:tcBorders>
              <w:top w:val="single" w:color="BDD7EE" w:sz="1"/>
              <w:left w:val="single" w:color="BDD7EE" w:sz="1"/>
              <w:bottom w:val="single" w:color="BDD7EE" w:sz="1"/>
              <w:right w:val="single" w:color="BDD7EE" w:sz="1"/>
            </w:tcBorders>
            <w:shd w:fill="F2F7FC" w:val="clear"/>
            <w:tcMar>
              <w:top w:type="dxa" w:w="80"/>
              <w:left w:type="dxa" w:w="120"/>
              <w:bottom w:type="dxa" w:w="80"/>
              <w:right w:type="dxa" w:w="120"/>
            </w:tcMar>
            <w:vAlign w:val="top"/>
          </w:tcPr>
          <w:p>
            <w:r>
              <w:rPr>
                <w:rFonts w:ascii="Arial" w:cs="Arial" w:eastAsia="Arial" w:hAnsi="Arial"/>
                <w:b/>
                <w:bCs/>
                <w:sz w:val="16"/>
                <w:szCs w:val="16"/>
              </w:rPr>
              <w:t xml:space="preserve">Gene: CDKN2B</w:t>
            </w:r>
            <w:r>
              <w:rPr>
                <w:rFonts w:ascii="Arial" w:cs="Arial" w:eastAsia="Arial" w:hAnsi="Arial"/>
                <w:b w:val="false"/>
                <w:bCs w:val="false"/>
                <w:sz w:val="16"/>
                <w:szCs w:val="16"/>
              </w:rPr>
              <w:t xml:space="preserve">  |  Oncogenic
Loss-of-function
</w:t>
            </w:r>
            <w:r>
              <w:rPr>
                <w:rFonts w:ascii="Arial" w:cs="Arial" w:eastAsia="Arial" w:hAnsi="Arial"/>
                <w:b w:val="false"/>
                <w:bCs w:val="false"/>
                <w:sz w:val="16"/>
                <w:szCs w:val="16"/>
              </w:rPr>
              <w:t xml:space="preserve">No SENS level (LEVEL_4 absent)
No DIAG level (LEVEL_Dx2 absent)
No FDA level</w:t>
            </w:r>
          </w:p>
        </w:tc>
      </w:tr>
    </w:tbl>
    <w:p>
      <w:pPr>
        <w:spacing w:after="80" w:before="160"/>
      </w:pPr>
    </w:p>
    <w:p>
      <w:pPr>
        <w:spacing w:after="100"/>
      </w:pPr>
      <w:r>
        <w:rPr>
          <w:rFonts w:ascii="Arial" w:cs="Arial" w:eastAsia="Arial" w:hAnsi="Arial"/>
          <w:sz w:val="20"/>
          <w:szCs w:val="20"/>
        </w:rPr>
        <w:t xml:space="preserve">Table 2 | Transcript prioritisation determines clinical annotation across three representative variants. For each variant the pipeline was run with a clinically curated preferred transcript (set A) and a non-preferred alternative (set B). Columns show the transcript used, the resulting protein consequence or affected gene, and the key OncoKB fields that differ between runs. LEVEL_1, FDA-approved therapeutic evidence (NSCLC); LEVEL_4, preclinical/clinical evidence for CDK4/6 inhibitor sensitivity; LEVEL_Dx2, diagnostic implication; LEVEL_Fda3, FDA-recognised evidence; LEVEL_Px1/Px3, prognostic implication levels. AML, acute myeloid leukaemia; CLL, chronic lymphocytic leukaemia; MCL, mantle cell lymphoma; MDS, myelodysplastic syndrome; MPN, myeloproliferative neoplasm; NSCLC, non-small cell lung cancer.</w:t>
      </w:r>
    </w:p>
    <w:sectPr>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2026-04-16T13:14:23.556Z</dcterms:created>
  <dcterms:modified xsi:type="dcterms:W3CDTF">2026-04-16T13:14:23.556Z</dcterms:modified>
</cp:coreProperties>
</file>

<file path=docProps/custom.xml><?xml version="1.0" encoding="utf-8"?>
<Properties xmlns="http://schemas.openxmlformats.org/officeDocument/2006/custom-properties" xmlns:vt="http://schemas.openxmlformats.org/officeDocument/2006/docPropsVTypes"/>
</file>