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618E81C0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6A6B7AA6" w14:textId="77777777" w:rsidR="004F1BB3" w:rsidRPr="004F1BB3" w:rsidRDefault="004F1BB3" w:rsidP="00411635">
            <w:pPr>
              <w:rPr>
                <w:sz w:val="32"/>
                <w:szCs w:val="32"/>
              </w:rPr>
            </w:pPr>
            <w:r w:rsidRPr="004F1BB3">
              <w:rPr>
                <w:rFonts w:hint="eastAsia"/>
                <w:sz w:val="32"/>
                <w:szCs w:val="32"/>
              </w:rPr>
              <w:t>1.熟悉低频信号发生器、脉冲信号发生器的布局，各旋钮、开关的作用及其使用方法。</w:t>
            </w:r>
          </w:p>
          <w:p w14:paraId="23E42D6D" w14:textId="77777777" w:rsidR="004F1BB3" w:rsidRPr="004F1BB3" w:rsidRDefault="004F1BB3" w:rsidP="00411635">
            <w:pPr>
              <w:rPr>
                <w:sz w:val="32"/>
                <w:szCs w:val="32"/>
              </w:rPr>
            </w:pPr>
            <w:r w:rsidRPr="004F1BB3">
              <w:rPr>
                <w:rFonts w:hint="eastAsia"/>
                <w:sz w:val="32"/>
                <w:szCs w:val="32"/>
              </w:rPr>
              <w:t>2.初步掌握用示波器观察电信号波形，定量测出正弦信号和脉冲信号的波形参数。</w:t>
            </w:r>
          </w:p>
          <w:p w14:paraId="5DC9F605" w14:textId="77777777" w:rsidR="004F1BB3" w:rsidRPr="004F1BB3" w:rsidRDefault="004F1BB3" w:rsidP="00411635">
            <w:pPr>
              <w:rPr>
                <w:sz w:val="32"/>
                <w:szCs w:val="32"/>
              </w:rPr>
            </w:pPr>
            <w:r w:rsidRPr="004F1BB3">
              <w:rPr>
                <w:rFonts w:hint="eastAsia"/>
                <w:sz w:val="32"/>
                <w:szCs w:val="32"/>
              </w:rPr>
              <w:t>3.初步掌握示波器、信号发生器的使用。</w:t>
            </w:r>
          </w:p>
          <w:p w14:paraId="12BC6619" w14:textId="77777777" w:rsidR="004F1BB3" w:rsidRDefault="004F1BB3" w:rsidP="00411635">
            <w:pPr>
              <w:rPr>
                <w:sz w:val="32"/>
                <w:szCs w:val="32"/>
              </w:rPr>
            </w:pPr>
            <w:r w:rsidRPr="004F1BB3">
              <w:rPr>
                <w:rFonts w:hint="eastAsia"/>
                <w:sz w:val="32"/>
                <w:szCs w:val="32"/>
              </w:rPr>
              <w:t>4.根据所学知识，研究一阶电路的零输入响应、零状态响应和全响应的基本规律和特点。</w:t>
            </w:r>
          </w:p>
          <w:p w14:paraId="63A3C1E5" w14:textId="77777777" w:rsidR="004F1BB3" w:rsidRDefault="004F1BB3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5.学习时间常数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τ</w:t>
            </w:r>
            <w:r>
              <w:rPr>
                <w:rFonts w:hint="eastAsia"/>
                <w:sz w:val="32"/>
                <w:szCs w:val="32"/>
              </w:rPr>
              <w:t>的测量。</w:t>
            </w:r>
          </w:p>
          <w:p w14:paraId="754CDA90" w14:textId="79D9E22A" w:rsidR="004F1BB3" w:rsidRPr="003216BD" w:rsidRDefault="004F1BB3" w:rsidP="0041163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6.学习微分电路、积分电路的搭建及其原理，并进一步学习示波器的用法。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74E72956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5787FA3" w14:textId="77777777" w:rsidR="004F1BB3" w:rsidRDefault="004F1BB3" w:rsidP="004F1BB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示波器是一种电子仪器，可以测量电信号的波形并可以通过调参来显示出不同的电信号图像。对于普通的正弦波来讲，满足U</w:t>
            </w:r>
            <w:r>
              <w:rPr>
                <w:sz w:val="32"/>
                <w:szCs w:val="32"/>
              </w:rPr>
              <w:softHyphen/>
              <w:t>=U</w:t>
            </w:r>
            <w:r>
              <w:rPr>
                <w:sz w:val="32"/>
                <w:szCs w:val="32"/>
                <w:vertAlign w:val="subscript"/>
              </w:rPr>
              <w:t>m</w:t>
            </w:r>
            <w:r>
              <w:rPr>
                <w:sz w:val="32"/>
                <w:szCs w:val="32"/>
              </w:rPr>
              <w:t>sin(</w:t>
            </w:r>
            <w:r>
              <w:rPr>
                <w:rFonts w:hint="eastAsia"/>
                <w:sz w:val="32"/>
                <w:szCs w:val="32"/>
              </w:rPr>
              <w:t>ωt</w:t>
            </w:r>
            <w:r>
              <w:rPr>
                <w:sz w:val="32"/>
                <w:szCs w:val="32"/>
              </w:rPr>
              <w:t>+</w:t>
            </w:r>
            <w:r>
              <w:rPr>
                <w:rFonts w:hint="eastAsia"/>
                <w:sz w:val="32"/>
                <w:szCs w:val="32"/>
              </w:rPr>
              <w:t>φ)，而对于脉冲信号来讲，则满足有幅值U</w:t>
            </w:r>
            <w:r>
              <w:rPr>
                <w:sz w:val="32"/>
                <w:szCs w:val="32"/>
                <w:vertAlign w:val="subscript"/>
              </w:rPr>
              <w:t>m</w:t>
            </w:r>
            <w:r>
              <w:rPr>
                <w:rFonts w:hint="eastAsia"/>
                <w:sz w:val="32"/>
                <w:szCs w:val="32"/>
              </w:rPr>
              <w:t>、脉冲重复周期T和脉宽t</w:t>
            </w:r>
            <w:r>
              <w:rPr>
                <w:sz w:val="32"/>
                <w:szCs w:val="32"/>
                <w:vertAlign w:val="subscript"/>
              </w:rPr>
              <w:t>k</w:t>
            </w:r>
            <w:r>
              <w:rPr>
                <w:rFonts w:hint="eastAsia"/>
                <w:sz w:val="32"/>
                <w:szCs w:val="32"/>
              </w:rPr>
              <w:t>。而一阶微分电路来说，满足I</w:t>
            </w:r>
            <w:r>
              <w:rPr>
                <w:sz w:val="32"/>
                <w:szCs w:val="32"/>
              </w:rPr>
              <w:t>=I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  <w:vertAlign w:val="superscript"/>
              </w:rPr>
              <w:t>-</w:t>
            </w:r>
            <w:r>
              <w:rPr>
                <w:rFonts w:eastAsiaTheme="minorHAnsi"/>
                <w:sz w:val="32"/>
                <w:szCs w:val="32"/>
                <w:vertAlign w:val="superscript"/>
              </w:rPr>
              <w:t>τ</w:t>
            </w:r>
            <w:r>
              <w:rPr>
                <w:sz w:val="32"/>
                <w:szCs w:val="32"/>
                <w:vertAlign w:val="superscript"/>
              </w:rPr>
              <w:t>t</w:t>
            </w:r>
            <w:r>
              <w:rPr>
                <w:rFonts w:hint="eastAsia"/>
                <w:sz w:val="32"/>
                <w:szCs w:val="32"/>
              </w:rPr>
              <w:t>，大约在5τ之后，电路电流近似为0。而在R</w:t>
            </w: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电路中，τ=</w:t>
            </w:r>
            <w:r>
              <w:rPr>
                <w:sz w:val="32"/>
                <w:szCs w:val="32"/>
              </w:rPr>
              <w:t>RC</w:t>
            </w:r>
            <w:r>
              <w:rPr>
                <w:rFonts w:hint="eastAsia"/>
                <w:sz w:val="32"/>
                <w:szCs w:val="32"/>
              </w:rPr>
              <w:t>。R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电路中，τ=</w:t>
            </w:r>
            <w:r>
              <w:rPr>
                <w:sz w:val="32"/>
                <w:szCs w:val="32"/>
              </w:rPr>
              <w:t>L/R</w:t>
            </w:r>
            <w:r>
              <w:rPr>
                <w:rFonts w:hint="eastAsia"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>GL</w:t>
            </w:r>
          </w:p>
          <w:p w14:paraId="65BF8D11" w14:textId="200817F9" w:rsidR="00766607" w:rsidRPr="00766607" w:rsidRDefault="00766607" w:rsidP="004F1BB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如果输入的是方波信号，则对于微分电路来说，当τ远小于脉冲宽度t</w:t>
            </w:r>
            <w:r>
              <w:rPr>
                <w:sz w:val="32"/>
                <w:szCs w:val="32"/>
                <w:vertAlign w:val="subscript"/>
              </w:rPr>
              <w:t>k</w:t>
            </w:r>
            <w:r>
              <w:rPr>
                <w:rFonts w:hint="eastAsia"/>
                <w:sz w:val="32"/>
                <w:szCs w:val="32"/>
              </w:rPr>
              <w:t>时（一般t</w:t>
            </w:r>
            <w:r>
              <w:rPr>
                <w:sz w:val="32"/>
                <w:szCs w:val="32"/>
                <w:vertAlign w:val="subscript"/>
              </w:rPr>
              <w:t>k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τ</w:t>
            </w:r>
            <w:r>
              <w:rPr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>，输出与输入近似成微分关系，即将方波转换为正负极性的尖脉冲。如果远大于，则为积分关系，即将方波变为三角波。</w:t>
            </w:r>
            <w:bookmarkStart w:id="0" w:name="_GoBack"/>
            <w:bookmarkEnd w:id="0"/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F9D90B2" w14:textId="1AD38821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注意事项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77777777" w:rsidR="009A7D51" w:rsidRDefault="009A7D51" w:rsidP="00411635">
            <w:pPr>
              <w:rPr>
                <w:sz w:val="32"/>
                <w:szCs w:val="32"/>
              </w:rPr>
            </w:pP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A6714" w14:textId="77777777" w:rsidR="00731995" w:rsidRDefault="00731995" w:rsidP="002A51BD">
      <w:r>
        <w:separator/>
      </w:r>
    </w:p>
  </w:endnote>
  <w:endnote w:type="continuationSeparator" w:id="0">
    <w:p w14:paraId="42CCA61E" w14:textId="77777777" w:rsidR="00731995" w:rsidRDefault="00731995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3EB5D" w14:textId="77777777" w:rsidR="00731995" w:rsidRDefault="00731995" w:rsidP="002A51BD">
      <w:r>
        <w:separator/>
      </w:r>
    </w:p>
  </w:footnote>
  <w:footnote w:type="continuationSeparator" w:id="0">
    <w:p w14:paraId="6004D230" w14:textId="77777777" w:rsidR="00731995" w:rsidRDefault="00731995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342A2"/>
    <w:rsid w:val="00286D64"/>
    <w:rsid w:val="002A51BD"/>
    <w:rsid w:val="002F4F29"/>
    <w:rsid w:val="003216BD"/>
    <w:rsid w:val="0038093C"/>
    <w:rsid w:val="003C3D8B"/>
    <w:rsid w:val="00411371"/>
    <w:rsid w:val="004717EF"/>
    <w:rsid w:val="00491885"/>
    <w:rsid w:val="004A4399"/>
    <w:rsid w:val="004F1BB3"/>
    <w:rsid w:val="004F7CA9"/>
    <w:rsid w:val="005D60E5"/>
    <w:rsid w:val="00731995"/>
    <w:rsid w:val="00766607"/>
    <w:rsid w:val="007F2A76"/>
    <w:rsid w:val="007F708F"/>
    <w:rsid w:val="00810EEC"/>
    <w:rsid w:val="0084753D"/>
    <w:rsid w:val="008B008A"/>
    <w:rsid w:val="0097798B"/>
    <w:rsid w:val="009A7D51"/>
    <w:rsid w:val="009C468C"/>
    <w:rsid w:val="00A7525C"/>
    <w:rsid w:val="00C96D6E"/>
    <w:rsid w:val="00CB316E"/>
    <w:rsid w:val="00D63EAB"/>
    <w:rsid w:val="00EB49D5"/>
    <w:rsid w:val="00ED73FC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3</cp:revision>
  <dcterms:created xsi:type="dcterms:W3CDTF">2018-06-05T04:36:00Z</dcterms:created>
  <dcterms:modified xsi:type="dcterms:W3CDTF">2018-06-05T04:47:00Z</dcterms:modified>
</cp:coreProperties>
</file>