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87401">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一种面向区块链节点的风险感知交易排序与区块构建方法，其特征在于，包括如下步骤：S1、获取交易池中的待处理交易集合，并读取当前区块构建约束信息，所述区块构建约束信息包括风险约束参数；S2、对所述待处理交易集合中的候选交易提取特征信息，生成候选交易表示；S3、基于所述候选交易表示和当前区块构建状态信息构成排序决策状态，输入排序决策模型，并基于预设合法性规则对候选交易进行过滤，生成合法动作集合；S4、由所述排序决策模型从所述合法动作集合中选择目标交易，将所述目标交易加入当前区块执行序列；S5、更新候选交易集合与区块构建状态信息；S6、根据区块构建结果计算奖励项与成本项，并依据所述成本项相对于预设成本阈值的偏差更新所述风险约束参数；S7、重复执行步骤S3至步骤S6，直至满足预设终止条件，输出区块内交易执行序列。</w:t>
      </w:r>
    </w:p>
    <w:p w14:paraId="64012369">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2.根据权利要求1所述的方法，其特征在于，步骤S2中的特征信息包括交易基础特征、历史统计特征和顺序敏感特征中的至少一种。</w:t>
      </w:r>
    </w:p>
    <w:p w14:paraId="1C6DCC26">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3.根据权利要求1所述的方法，其特征在于，步骤S3中的排序决策模型为强化学习模型。</w:t>
      </w:r>
    </w:p>
    <w:p w14:paraId="372D5A6E">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根据权利要求1所述的方法，其特征在于，步骤S3中的合法性规则包括以下至少一项：候选交易的资源需求不超过当前区块剩余容量；候选交易满足交易依赖约束；候选交易与已选交易序列之间不存在预设状态冲突；候选交易不违反预设风险控制规则。</w:t>
      </w:r>
    </w:p>
    <w:p w14:paraId="41553643">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根据权利要求1所述的方法，其特征在于，步骤S6中的奖励项包括区块手续费收益、有效打包率、吞吐量增益和执行成功率提升中的一种或多种；所述成本项包括交易确认延迟、交易执行公平性损失、高风险排序行为暴露度和顺序敏感交易损失估计中的一种或多种。</w:t>
      </w:r>
    </w:p>
    <w:p w14:paraId="691CE67A">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6.根据权利要求1所述的方法，其特征在于，步骤S6中更新风险约束参数的方式为：</w:t>
      </w:r>
    </w:p>
    <w:p w14:paraId="341032D3">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λ(t+1) = max(0, λ(t) + η·(C(t) - C₀))</w:t>
      </w:r>
    </w:p>
    <w:p w14:paraId="26A57DC9">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其中，λ(t)为当前时刻的风险约束参数，η为更新步长，C(t)为当前时刻的成本项，C₀为预设成本阈值。</w:t>
      </w:r>
    </w:p>
    <w:p w14:paraId="7640AC0A">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根据权利要求1所述的方法，其特征在于，采用约束强化学习方式对所述排序决策模型进行训练，将区块构建收益作为优化目标，将所述成本项作为约束项，通过拉格朗日对偶方法将约束优化问题转化为无约束的鞍点优化问题，以使所述排序决策模型在满足成本约束条件下优化区块构建结果。</w:t>
      </w:r>
    </w:p>
    <w:p w14:paraId="34449DBC">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8.根据权利要求1所述的方法，其特征在于，步骤S3中的区块构建状态信息包括区块剩余容量、已选交易序列状态、已累计收益项和已累计成本项中的一种或多种。</w:t>
      </w:r>
    </w:p>
    <w:p w14:paraId="16295104">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9.根据权利要求1所述的方法，其特征在于，步骤S7中的预设终止条件包括以下至少一项：候选交易集合为空；区块剩余容量不足以容纳任何候选交易；已选交易数量达到预设上限；区块构建时间达到预设时限。</w:t>
      </w:r>
    </w:p>
    <w:p w14:paraId="526EEE6D">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根据权利要求2所述的方法，其特征在于，所述交易基础特征包括到达时间、手续费参数、Gas消耗估计、交易类型、发送地址和目标合约地址中的一种或多种；所述历史统计特征包括历史执行成功率、历史确认延迟、历史失败率和历史异常行为命中率中的一种或多种；所述顺序敏感特征包括交易依赖关系、交易冲突度、状态转移影响度、地址关联度和合约关联度中的一种或多种。</w:t>
      </w:r>
    </w:p>
    <w:p w14:paraId="5D721F1F">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11.根据权利要求3所述的方法，其特征在于，所述强化学习模型为基于值函数的模型、基于策略梯度的模型或Actor-Critic模型。</w:t>
      </w:r>
    </w:p>
    <w:p w14:paraId="262556A8">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12.根据权利要求2所述的方法，其特征在于，所述顺序敏感特征还包括滑点估计、价格冲击估计、流动性变化估计和可疑前后夹击结构指标中的一种或多种。</w:t>
      </w:r>
    </w:p>
    <w:p w14:paraId="6649B756">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13.根据权利要求1所述的方法，其特征在于，步骤S2中对候选交易提取的风险相关特征通过下述至少一种方式获得：</w:t>
      </w:r>
    </w:p>
    <w:p w14:paraId="2ADB23CF">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基于历史异常重排行为统计生成风险评分；</w:t>
      </w:r>
    </w:p>
    <w:p w14:paraId="24854C17">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基于地址、交易和合约之间的关系图生成结构风险评分；</w:t>
      </w:r>
    </w:p>
    <w:p w14:paraId="24EB2CEB">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基于历史交易失败、抢跑、插队或异常高频行为统计生成行为风险评分。</w:t>
      </w:r>
    </w:p>
    <w:p w14:paraId="4D30A7A4">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14.根据权利要求1所述的方法，其特征在于，步骤S2中采用图神经网络、Transformer编码器或循环神经网络对候选交易进行编码，生成所述候选交易表示。</w:t>
      </w:r>
    </w:p>
    <w:p w14:paraId="7EE7A81A">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15.根据权利要求11所述的方法，其特征在于，所述基于值函数的模型包括深度Q网络DQN、Double DQN或Dueling DQN；所述基于策略梯度的模型包括近端策略优化PPO模型；所述Actor-Critic模型包括A2C模型或A3C模型。</w:t>
      </w:r>
    </w:p>
    <w:p w14:paraId="747FCFA2">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16.根据权利要求12所述的方法，其特征在于，当候选交易属于顺序敏感型合约交互时，所述排序决策模型根据所述滑点估计、价格冲击估计、流动性变化估计和可疑前后夹击结构指标调整候选交易优先级，以降低异常顺序利用风险。</w:t>
      </w:r>
    </w:p>
    <w:p w14:paraId="7E7ED973">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17.一种面向区块链节点的风险感知交易排序与区块构建系统，其特征在于，包括：交</w:t>
      </w:r>
      <w:r>
        <w:rPr>
          <w:rFonts w:hint="eastAsia" w:ascii="宋体" w:hAnsi="宋体" w:eastAsia="宋体" w:cs="宋体"/>
          <w:b/>
          <w:bCs/>
          <w:sz w:val="24"/>
          <w:szCs w:val="24"/>
          <w:lang w:val="en-US" w:eastAsia="zh-CN"/>
        </w:rPr>
        <w:t>易获取模块</w:t>
      </w:r>
      <w:r>
        <w:rPr>
          <w:rFonts w:hint="eastAsia" w:ascii="宋体" w:hAnsi="宋体" w:eastAsia="宋体" w:cs="宋体"/>
          <w:sz w:val="24"/>
          <w:szCs w:val="24"/>
          <w:lang w:val="en-US" w:eastAsia="zh-CN"/>
        </w:rPr>
        <w:t>，用于获取交易池中的待处理交易集合和区块构建约束信息；</w:t>
      </w:r>
      <w:r>
        <w:rPr>
          <w:rFonts w:hint="eastAsia" w:ascii="宋体" w:hAnsi="宋体" w:eastAsia="宋体" w:cs="宋体"/>
          <w:b/>
          <w:bCs/>
          <w:sz w:val="24"/>
          <w:szCs w:val="24"/>
          <w:lang w:val="en-US" w:eastAsia="zh-CN"/>
        </w:rPr>
        <w:t>特征提取模块</w:t>
      </w:r>
      <w:r>
        <w:rPr>
          <w:rFonts w:hint="eastAsia" w:ascii="宋体" w:hAnsi="宋体" w:eastAsia="宋体" w:cs="宋体"/>
          <w:sz w:val="24"/>
          <w:szCs w:val="24"/>
          <w:lang w:val="en-US" w:eastAsia="zh-CN"/>
        </w:rPr>
        <w:t>，用于对候选交易提取特征信息，生成候选交易表示；</w:t>
      </w:r>
      <w:r>
        <w:rPr>
          <w:rFonts w:hint="eastAsia" w:ascii="宋体" w:hAnsi="宋体" w:eastAsia="宋体" w:cs="宋体"/>
          <w:b/>
          <w:bCs/>
          <w:sz w:val="24"/>
          <w:szCs w:val="24"/>
          <w:lang w:val="en-US" w:eastAsia="zh-CN"/>
        </w:rPr>
        <w:t>状态构建模块</w:t>
      </w:r>
      <w:r>
        <w:rPr>
          <w:rFonts w:hint="eastAsia" w:ascii="宋体" w:hAnsi="宋体" w:eastAsia="宋体" w:cs="宋体"/>
          <w:sz w:val="24"/>
          <w:szCs w:val="24"/>
          <w:lang w:val="en-US" w:eastAsia="zh-CN"/>
        </w:rPr>
        <w:t>，用于基于候选交易表示和区块构建状态信息构成排序决策状态；</w:t>
      </w:r>
      <w:r>
        <w:rPr>
          <w:rFonts w:hint="eastAsia" w:ascii="宋体" w:hAnsi="宋体" w:eastAsia="宋体" w:cs="宋体"/>
          <w:b/>
          <w:bCs/>
          <w:sz w:val="24"/>
          <w:szCs w:val="24"/>
          <w:lang w:val="en-US" w:eastAsia="zh-CN"/>
        </w:rPr>
        <w:t>合法性过滤模块</w:t>
      </w:r>
      <w:r>
        <w:rPr>
          <w:rFonts w:hint="eastAsia" w:ascii="宋体" w:hAnsi="宋体" w:eastAsia="宋体" w:cs="宋体"/>
          <w:sz w:val="24"/>
          <w:szCs w:val="24"/>
          <w:lang w:val="en-US" w:eastAsia="zh-CN"/>
        </w:rPr>
        <w:t>，用于基于预设合法性规则对候选交易进行过滤，生成合法动作集合；</w:t>
      </w:r>
      <w:r>
        <w:rPr>
          <w:rFonts w:hint="eastAsia" w:ascii="宋体" w:hAnsi="宋体" w:eastAsia="宋体" w:cs="宋体"/>
          <w:b/>
          <w:bCs/>
          <w:sz w:val="24"/>
          <w:szCs w:val="24"/>
          <w:lang w:val="en-US" w:eastAsia="zh-CN"/>
        </w:rPr>
        <w:t>排序决策模块</w:t>
      </w:r>
      <w:r>
        <w:rPr>
          <w:rFonts w:hint="eastAsia" w:ascii="宋体" w:hAnsi="宋体" w:eastAsia="宋体" w:cs="宋体"/>
          <w:sz w:val="24"/>
          <w:szCs w:val="24"/>
          <w:lang w:val="en-US" w:eastAsia="zh-CN"/>
        </w:rPr>
        <w:t>，用于从所述合法动作集合中选择目标交易；</w:t>
      </w:r>
      <w:r>
        <w:rPr>
          <w:rFonts w:hint="eastAsia" w:ascii="宋体" w:hAnsi="宋体" w:eastAsia="宋体" w:cs="宋体"/>
          <w:b/>
          <w:bCs/>
          <w:sz w:val="24"/>
          <w:szCs w:val="24"/>
          <w:lang w:val="en-US" w:eastAsia="zh-CN"/>
        </w:rPr>
        <w:t>状态更新模块</w:t>
      </w:r>
      <w:r>
        <w:rPr>
          <w:rFonts w:hint="eastAsia" w:ascii="宋体" w:hAnsi="宋体" w:eastAsia="宋体" w:cs="宋体"/>
          <w:sz w:val="24"/>
          <w:szCs w:val="24"/>
          <w:lang w:val="en-US" w:eastAsia="zh-CN"/>
        </w:rPr>
        <w:t>，用于在目标交易加入区块执行序列后更新候选交易集合与区块构建状态信息；</w:t>
      </w:r>
      <w:r>
        <w:rPr>
          <w:rFonts w:hint="eastAsia" w:ascii="宋体" w:hAnsi="宋体" w:eastAsia="宋体" w:cs="宋体"/>
          <w:b/>
          <w:bCs/>
          <w:sz w:val="24"/>
          <w:szCs w:val="24"/>
          <w:lang w:val="en-US" w:eastAsia="zh-CN"/>
        </w:rPr>
        <w:t>约束更新模块</w:t>
      </w:r>
      <w:r>
        <w:rPr>
          <w:rFonts w:hint="eastAsia" w:ascii="宋体" w:hAnsi="宋体" w:eastAsia="宋体" w:cs="宋体"/>
          <w:sz w:val="24"/>
          <w:szCs w:val="24"/>
          <w:lang w:val="en-US" w:eastAsia="zh-CN"/>
        </w:rPr>
        <w:t>，用于根据区块构建结果计算奖励项与成本项，并依据成本项相对于预设成本阈值的偏差更新风险约束参数；</w:t>
      </w:r>
      <w:r>
        <w:rPr>
          <w:rFonts w:hint="eastAsia" w:ascii="宋体" w:hAnsi="宋体" w:eastAsia="宋体" w:cs="宋体"/>
          <w:b/>
          <w:bCs/>
          <w:sz w:val="24"/>
          <w:szCs w:val="24"/>
          <w:lang w:val="en-US" w:eastAsia="zh-CN"/>
        </w:rPr>
        <w:t>区块构建模块</w:t>
      </w:r>
      <w:r>
        <w:rPr>
          <w:rFonts w:hint="eastAsia" w:ascii="宋体" w:hAnsi="宋体" w:eastAsia="宋体" w:cs="宋体"/>
          <w:sz w:val="24"/>
          <w:szCs w:val="24"/>
          <w:lang w:val="en-US" w:eastAsia="zh-CN"/>
        </w:rPr>
        <w:t>，用于将目标交易加入区块执行序列并在满足终止条件后输出区块内交易执行序列。</w:t>
      </w:r>
    </w:p>
    <w:p w14:paraId="466D60AE">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18.根据权利要求17所述的系统，其特征在于，所述排序决策模块采用强化学习模型或约束强化学习模型实现。</w:t>
      </w:r>
    </w:p>
    <w:p w14:paraId="176CF798">
      <w:pPr>
        <w:spacing w:before="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19.一种电子设备，其特征在于，包括处理器和存储器，所述存储器中存储有计算机程序，所述计算机程序被所述处理器执行时，实现权利要求1至16任一项所述的方法。</w:t>
      </w:r>
    </w:p>
    <w:p w14:paraId="226EF3E3">
      <w:pPr>
        <w:spacing w:before="60"/>
        <w:sectPr>
          <w:headerReference r:id="rId3" w:type="default"/>
          <w:footerReference r:id="rId4" w:type="default"/>
          <w:pgSz w:w="11906" w:h="16838"/>
          <w:pgMar w:top="1361" w:right="851" w:bottom="794" w:left="1418" w:header="794" w:footer="113" w:gutter="0"/>
          <w:pgNumType w:fmt="decimal"/>
          <w:cols w:space="720" w:num="1"/>
          <w:docGrid w:type="lines" w:linePitch="312" w:charSpace="0"/>
        </w:sectPr>
      </w:pPr>
      <w:r>
        <w:rPr>
          <w:rFonts w:hint="eastAsia" w:ascii="宋体" w:hAnsi="宋体" w:eastAsia="宋体" w:cs="宋体"/>
          <w:sz w:val="24"/>
          <w:szCs w:val="24"/>
          <w:lang w:val="en-US" w:eastAsia="zh-CN"/>
        </w:rPr>
        <w:t>20.一种计算机可读存储介质，其上存储有计算机程序，所述计算机程序被处理器执行时，实现权利要求1至16任一项所述的方法。</w:t>
      </w:r>
    </w:p>
    <w:p w14:paraId="2A083B49">
      <w:pPr>
        <w:pStyle w:val="9"/>
        <w:keepNext w:val="0"/>
        <w:keepLines w:val="0"/>
        <w:widowControl/>
        <w:suppressLineNumbers w:val="0"/>
        <w:jc w:val="center"/>
        <w:rPr>
          <w:b/>
          <w:bCs/>
        </w:rPr>
      </w:pPr>
      <w:r>
        <w:rPr>
          <w:b/>
          <w:bCs/>
        </w:rPr>
        <w:t>一种面向</w:t>
      </w:r>
      <w:r>
        <w:rPr>
          <w:rFonts w:hint="eastAsia"/>
          <w:b/>
          <w:bCs/>
          <w:lang w:val="en-US" w:eastAsia="zh-CN"/>
        </w:rPr>
        <w:t>区块链节点的</w:t>
      </w:r>
      <w:r>
        <w:rPr>
          <w:b/>
          <w:bCs/>
        </w:rPr>
        <w:t>风险感知交易排序与区块构建方法及系统</w:t>
      </w:r>
    </w:p>
    <w:p w14:paraId="170D0E70">
      <w:pPr>
        <w:pStyle w:val="9"/>
        <w:keepNext w:val="0"/>
        <w:keepLines w:val="0"/>
        <w:widowControl/>
        <w:suppressLineNumbers w:val="0"/>
        <w:jc w:val="both"/>
        <w:rPr>
          <w:b/>
          <w:bCs/>
        </w:rPr>
      </w:pPr>
    </w:p>
    <w:p w14:paraId="0EBDC019">
      <w:pPr>
        <w:pStyle w:val="9"/>
        <w:bidi w:val="0"/>
      </w:pPr>
      <w:r>
        <w:t>一、 技术领域</w:t>
      </w:r>
    </w:p>
    <w:p w14:paraId="686A428B">
      <w:pPr>
        <w:pStyle w:val="9"/>
        <w:bidi w:val="0"/>
      </w:pPr>
      <w:r>
        <w:t>本发明涉及区块链技术领域，尤其涉及一种面向区块链节点的风险感知交易排序与区块构建方法及系统，具体涉及区块链交易排序优化、区块构建策略、强化学习决策和风险控制技术。</w:t>
      </w:r>
    </w:p>
    <w:p w14:paraId="18AA107D">
      <w:pPr>
        <w:pStyle w:val="9"/>
        <w:bidi w:val="0"/>
      </w:pPr>
      <w:r>
        <w:t>二、 背景技术</w:t>
      </w:r>
    </w:p>
    <w:p w14:paraId="264A8C13">
      <w:pPr>
        <w:pStyle w:val="9"/>
        <w:bidi w:val="0"/>
        <w:rPr>
          <w:rFonts w:hint="eastAsia"/>
        </w:rPr>
      </w:pPr>
      <w:r>
        <w:rPr>
          <w:rFonts w:hint="eastAsia"/>
        </w:rPr>
        <w:t>区块链系统中，区块构建者（如以太坊中的验证者或区块提议者）需要从交易池中选取待处理交易并确定其在区块内的执行顺序。交易排序的质量直接影响区块收益、交易执行公平性以及系统安全性。</w:t>
      </w:r>
    </w:p>
    <w:p w14:paraId="37723329">
      <w:pPr>
        <w:pStyle w:val="9"/>
        <w:bidi w:val="0"/>
        <w:rPr>
          <w:rFonts w:hint="eastAsia"/>
        </w:rPr>
      </w:pPr>
      <w:r>
        <w:rPr>
          <w:rFonts w:hint="eastAsia"/>
        </w:rPr>
        <w:t>传统排序策略及其局限</w:t>
      </w:r>
      <w:r>
        <w:rPr>
          <w:rFonts w:hint="eastAsia"/>
          <w:lang w:eastAsia="zh-CN"/>
        </w:rPr>
        <w:t>：</w:t>
      </w:r>
      <w:r>
        <w:rPr>
          <w:rFonts w:hint="eastAsia"/>
        </w:rPr>
        <w:t>当前主流的区块构建策略采用基于Gas Price的贪心排序方法，即按照交易手续费从高到低排列，优先打包高手续费交易以最大化区块收益。这种贪心策略虽然实现简单、计算效率高，但存在以下显著局限：第一，贪心策略忽略交易之间的依赖关系和状态冲突，可能导致执行失败或回滚，降低有效打包率；第二，单纯追求手续费收益无法兼顾交易执行公平性，低手续费交易可能长时间得不到确认；第三，贪心策略缺乏对交易排序风险的感知能力，容易被恶意利用。</w:t>
      </w:r>
    </w:p>
    <w:p w14:paraId="006A3CE9">
      <w:pPr>
        <w:pStyle w:val="9"/>
        <w:bidi w:val="0"/>
        <w:rPr>
          <w:rFonts w:hint="eastAsia"/>
        </w:rPr>
      </w:pPr>
      <w:r>
        <w:rPr>
          <w:rFonts w:hint="eastAsia"/>
        </w:rPr>
        <w:t>MEV问题及现有应对方案</w:t>
      </w:r>
      <w:r>
        <w:rPr>
          <w:rFonts w:hint="eastAsia"/>
          <w:lang w:eastAsia="zh-CN"/>
        </w:rPr>
        <w:t>：</w:t>
      </w:r>
      <w:r>
        <w:rPr>
          <w:rFonts w:hint="eastAsia"/>
        </w:rPr>
        <w:t>最大可提取价值（Maximal Extractable Value，MEV）是指区块构建者通过对交易进行插入、删除或重新排序而可获取的额外利润。常见的MEV攻击形式包括三明治攻击（sandwich attack）、抢跑交易（front-running）、尾随交易（back-running）和时间盗贼攻击（time-bandit attack）等。MEV问题严重损害了去中心化金融（DeFi）用户的利益，导致交易滑点增大、执行价格偏离预期。</w:t>
      </w:r>
    </w:p>
    <w:p w14:paraId="7E83DE59">
      <w:pPr>
        <w:pStyle w:val="9"/>
        <w:bidi w:val="0"/>
        <w:rPr>
          <w:rFonts w:hint="eastAsia"/>
        </w:rPr>
      </w:pPr>
      <w:r>
        <w:rPr>
          <w:rFonts w:hint="eastAsia"/>
        </w:rPr>
        <w:t>针对MEV问题，业界已提出多种应对方案。Flashbots提出的MEV-Boost架构通过引入区块构建者市场和中继机制，将区块构建权从验证者分离出来，允许专业构建者竞价提交区块。然而，MEV-Boost本身不改变交易排序逻辑，仅改变了MEV的分配方式，构建者仍然以收益最大化为目标。公平排序服务（Fair Sequencing Services，FSS）提出基于时间戳的先到先得排序规则，但该方案依赖可信时间源，且在高并发场景下难以精确确定交易到达顺序。加密内存池（encrypted mempool）方案通过对交易内容加密来防止抢跑，但增加了系统复杂度和延迟，且无法防止基于交易元数据的MEV提取。</w:t>
      </w:r>
    </w:p>
    <w:p w14:paraId="2BEA3B7E">
      <w:pPr>
        <w:pStyle w:val="9"/>
        <w:bidi w:val="0"/>
        <w:rPr>
          <w:rFonts w:hint="eastAsia"/>
        </w:rPr>
      </w:pPr>
      <w:r>
        <w:rPr>
          <w:rFonts w:hint="eastAsia"/>
        </w:rPr>
        <w:t>强化学习在组合优化中的应用</w:t>
      </w:r>
      <w:r>
        <w:rPr>
          <w:rFonts w:hint="eastAsia"/>
          <w:lang w:eastAsia="zh-CN"/>
        </w:rPr>
        <w:t>：</w:t>
      </w:r>
      <w:r>
        <w:rPr>
          <w:rFonts w:hint="eastAsia"/>
        </w:rPr>
        <w:t>强化学习（Reinforcement Learning，RL）在组合优化问题上已展现出优越的性能。区块构建本质上是一个序列决策问题：在每一步从候选交易集合中选择一笔交易加入区块，需要考虑交易间的依赖关系、资源约束和收益最大化目标。这与经典的组合优化问题（如旅行商问题、背包问题）具有相似的数学结构。</w:t>
      </w:r>
    </w:p>
    <w:p w14:paraId="7176144F">
      <w:pPr>
        <w:pStyle w:val="9"/>
        <w:bidi w:val="0"/>
        <w:rPr>
          <w:rFonts w:hint="eastAsia"/>
        </w:rPr>
      </w:pPr>
      <w:r>
        <w:rPr>
          <w:rFonts w:hint="eastAsia"/>
        </w:rPr>
        <w:t>已有研究将深度强化学习（Deep Reinforcement Learning，DRL）应用于区块链交易排序。基于DQN的以太坊交易排序优化方法利用深度Q网络学习交易排序策略，在抑制MEV方面取得了初步效果。RL-BES方法采用双DRL网络结合蒙特卡洛树搜索（MCTS），侧重于MEV提取效率的优化。ROBB方法使用循环PPO网络进行区块构建，主要优化目标为吞吐量。</w:t>
      </w:r>
    </w:p>
    <w:p w14:paraId="125D4E8B">
      <w:pPr>
        <w:pStyle w:val="9"/>
        <w:bidi w:val="0"/>
        <w:rPr>
          <w:rFonts w:hint="eastAsia"/>
        </w:rPr>
      </w:pPr>
      <w:r>
        <w:rPr>
          <w:rFonts w:hint="eastAsia"/>
        </w:rPr>
        <w:t>约束强化学习理论基础</w:t>
      </w:r>
      <w:r>
        <w:rPr>
          <w:rFonts w:hint="eastAsia"/>
          <w:lang w:eastAsia="zh-CN"/>
        </w:rPr>
        <w:t>：</w:t>
      </w:r>
      <w:r>
        <w:rPr>
          <w:rFonts w:hint="eastAsia"/>
        </w:rPr>
        <w:t>标准强化学习以最大化累积奖励为唯一目标，但在实际应用中往往需要同时满足多个约束条件。约束马尔可夫决策过程（Constrained Markov Decision Process，CMDP）通过引入成本函数和成本约束，将约束优化问题形式化为：在满足期望累积成本不超过预设阈值的条件下，最大化期望累积奖励。拉格朗日方法是求解CMDP的经典方法，通过引入拉格朗日乘子将约束优化问题转化为无约束的鞍点优化问题，交替优化策略参数和拉格朗日乘子。</w:t>
      </w:r>
    </w:p>
    <w:p w14:paraId="394B545D">
      <w:pPr>
        <w:pStyle w:val="9"/>
        <w:bidi w:val="0"/>
        <w:rPr>
          <w:rFonts w:hint="eastAsia"/>
        </w:rPr>
      </w:pPr>
      <w:r>
        <w:rPr>
          <w:rFonts w:hint="eastAsia"/>
        </w:rPr>
        <w:t>现有技术的不足</w:t>
      </w:r>
    </w:p>
    <w:p w14:paraId="33A49561">
      <w:pPr>
        <w:pStyle w:val="9"/>
        <w:bidi w:val="0"/>
        <w:rPr>
          <w:rFonts w:hint="eastAsia"/>
        </w:rPr>
      </w:pPr>
      <w:r>
        <w:rPr>
          <w:rFonts w:hint="eastAsia"/>
        </w:rPr>
        <w:t>综合分析现有技术可以发现，尽管已有研究将强化学习应用于区块链交易排序，但这些方法均缺乏对排序风险的系统性感知和控制机制。具体而言：第一，现有RL方法以收益最大化为单一目标，缺乏对交易排序公平性、安全性等风险维度的约束；第二，现有方法未建立交易排序风险的定量度量体系，无法对MEV攻击风险、交易执行公平性损失等进行精确评估；第三，现有方法的风险控制策略多为静态规则，缺乏基于实际运行数据的动态自适应调整能力。</w:t>
      </w:r>
    </w:p>
    <w:p w14:paraId="342FD593">
      <w:pPr>
        <w:pStyle w:val="9"/>
        <w:bidi w:val="0"/>
        <w:rPr>
          <w:rFonts w:hint="eastAsia"/>
        </w:rPr>
      </w:pPr>
      <w:r>
        <w:rPr>
          <w:rFonts w:hint="eastAsia"/>
        </w:rPr>
        <w:t>因此，亟需一种将约束强化学习与风险感知机制相结合的交易排序与区块构建方法，在优化区块收益的同时实现对排序风险的动态感知与自动控制。</w:t>
      </w:r>
    </w:p>
    <w:p w14:paraId="4CA2CF9B">
      <w:pPr>
        <w:pStyle w:val="9"/>
        <w:bidi w:val="0"/>
        <w:rPr>
          <w:rFonts w:ascii="宋体" w:hAnsi="宋体" w:eastAsia="宋体" w:cs="宋体"/>
          <w:sz w:val="24"/>
          <w:szCs w:val="24"/>
        </w:rPr>
      </w:pPr>
      <w:r>
        <w:rPr>
          <w:rFonts w:ascii="宋体" w:hAnsi="宋体" w:eastAsia="宋体" w:cs="宋体"/>
          <w:sz w:val="24"/>
          <w:szCs w:val="24"/>
        </w:rPr>
        <w:t>三、 发明内容</w:t>
      </w:r>
    </w:p>
    <w:p w14:paraId="2127339F">
      <w:pPr>
        <w:pStyle w:val="9"/>
        <w:bidi w:val="0"/>
        <w:rPr>
          <w:rFonts w:hint="eastAsia"/>
        </w:rPr>
      </w:pPr>
      <w:r>
        <w:rPr>
          <w:rFonts w:hint="eastAsia"/>
        </w:rPr>
        <w:t>本发明要解决的技术问题包括：（1）现有区块链交易排序方法缺乏对排序风险的系统性感知和度量机制，无法有效识别和量化MEV攻击风险、交易执行公平性损失等风险因素；（2）现有基于强化学习的交易排序方法以收益最大化为单一优化目标，缺乏多目标约束优化能力，无法在收益与风险之间实现自动平衡；（3）现有风险控制策略依赖静态规则配置，缺乏基于实际区块构建反馈的动态自适应调整能力，难以应对复杂多变的交易环境。</w:t>
      </w:r>
    </w:p>
    <w:p w14:paraId="02AFA7D5">
      <w:pPr>
        <w:pStyle w:val="9"/>
        <w:bidi w:val="0"/>
        <w:rPr>
          <w:rFonts w:hint="eastAsia" w:ascii="宋体" w:hAnsi="宋体" w:eastAsia="宋体" w:cs="宋体"/>
          <w:sz w:val="24"/>
          <w:szCs w:val="24"/>
        </w:rPr>
      </w:pPr>
      <w:r>
        <w:rPr>
          <w:rFonts w:hint="eastAsia" w:ascii="宋体" w:hAnsi="宋体" w:eastAsia="宋体" w:cs="宋体"/>
          <w:sz w:val="24"/>
          <w:szCs w:val="24"/>
        </w:rPr>
        <w:t>为解决上述技术问题，本发明提供一种面向区块链节点的风险感知交易排序与区块构建方法，包括如下步骤：S1、获取交易池中的待处理交易集合，并读取当前区块构建约束信息，所述区块构建约束信息包括风险约束参数；S2、对所述待处理交易集合中的候选交易提取特征信息，生成候选交易表示；S3、基于所述候选交易表示和当前区块构建状态信息构成排序决策状态，输入排序决策模型，并基于预设合法性规则对候选交易进行过滤，生成合法动作集合；S4、由所述排序决策模型从所述合法动作集合中选择目标交易，将所述目标交易加入当前区块执行序列；S5、更新候选交易集合与区块构建状态信息；S6、根据区块构建结果计算奖励项与成本项，并依据所述成本项相对于预设成本阈值的偏差更新所述风险约束参数；S7、重复执行步骤S3至步骤S6，直至满足预设终止条件，输出区块内交易执行序列。</w:t>
      </w:r>
    </w:p>
    <w:p w14:paraId="56428B60">
      <w:pPr>
        <w:pStyle w:val="9"/>
        <w:bidi w:val="0"/>
        <w:rPr>
          <w:rFonts w:hint="eastAsia" w:ascii="宋体" w:hAnsi="宋体" w:eastAsia="宋体" w:cs="宋体"/>
          <w:sz w:val="24"/>
          <w:szCs w:val="24"/>
        </w:rPr>
      </w:pPr>
      <w:r>
        <w:rPr>
          <w:rFonts w:hint="eastAsia" w:ascii="宋体" w:hAnsi="宋体" w:eastAsia="宋体" w:cs="宋体"/>
          <w:sz w:val="24"/>
          <w:szCs w:val="24"/>
        </w:rPr>
        <w:t>本发明还提供一种面向区块链节点的风险感知交易排序与区块构建系统，包括交易获取模块、特征提取模块、状态构建模块、合法性过滤模块、排序决策模块、状态更新模块、约束更新模块和区块构建模块。</w:t>
      </w:r>
    </w:p>
    <w:p w14:paraId="6C7050D0">
      <w:pPr>
        <w:pStyle w:val="9"/>
        <w:bidi w:val="0"/>
        <w:rPr>
          <w:rFonts w:ascii="宋体" w:hAnsi="宋体" w:eastAsia="宋体" w:cs="宋体"/>
          <w:sz w:val="24"/>
          <w:szCs w:val="24"/>
        </w:rPr>
      </w:pPr>
      <w:r>
        <w:rPr>
          <w:rFonts w:hint="eastAsia" w:ascii="宋体" w:hAnsi="宋体" w:eastAsia="宋体" w:cs="宋体"/>
          <w:sz w:val="24"/>
          <w:szCs w:val="24"/>
        </w:rPr>
        <w:t>有益效果</w:t>
      </w:r>
      <w:r>
        <w:rPr>
          <w:rFonts w:hint="eastAsia" w:ascii="宋体" w:hAnsi="宋体" w:cs="宋体"/>
          <w:sz w:val="24"/>
          <w:szCs w:val="24"/>
          <w:lang w:eastAsia="zh-CN"/>
        </w:rPr>
        <w:t>：</w:t>
      </w:r>
      <w:r>
        <w:rPr>
          <w:rFonts w:hint="eastAsia" w:ascii="宋体" w:hAnsi="宋体" w:eastAsia="宋体" w:cs="宋体"/>
          <w:sz w:val="24"/>
          <w:szCs w:val="24"/>
        </w:rPr>
        <w:t>本发明相对于现有技术的有益效果体现在以下方面：（1）风险感知能力：通过引入成本项和风险约束参数，建立了交易排序风险的定量度量和动态感知机制，能够对MEV攻击风险、交易公平性损失等多维风险因素进行实时评估；（2）收益与风险自动平衡：采用约束强化学习框架，将风险控制条件作为约束项融入模型训练过程，实现了在满足风险约束前提下的区块收益自动优化，无需人工调整权衡参数；（3）动态自适应调整：通过风险约束参数的动态更新机制，模型能够根据实际区块构建反馈自动调整风险控制力度，适应不同的交易环境和市场状态；（4）排序安全性提升：通过合法性规则过滤和风险感知排序策略的结合，有效降低了三明治攻击、抢跑交易等MEV攻击的成功率，提升了交易排序的安全性；（5）兼顾效率与公平：在优化区块构建收益的同时，通过成本约束机制对交易确认延迟、公平性损失等进行限制，提升了交易执行的整体公平性。</w:t>
      </w:r>
    </w:p>
    <w:p w14:paraId="7FFE50E0">
      <w:pPr>
        <w:pStyle w:val="9"/>
        <w:bidi w:val="0"/>
        <w:rPr>
          <w:rFonts w:ascii="宋体" w:hAnsi="宋体" w:eastAsia="宋体" w:cs="宋体"/>
          <w:sz w:val="24"/>
          <w:szCs w:val="24"/>
        </w:rPr>
      </w:pPr>
      <w:r>
        <w:rPr>
          <w:rFonts w:ascii="宋体" w:hAnsi="宋体" w:eastAsia="宋体" w:cs="宋体"/>
          <w:sz w:val="24"/>
          <w:szCs w:val="24"/>
        </w:rPr>
        <w:t>四、 附图说明</w:t>
      </w:r>
    </w:p>
    <w:p w14:paraId="52AFE954">
      <w:pPr>
        <w:pStyle w:val="9"/>
        <w:bidi w:val="0"/>
        <w:rPr>
          <w:rFonts w:ascii="宋体" w:hAnsi="宋体" w:eastAsia="宋体" w:cs="宋体"/>
          <w:sz w:val="24"/>
          <w:szCs w:val="24"/>
        </w:rPr>
      </w:pPr>
      <w:r>
        <w:rPr>
          <w:rFonts w:ascii="宋体" w:hAnsi="宋体" w:eastAsia="宋体" w:cs="宋体"/>
          <w:sz w:val="24"/>
          <w:szCs w:val="24"/>
        </w:rPr>
        <w:t>为了更清楚地说明本发明实施例或现有技术中的技术方案，下面将对实施例或现有技术描述中所需要使用的附图作简单地介绍。</w:t>
      </w:r>
    </w:p>
    <w:p w14:paraId="39215F77">
      <w:pPr>
        <w:pStyle w:val="9"/>
        <w:bidi w:val="0"/>
        <w:rPr>
          <w:rFonts w:hint="eastAsia" w:ascii="宋体" w:hAnsi="宋体" w:eastAsia="宋体" w:cs="宋体"/>
          <w:sz w:val="24"/>
          <w:szCs w:val="24"/>
        </w:rPr>
      </w:pPr>
      <w:r>
        <w:rPr>
          <w:rFonts w:hint="eastAsia" w:ascii="宋体" w:hAnsi="宋体" w:eastAsia="宋体" w:cs="宋体"/>
          <w:sz w:val="24"/>
          <w:szCs w:val="24"/>
        </w:rPr>
        <w:t>图1为本发明实施例提供的面向区块链节点的风险感知交易排序与区块构建方法的总体流程图；</w:t>
      </w:r>
    </w:p>
    <w:p w14:paraId="2DD065D4">
      <w:pPr>
        <w:pStyle w:val="9"/>
        <w:bidi w:val="0"/>
        <w:rPr>
          <w:rFonts w:hint="eastAsia" w:ascii="宋体" w:hAnsi="宋体" w:eastAsia="宋体" w:cs="宋体"/>
          <w:sz w:val="24"/>
          <w:szCs w:val="24"/>
        </w:rPr>
      </w:pPr>
      <w:r>
        <w:rPr>
          <w:rFonts w:hint="eastAsia" w:ascii="宋体" w:hAnsi="宋体" w:eastAsia="宋体" w:cs="宋体"/>
          <w:sz w:val="24"/>
          <w:szCs w:val="24"/>
        </w:rPr>
        <w:t>图2为本发明实施例提供的面向区块链节点的风险感知交易排序与区块构建系统的总体架构图；</w:t>
      </w:r>
    </w:p>
    <w:p w14:paraId="4D184BBF">
      <w:pPr>
        <w:pStyle w:val="9"/>
        <w:bidi w:val="0"/>
        <w:rPr>
          <w:rFonts w:hint="eastAsia" w:ascii="宋体" w:hAnsi="宋体" w:eastAsia="宋体" w:cs="宋体"/>
          <w:sz w:val="24"/>
          <w:szCs w:val="24"/>
        </w:rPr>
      </w:pPr>
      <w:r>
        <w:rPr>
          <w:rFonts w:hint="eastAsia" w:ascii="宋体" w:hAnsi="宋体" w:eastAsia="宋体" w:cs="宋体"/>
          <w:sz w:val="24"/>
          <w:szCs w:val="24"/>
        </w:rPr>
        <w:t>图3为本发明实施例提供的特征提取与候选交易表示生成示意图；</w:t>
      </w:r>
    </w:p>
    <w:p w14:paraId="26EBD56D">
      <w:pPr>
        <w:pStyle w:val="9"/>
        <w:bidi w:val="0"/>
        <w:rPr>
          <w:rFonts w:hint="eastAsia" w:ascii="宋体" w:hAnsi="宋体" w:eastAsia="宋体" w:cs="宋体"/>
          <w:sz w:val="24"/>
          <w:szCs w:val="24"/>
        </w:rPr>
      </w:pPr>
      <w:r>
        <w:rPr>
          <w:rFonts w:hint="eastAsia" w:ascii="宋体" w:hAnsi="宋体" w:eastAsia="宋体" w:cs="宋体"/>
          <w:sz w:val="24"/>
          <w:szCs w:val="24"/>
        </w:rPr>
        <w:t>图4为本发明实施例提供的排序决策模型结构图；</w:t>
      </w:r>
    </w:p>
    <w:p w14:paraId="47E23F8D">
      <w:pPr>
        <w:pStyle w:val="9"/>
        <w:bidi w:val="0"/>
        <w:rPr>
          <w:rFonts w:hint="eastAsia" w:ascii="宋体" w:hAnsi="宋体" w:eastAsia="宋体" w:cs="宋体"/>
          <w:sz w:val="24"/>
          <w:szCs w:val="24"/>
        </w:rPr>
      </w:pPr>
      <w:r>
        <w:rPr>
          <w:rFonts w:hint="eastAsia" w:ascii="宋体" w:hAnsi="宋体" w:eastAsia="宋体" w:cs="宋体"/>
          <w:sz w:val="24"/>
          <w:szCs w:val="24"/>
        </w:rPr>
        <w:t>图5为本发明实施例提供的合法性过滤判断流程图；</w:t>
      </w:r>
    </w:p>
    <w:p w14:paraId="7E722157">
      <w:pPr>
        <w:pStyle w:val="9"/>
        <w:bidi w:val="0"/>
        <w:rPr>
          <w:rFonts w:hint="eastAsia" w:ascii="宋体" w:hAnsi="宋体" w:eastAsia="宋体" w:cs="宋体"/>
          <w:sz w:val="24"/>
          <w:szCs w:val="24"/>
        </w:rPr>
      </w:pPr>
      <w:r>
        <w:rPr>
          <w:rFonts w:hint="eastAsia" w:ascii="宋体" w:hAnsi="宋体" w:eastAsia="宋体" w:cs="宋体"/>
          <w:sz w:val="24"/>
          <w:szCs w:val="24"/>
        </w:rPr>
        <w:t>图6为本发明实施例提供的约束强化学习训练过程示意图；</w:t>
      </w:r>
    </w:p>
    <w:p w14:paraId="3950FEEA">
      <w:pPr>
        <w:pStyle w:val="9"/>
        <w:bidi w:val="0"/>
        <w:rPr>
          <w:rFonts w:hint="eastAsia" w:ascii="宋体" w:hAnsi="宋体" w:eastAsia="宋体" w:cs="宋体"/>
          <w:sz w:val="24"/>
          <w:szCs w:val="24"/>
        </w:rPr>
      </w:pPr>
      <w:r>
        <w:rPr>
          <w:rFonts w:hint="eastAsia" w:ascii="宋体" w:hAnsi="宋体" w:eastAsia="宋体" w:cs="宋体"/>
          <w:sz w:val="24"/>
          <w:szCs w:val="24"/>
        </w:rPr>
        <w:t>图7为本发明实施例提供的风险约束参数动态更新示意图。</w:t>
      </w:r>
    </w:p>
    <w:p w14:paraId="121E8F0F">
      <w:pPr>
        <w:pStyle w:val="9"/>
        <w:bidi w:val="0"/>
        <w:rPr>
          <w:rFonts w:ascii="宋体" w:hAnsi="宋体" w:eastAsia="宋体" w:cs="宋体"/>
          <w:sz w:val="24"/>
          <w:szCs w:val="24"/>
        </w:rPr>
      </w:pPr>
      <w:r>
        <w:rPr>
          <w:rFonts w:ascii="宋体" w:hAnsi="宋体" w:eastAsia="宋体" w:cs="宋体"/>
          <w:sz w:val="24"/>
          <w:szCs w:val="24"/>
        </w:rPr>
        <w:t>五、具体实施方式</w:t>
      </w:r>
    </w:p>
    <w:p w14:paraId="4BA6E8A2">
      <w:pPr>
        <w:pStyle w:val="9"/>
        <w:bidi w:val="0"/>
        <w:rPr>
          <w:rFonts w:hint="eastAsia" w:ascii="宋体" w:hAnsi="宋体" w:eastAsia="宋体" w:cs="宋体"/>
          <w:sz w:val="24"/>
          <w:szCs w:val="24"/>
        </w:rPr>
      </w:pPr>
      <w:r>
        <w:rPr>
          <w:rFonts w:ascii="宋体" w:hAnsi="宋体" w:eastAsia="宋体" w:cs="宋体"/>
          <w:sz w:val="24"/>
          <w:szCs w:val="24"/>
        </w:rPr>
        <w:t>为了使本技术领域的人员更好地理解本发明方案，</w:t>
      </w:r>
      <w:r>
        <w:rPr>
          <w:rFonts w:hint="eastAsia" w:ascii="宋体" w:hAnsi="宋体" w:eastAsia="宋体" w:cs="宋体"/>
          <w:sz w:val="24"/>
          <w:szCs w:val="24"/>
        </w:rPr>
        <w:t>下面结合附图和实施例对本发明进行详细说明。以下实施例仅用于说明本发明，不用于限制本发明的范围。</w:t>
      </w:r>
    </w:p>
    <w:p w14:paraId="086540A8">
      <w:pPr>
        <w:pStyle w:val="9"/>
        <w:bidi w:val="0"/>
        <w:rPr>
          <w:rFonts w:hint="eastAsia" w:ascii="宋体" w:hAnsi="宋体" w:eastAsia="宋体" w:cs="宋体"/>
          <w:sz w:val="24"/>
          <w:szCs w:val="24"/>
        </w:rPr>
      </w:pPr>
      <w:r>
        <w:rPr>
          <w:rFonts w:hint="eastAsia" w:ascii="宋体" w:hAnsi="宋体" w:eastAsia="宋体" w:cs="宋体"/>
          <w:sz w:val="24"/>
          <w:szCs w:val="24"/>
        </w:rPr>
        <w:t>实施例一：以太坊区块构建场景</w:t>
      </w:r>
    </w:p>
    <w:p w14:paraId="37158D03">
      <w:pPr>
        <w:pStyle w:val="9"/>
        <w:bidi w:val="0"/>
        <w:rPr>
          <w:rFonts w:hint="eastAsia" w:ascii="宋体" w:hAnsi="宋体" w:eastAsia="宋体" w:cs="宋体"/>
          <w:sz w:val="24"/>
          <w:szCs w:val="24"/>
        </w:rPr>
      </w:pPr>
      <w:r>
        <w:rPr>
          <w:rFonts w:hint="eastAsia" w:ascii="宋体" w:hAnsi="宋体" w:eastAsia="宋体" w:cs="宋体"/>
          <w:sz w:val="24"/>
          <w:szCs w:val="24"/>
        </w:rPr>
        <w:t>本实施例以以太坊区块链为应用场景，描述本发明方法在标准DeFi交易排序中的完整实施过程。如图1所示，本发明方法包括S1至S7共七个步骤，其中S3至S6循环执行直至满足终止条件。如图2所示，本发明系统包括交易获取模块、特征提取模块、状态构建模块、合法性过滤模块、排序决策模块、状态更新模块、约束更新模块和区块构建模块，各模块之间的数据流关系与方法步骤一一对应。</w:t>
      </w:r>
    </w:p>
    <w:p w14:paraId="574C61FE">
      <w:pPr>
        <w:keepNext/>
        <w:keepLines/>
        <w:spacing w:before="200" w:after="0"/>
        <w:outlineLvl w:val="3"/>
        <w:rPr>
          <w:rFonts w:hint="eastAsia" w:ascii="Calibri" w:hAnsi="Calibri" w:eastAsia="宋体" w:cs="Times New Roman"/>
          <w:bCs/>
          <w:i/>
          <w:color w:val="auto"/>
          <w:sz w:val="24"/>
          <w:szCs w:val="24"/>
          <w:lang w:val="en-US" w:eastAsia="en-US" w:bidi="ar-SA"/>
        </w:rPr>
      </w:pPr>
      <w:bookmarkStart w:id="0" w:name="s1获取待处理交易集合与区块构建约束信息"/>
      <w:r>
        <w:rPr>
          <w:rFonts w:hint="eastAsia" w:ascii="Calibri" w:hAnsi="Calibri" w:eastAsia="宋体" w:cs="Times New Roman"/>
          <w:bCs/>
          <w:i/>
          <w:color w:val="auto"/>
          <w:sz w:val="24"/>
          <w:szCs w:val="24"/>
          <w:lang w:val="en-US" w:eastAsia="en-US" w:bidi="ar-SA"/>
        </w:rPr>
        <w:t>S1：获取待处理交易集合与区块构建约束信息</w:t>
      </w:r>
    </w:p>
    <w:p w14:paraId="7AB3994E">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区块构建节点连接以太坊执行层客户端，通过交易池接口获取当前所有待处理交易，构成待处理交易集合T = {tx₁, tx₂, …, txₙ}。同时读取当前区块构建约束信息，包括：</w:t>
      </w:r>
    </w:p>
    <w:p w14:paraId="1948F649">
      <w:pPr>
        <w:numPr>
          <w:ilvl w:val="0"/>
          <w:numId w:val="1"/>
        </w:numPr>
        <w:spacing w:before="36" w:after="36"/>
        <w:ind w:left="720" w:hanging="4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区块Gas上限（Block Gas Limit），当前以太坊默认值为30,000,000 Gas；</w:t>
      </w:r>
    </w:p>
    <w:p w14:paraId="25196A16">
      <w:pPr>
        <w:numPr>
          <w:ilvl w:val="0"/>
          <w:numId w:val="1"/>
        </w:numPr>
        <w:spacing w:before="36" w:after="36"/>
        <w:ind w:left="720" w:hanging="4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已消耗Gas量，用于计算区块剩余容量；</w:t>
      </w:r>
    </w:p>
    <w:p w14:paraId="04D02F0E">
      <w:pPr>
        <w:numPr>
          <w:ilvl w:val="0"/>
          <w:numId w:val="1"/>
        </w:numPr>
        <w:spacing w:before="36" w:after="36"/>
        <w:ind w:left="720" w:hanging="4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交易依赖关系，主要包括同一发送地址的Nonce顺序约束；</w:t>
      </w:r>
    </w:p>
    <w:p w14:paraId="67907A89">
      <w:pPr>
        <w:numPr>
          <w:ilvl w:val="0"/>
          <w:numId w:val="1"/>
        </w:numPr>
        <w:spacing w:before="36" w:after="36"/>
        <w:ind w:left="720" w:hanging="4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交易冲突关系，通过分析交易读写集合识别状态冲突；</w:t>
      </w:r>
    </w:p>
    <w:p w14:paraId="3A565544">
      <w:pPr>
        <w:numPr>
          <w:ilvl w:val="0"/>
          <w:numId w:val="1"/>
        </w:numPr>
        <w:spacing w:before="36" w:after="36"/>
        <w:ind w:left="720" w:hanging="4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风险约束参数λ，初始值设为λ₀ = 1.0，在后续训练过程中动态更新。</w:t>
      </w:r>
    </w:p>
    <w:p w14:paraId="43F6E6AE">
      <w:pPr>
        <w:numPr>
          <w:ilvl w:val="0"/>
          <w:numId w:val="0"/>
        </w:numPr>
        <w:spacing w:before="36" w:after="36"/>
        <w:rPr>
          <w:rFonts w:ascii="Cambria" w:hAnsi="Cambria" w:eastAsia="Cambria" w:cs="Times New Roman"/>
          <w:sz w:val="24"/>
          <w:szCs w:val="24"/>
          <w:lang w:val="en-US" w:eastAsia="en-US" w:bidi="ar-SA"/>
        </w:rPr>
      </w:pPr>
    </w:p>
    <w:p w14:paraId="3F8C7A3E">
      <w:pPr>
        <w:keepNext/>
        <w:keepLines/>
        <w:spacing w:before="200" w:after="0"/>
        <w:outlineLvl w:val="3"/>
        <w:rPr>
          <w:rFonts w:hint="eastAsia" w:ascii="Calibri" w:hAnsi="Calibri" w:eastAsia="宋体" w:cs="Times New Roman"/>
          <w:bCs/>
          <w:i/>
          <w:color w:val="auto"/>
          <w:sz w:val="24"/>
          <w:szCs w:val="24"/>
          <w:lang w:val="en-US" w:eastAsia="en-US" w:bidi="ar-SA"/>
        </w:rPr>
      </w:pPr>
      <w:r>
        <w:rPr>
          <w:rFonts w:hint="eastAsia" w:ascii="Calibri" w:hAnsi="Calibri" w:eastAsia="宋体" w:cs="Times New Roman"/>
          <w:bCs/>
          <w:i/>
          <w:color w:val="auto"/>
          <w:sz w:val="24"/>
          <w:szCs w:val="24"/>
          <w:lang w:val="en-US" w:eastAsia="en-US" w:bidi="ar-SA"/>
        </w:rPr>
        <w:t>S2：特征提取与候选交易表示生成</w:t>
      </w:r>
    </w:p>
    <w:p w14:paraId="248E253C">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对待处理交易集合中的每笔候选交易提取多维度特征信息。</w:t>
      </w:r>
    </w:p>
    <w:p w14:paraId="7F05CC12">
      <w:pPr>
        <w:spacing w:before="180" w:after="180"/>
        <w:rPr>
          <w:rFonts w:ascii="Cambria" w:hAnsi="Cambria" w:eastAsia="Cambria" w:cs="Times New Roman"/>
          <w:sz w:val="24"/>
          <w:szCs w:val="24"/>
          <w:lang w:val="en-US" w:eastAsia="en-US" w:bidi="ar-SA"/>
        </w:rPr>
      </w:pPr>
      <w:r>
        <w:rPr>
          <w:rFonts w:ascii="Cambria" w:hAnsi="Cambria" w:eastAsia="Cambria" w:cs="Times New Roman"/>
          <w:b/>
          <w:bCs/>
          <w:sz w:val="24"/>
          <w:szCs w:val="24"/>
          <w:lang w:val="en-US" w:eastAsia="en-US" w:bidi="ar-SA"/>
        </w:rPr>
        <w:t>交易基础特征</w:t>
      </w:r>
      <w:r>
        <w:rPr>
          <w:rFonts w:ascii="Cambria" w:hAnsi="Cambria" w:eastAsia="Cambria" w:cs="Times New Roman"/>
          <w:sz w:val="24"/>
          <w:szCs w:val="24"/>
          <w:lang w:val="en-US" w:eastAsia="en-US" w:bidi="ar-SA"/>
        </w:rPr>
        <w:t>包括： - 到达时间戳t_arrive：交易进入交易池的时间； - 手续费参数：EIP-1559交易的maxFeePerGas和maxPriorityFeePerGas，或传统交易的gasPrice； - Gas消耗估计g_est：通过模拟执行或历史数据估计的Gas消耗量； - 交易类型type：转账、合约调用、合约创建等； - 发送地址from和目标合约地址to。</w:t>
      </w:r>
    </w:p>
    <w:p w14:paraId="2CA6C230">
      <w:pPr>
        <w:spacing w:before="180" w:after="180"/>
        <w:rPr>
          <w:rFonts w:ascii="Cambria" w:hAnsi="Cambria" w:eastAsia="Cambria" w:cs="Times New Roman"/>
          <w:sz w:val="24"/>
          <w:szCs w:val="24"/>
          <w:lang w:val="en-US" w:eastAsia="en-US" w:bidi="ar-SA"/>
        </w:rPr>
      </w:pPr>
      <w:r>
        <w:rPr>
          <w:rFonts w:ascii="Cambria" w:hAnsi="Cambria" w:eastAsia="Cambria" w:cs="Times New Roman"/>
          <w:b/>
          <w:bCs/>
          <w:sz w:val="24"/>
          <w:szCs w:val="24"/>
          <w:lang w:val="en-US" w:eastAsia="en-US" w:bidi="ar-SA"/>
        </w:rPr>
        <w:t>历史统计特征</w:t>
      </w:r>
      <w:r>
        <w:rPr>
          <w:rFonts w:ascii="Cambria" w:hAnsi="Cambria" w:eastAsia="Cambria" w:cs="Times New Roman"/>
          <w:sz w:val="24"/>
          <w:szCs w:val="24"/>
          <w:lang w:val="en-US" w:eastAsia="en-US" w:bidi="ar-SA"/>
        </w:rPr>
        <w:t>包括： - 历史执行成功率p_success：该发送地址或目标合约历史交易的执行成功比例； - 历史确认延迟d_hist：该类型交易的平均确认等待时间； - 历史失败率p_fail：历史交易执行失败的比例； - 历史异常行为命中率p_anomaly：该地址参与的交易被标记为异常行为的比例。</w:t>
      </w:r>
    </w:p>
    <w:p w14:paraId="3C9815F6">
      <w:pPr>
        <w:spacing w:before="180" w:after="180"/>
        <w:rPr>
          <w:rFonts w:ascii="Cambria" w:hAnsi="Cambria" w:eastAsia="Cambria" w:cs="Times New Roman"/>
          <w:sz w:val="24"/>
          <w:szCs w:val="24"/>
          <w:lang w:val="en-US" w:eastAsia="en-US" w:bidi="ar-SA"/>
        </w:rPr>
      </w:pPr>
      <w:r>
        <w:rPr>
          <w:rFonts w:ascii="Cambria" w:hAnsi="Cambria" w:eastAsia="Cambria" w:cs="Times New Roman"/>
          <w:b/>
          <w:bCs/>
          <w:sz w:val="24"/>
          <w:szCs w:val="24"/>
          <w:lang w:val="en-US" w:eastAsia="en-US" w:bidi="ar-SA"/>
        </w:rPr>
        <w:t>顺序敏感特征</w:t>
      </w:r>
      <w:r>
        <w:rPr>
          <w:rFonts w:ascii="Cambria" w:hAnsi="Cambria" w:eastAsia="Cambria" w:cs="Times New Roman"/>
          <w:sz w:val="24"/>
          <w:szCs w:val="24"/>
          <w:lang w:val="en-US" w:eastAsia="en-US" w:bidi="ar-SA"/>
        </w:rPr>
        <w:t>包括： - 交易依赖关系dep(txᵢ)：当前交易依赖的前置交易集合； - 交易冲突度conflict(txᵢ)：与其他候选交易的状态读写冲突程度； - 状态转移影响度impact(txᵢ)：当前交易对全局状态的修改范围和影响程度； - 地址关联度addr_rel(txᵢ)：交易涉及地址与其他候选交易地址的关联强度； - 合约关联度contract_rel(txᵢ)：交易涉及合约与其他候选交易合约的关联强度。</w:t>
      </w:r>
    </w:p>
    <w:p w14:paraId="4BCA3168">
      <w:pPr>
        <w:spacing w:before="180" w:after="180"/>
        <w:rPr>
          <w:rFonts w:ascii="Cambria" w:hAnsi="Cambria" w:eastAsia="Cambria" w:cs="Times New Roman"/>
          <w:sz w:val="24"/>
          <w:szCs w:val="24"/>
          <w:lang w:val="en-US" w:eastAsia="en-US" w:bidi="ar-SA"/>
        </w:rPr>
      </w:pPr>
      <w:r>
        <w:rPr>
          <w:rFonts w:ascii="Cambria" w:hAnsi="Cambria" w:eastAsia="Cambria" w:cs="Times New Roman"/>
          <w:b/>
          <w:bCs/>
          <w:sz w:val="24"/>
          <w:szCs w:val="24"/>
          <w:lang w:val="en-US" w:eastAsia="en-US" w:bidi="ar-SA"/>
        </w:rPr>
        <w:t>风险相关特征</w:t>
      </w:r>
      <w:r>
        <w:rPr>
          <w:rFonts w:ascii="Cambria" w:hAnsi="Cambria" w:eastAsia="Cambria" w:cs="Times New Roman"/>
          <w:sz w:val="24"/>
          <w:szCs w:val="24"/>
          <w:lang w:val="en-US" w:eastAsia="en-US" w:bidi="ar-SA"/>
        </w:rPr>
        <w:t>的获取方式包括以下三种：</w:t>
      </w:r>
    </w:p>
    <w:p w14:paraId="5FD4387F">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第一种为基于历史异常重排行为统计生成的风险评分。通过分析历史区块数据中交易被异常重排（如被插入、被移位、被抢跑）的频率，为每笔候选交易的发送地址和目标合约计算异常重排命中率，作为风险评分risk_reorder(txᵢ)。</w:t>
      </w:r>
    </w:p>
    <w:p w14:paraId="7AEE556D">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第二种为基于地址、交易和合约之间的关系图生成的结构风险评分。构建以地址和合约为节点、以交易调用关系为边的关系图，利用图分析算法（如PageRank、中心度分析）识别与已知MEV机器人地址或高风险合约存在密切关联的节点，生成结构风险评分risk_struct(txᵢ)。</w:t>
      </w:r>
    </w:p>
    <w:p w14:paraId="7165940B">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第三种为基于历史交易失败、抢跑、插队或异常高频行为统计生成的行为风险评分。统计候选交易发送地址在历史数据中的交易失败率、参与抢跑攻击的次数、异常高频提交交易的行为特征等，综合生成行为风险评分risk_behavior(txᵢ)。</w:t>
      </w:r>
    </w:p>
    <w:p w14:paraId="73CBCE5F">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如图3所示，将上述交易基础特征、历史统计特征、顺序敏感特征和风险相关特征拼接为原始特征向量，通过特征编码器生成候选交易表示。本实施例采用多层感知机（MLP）作为基础编码器：</w:t>
      </w:r>
    </w:p>
    <w:p w14:paraId="29013E29">
      <w:pPr>
        <w:wordWrap w:val="0"/>
        <w:spacing w:after="200"/>
        <w:rPr>
          <w:rFonts w:ascii="Cambria" w:hAnsi="Cambria" w:eastAsia="Cambria" w:cs="Times New Roman"/>
          <w:sz w:val="24"/>
          <w:szCs w:val="24"/>
          <w:lang w:val="en-US" w:eastAsia="en-US" w:bidi="ar-SA"/>
        </w:rPr>
      </w:pPr>
      <w:r>
        <w:rPr>
          <w:rFonts w:ascii="Consolas" w:hAnsi="Consolas" w:eastAsia="Cambria" w:cs="Times New Roman"/>
          <w:sz w:val="22"/>
          <w:szCs w:val="24"/>
          <w:lang w:val="en-US" w:eastAsia="en-US" w:bidi="ar-SA"/>
        </w:rPr>
        <w:t>h_i = ReLU(W₂ · ReLU(W₁ · x_i + b₁) + b₂)</w:t>
      </w:r>
    </w:p>
    <w:p w14:paraId="2FC0B7ED">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其中x_i为第i笔候选交易的原始特征向量，h_i为生成的候选交易表示向量，维度为d=128。</w:t>
      </w:r>
    </w:p>
    <w:p w14:paraId="169ABB69">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在其他实施方式中，特征编码器也可以采用图神经网络（GNN）、Transformer编码器或循环神经网络（RNN）。其中，GNN适用于对交易间关系图结构进行建模，能够有效捕获交易依赖和冲突关系中的拓扑信息；Transformer编码器通过自注意力机制对候选交易集合进行全局建模，适用于捕获交易间的长距离依赖关系；RNN适用于对已选交易序列进行编码，能够有效建模序列特征。</w:t>
      </w:r>
    </w:p>
    <w:p w14:paraId="46BB4712">
      <w:pPr>
        <w:keepNext/>
        <w:keepLines/>
        <w:spacing w:before="200" w:after="0"/>
        <w:outlineLvl w:val="3"/>
        <w:rPr>
          <w:rFonts w:hint="eastAsia" w:ascii="Calibri" w:hAnsi="Calibri" w:eastAsia="宋体" w:cs="Times New Roman"/>
          <w:bCs/>
          <w:i/>
          <w:color w:val="auto"/>
          <w:sz w:val="24"/>
          <w:szCs w:val="24"/>
          <w:lang w:val="en-US" w:eastAsia="en-US" w:bidi="ar-SA"/>
        </w:rPr>
      </w:pPr>
      <w:bookmarkStart w:id="1" w:name="s3构成排序决策状态并过滤生成合法动作集合"/>
      <w:r>
        <w:rPr>
          <w:rFonts w:hint="eastAsia" w:ascii="Calibri" w:hAnsi="Calibri" w:eastAsia="宋体" w:cs="Times New Roman"/>
          <w:bCs/>
          <w:i/>
          <w:color w:val="auto"/>
          <w:sz w:val="24"/>
          <w:szCs w:val="24"/>
          <w:lang w:val="en-US" w:eastAsia="en-US" w:bidi="ar-SA"/>
        </w:rPr>
        <w:t>S3：构成排序决策状态并过滤生成合法动作集合</w:t>
      </w:r>
    </w:p>
    <w:p w14:paraId="43742CD3">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将候选交易表示与当前区块构建状态信息共同构成排序决策状态s_t。区块构建状态信息包括： - 区块剩余容量g_remain = G_limit - G_used； - 已选交易序列状态，包括已选交易数量k、已选交易的特征摘要向量h_seq（通过对已选交易表示取均值池化或注意力池化获得）； - 已累计收益项R_accum和已累计成本项C_accum。</w:t>
      </w:r>
    </w:p>
    <w:p w14:paraId="076C4E17">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排序决策状态表示为：</w:t>
      </w:r>
    </w:p>
    <w:p w14:paraId="03EF4D6A">
      <w:pPr>
        <w:wordWrap w:val="0"/>
        <w:spacing w:after="200"/>
        <w:rPr>
          <w:rFonts w:ascii="Cambria" w:hAnsi="Cambria" w:eastAsia="Cambria" w:cs="Times New Roman"/>
          <w:sz w:val="24"/>
          <w:szCs w:val="24"/>
          <w:lang w:val="en-US" w:eastAsia="en-US" w:bidi="ar-SA"/>
        </w:rPr>
      </w:pPr>
      <w:r>
        <w:rPr>
          <w:rFonts w:ascii="Consolas" w:hAnsi="Consolas" w:eastAsia="Cambria" w:cs="Times New Roman"/>
          <w:sz w:val="22"/>
          <w:szCs w:val="24"/>
          <w:lang w:val="en-US" w:eastAsia="en-US" w:bidi="ar-SA"/>
        </w:rPr>
        <w:t>s_t = [h_candidates; g_remain; h_seq; R_accum; C_accum; λ]</w:t>
      </w:r>
    </w:p>
    <w:p w14:paraId="1334BA63">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将排序决策状态输入排序决策模型。同时，如图5所示，基于预设合法性规则对候选交易进行过滤，生成合法动作集合A_t。合法性规则包括：</w:t>
      </w:r>
    </w:p>
    <w:p w14:paraId="6C922C02">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（1）容量约束：候选交易的Gas消耗估计不超过区块剩余容量，即g_est(txᵢ) ≤ g_remain； （2）依赖约束：候选交易的前置依赖交易已全部被选入区块执行序列； （3）冲突约束：候选交易与已选交易序列之间不存在状态写冲突； （4）风险控制约束：候选交易的风险评分不超过当前风险控制阈值。</w:t>
      </w:r>
    </w:p>
    <w:bookmarkEnd w:id="1"/>
    <w:p w14:paraId="1345EF6C">
      <w:pPr>
        <w:keepNext/>
        <w:keepLines/>
        <w:spacing w:before="200" w:after="0"/>
        <w:outlineLvl w:val="3"/>
        <w:rPr>
          <w:rFonts w:ascii="Calibri" w:hAnsi="Calibri" w:eastAsia="宋体" w:cs="Times New Roman"/>
          <w:bCs/>
          <w:i/>
          <w:color w:val="auto"/>
          <w:sz w:val="24"/>
          <w:szCs w:val="24"/>
          <w:lang w:val="en-US" w:eastAsia="en-US" w:bidi="ar-SA"/>
        </w:rPr>
      </w:pPr>
      <w:bookmarkStart w:id="2" w:name="s4选择目标交易"/>
      <w:r>
        <w:rPr>
          <w:rFonts w:ascii="Calibri" w:hAnsi="Calibri" w:eastAsia="宋体" w:cs="Times New Roman"/>
          <w:bCs/>
          <w:i/>
          <w:color w:val="auto"/>
          <w:sz w:val="24"/>
          <w:szCs w:val="24"/>
          <w:lang w:val="en-US" w:eastAsia="en-US" w:bidi="ar-SA"/>
        </w:rPr>
        <w:t>S4：选择目标交易</w:t>
      </w:r>
    </w:p>
    <w:p w14:paraId="070AD958">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如图4所示，本实施例中排序决策模型采用基于Actor-Critic架构的强化学习模型。</w:t>
      </w:r>
    </w:p>
    <w:p w14:paraId="6B64B379">
      <w:pPr>
        <w:spacing w:before="180" w:after="180"/>
        <w:rPr>
          <w:rFonts w:ascii="Cambria" w:hAnsi="Cambria" w:eastAsia="Cambria" w:cs="Times New Roman"/>
          <w:sz w:val="24"/>
          <w:szCs w:val="24"/>
          <w:lang w:val="en-US" w:eastAsia="en-US" w:bidi="ar-SA"/>
        </w:rPr>
      </w:pPr>
      <w:r>
        <w:rPr>
          <w:rFonts w:ascii="Cambria" w:hAnsi="Cambria" w:eastAsia="Cambria" w:cs="Times New Roman"/>
          <w:b/>
          <w:bCs/>
          <w:sz w:val="24"/>
          <w:szCs w:val="24"/>
          <w:lang w:val="en-US" w:eastAsia="en-US" w:bidi="ar-SA"/>
        </w:rPr>
        <w:t>Actor网络</w:t>
      </w:r>
      <w:r>
        <w:rPr>
          <w:rFonts w:ascii="Cambria" w:hAnsi="Cambria" w:eastAsia="Cambria" w:cs="Times New Roman"/>
          <w:sz w:val="24"/>
          <w:szCs w:val="24"/>
          <w:lang w:val="en-US" w:eastAsia="en-US" w:bidi="ar-SA"/>
        </w:rPr>
        <w:t>（策略网络）接收排序决策状态s_t，输出候选交易的选择概率分布：</w:t>
      </w:r>
    </w:p>
    <w:p w14:paraId="7392002F">
      <w:pPr>
        <w:wordWrap w:val="0"/>
        <w:spacing w:after="200"/>
        <w:rPr>
          <w:rFonts w:ascii="Cambria" w:hAnsi="Cambria" w:eastAsia="Cambria" w:cs="Times New Roman"/>
          <w:sz w:val="24"/>
          <w:szCs w:val="24"/>
          <w:lang w:val="en-US" w:eastAsia="en-US" w:bidi="ar-SA"/>
        </w:rPr>
      </w:pPr>
      <w:r>
        <w:rPr>
          <w:rFonts w:ascii="Consolas" w:hAnsi="Consolas" w:eastAsia="Cambria" w:cs="Times New Roman"/>
          <w:sz w:val="22"/>
          <w:szCs w:val="24"/>
          <w:lang w:val="en-US" w:eastAsia="en-US" w:bidi="ar-SA"/>
        </w:rPr>
        <w:t>π_θ(a|s_t) = softmax(W_a · ReLU(W_s · s_t + b_s) + b_a)</w:t>
      </w:r>
    </w:p>
    <w:p w14:paraId="1013B1F4">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在输出概率分布上施加合法性掩码（mask），将不在合法动作集合中的交易概率置零并重新归一化：</w:t>
      </w:r>
    </w:p>
    <w:p w14:paraId="0AD611FA">
      <w:pPr>
        <w:wordWrap w:val="0"/>
        <w:spacing w:after="200"/>
        <w:rPr>
          <w:rFonts w:ascii="Cambria" w:hAnsi="Cambria" w:eastAsia="Cambria" w:cs="Times New Roman"/>
          <w:sz w:val="24"/>
          <w:szCs w:val="24"/>
          <w:lang w:val="en-US" w:eastAsia="en-US" w:bidi="ar-SA"/>
        </w:rPr>
      </w:pPr>
      <w:r>
        <w:rPr>
          <w:rFonts w:ascii="Consolas" w:hAnsi="Consolas" w:eastAsia="Cambria" w:cs="Times New Roman"/>
          <w:sz w:val="22"/>
          <w:szCs w:val="24"/>
          <w:lang w:val="en-US" w:eastAsia="en-US" w:bidi="ar-SA"/>
        </w:rPr>
        <w:t>π_masked(a|s_t) = π_θ(a|s_t) · I(a ∈ A_t) / Σ_{a'∈A_t} π_θ(a'|s_t)</w:t>
      </w:r>
    </w:p>
    <w:p w14:paraId="664F9364">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从掩码后的概率分布中采样（训练时）或取argmax（推理时）选择目标交易tx*。</w:t>
      </w:r>
    </w:p>
    <w:p w14:paraId="2166F4BA">
      <w:pPr>
        <w:spacing w:before="180" w:after="180"/>
        <w:rPr>
          <w:rFonts w:ascii="Cambria" w:hAnsi="Cambria" w:eastAsia="Cambria" w:cs="Times New Roman"/>
          <w:sz w:val="24"/>
          <w:szCs w:val="24"/>
          <w:lang w:val="en-US" w:eastAsia="en-US" w:bidi="ar-SA"/>
        </w:rPr>
      </w:pPr>
      <w:r>
        <w:rPr>
          <w:rFonts w:ascii="Cambria" w:hAnsi="Cambria" w:eastAsia="Cambria" w:cs="Times New Roman"/>
          <w:b/>
          <w:bCs/>
          <w:sz w:val="24"/>
          <w:szCs w:val="24"/>
          <w:lang w:val="en-US" w:eastAsia="en-US" w:bidi="ar-SA"/>
        </w:rPr>
        <w:t>Critic网络</w:t>
      </w:r>
      <w:r>
        <w:rPr>
          <w:rFonts w:ascii="Cambria" w:hAnsi="Cambria" w:eastAsia="Cambria" w:cs="Times New Roman"/>
          <w:sz w:val="24"/>
          <w:szCs w:val="24"/>
          <w:lang w:val="en-US" w:eastAsia="en-US" w:bidi="ar-SA"/>
        </w:rPr>
        <w:t>（价值网络）估计当前状态的期望累积奖励：</w:t>
      </w:r>
    </w:p>
    <w:p w14:paraId="7AF11716">
      <w:pPr>
        <w:wordWrap w:val="0"/>
        <w:spacing w:after="200"/>
        <w:rPr>
          <w:rFonts w:ascii="Cambria" w:hAnsi="Cambria" w:eastAsia="Cambria" w:cs="Times New Roman"/>
          <w:sz w:val="24"/>
          <w:szCs w:val="24"/>
          <w:lang w:val="en-US" w:eastAsia="en-US" w:bidi="ar-SA"/>
        </w:rPr>
      </w:pPr>
      <w:r>
        <w:rPr>
          <w:rFonts w:ascii="Consolas" w:hAnsi="Consolas" w:eastAsia="Cambria" w:cs="Times New Roman"/>
          <w:sz w:val="22"/>
          <w:szCs w:val="24"/>
          <w:lang w:val="en-US" w:eastAsia="en-US" w:bidi="ar-SA"/>
        </w:rPr>
        <w:t>V_ψ(s_t) = W_v · ReLU(W_s' · s_t + b_s') + b_v</w:t>
      </w:r>
    </w:p>
    <w:p w14:paraId="4129A4EA">
      <w:pPr>
        <w:spacing w:before="180" w:after="180"/>
        <w:rPr>
          <w:rFonts w:ascii="Cambria" w:hAnsi="Cambria" w:eastAsia="Cambria" w:cs="Times New Roman"/>
          <w:sz w:val="24"/>
          <w:szCs w:val="24"/>
          <w:lang w:val="en-US" w:eastAsia="en-US" w:bidi="ar-SA"/>
        </w:rPr>
      </w:pPr>
      <w:r>
        <w:rPr>
          <w:rFonts w:ascii="Cambria" w:hAnsi="Cambria" w:eastAsia="Cambria" w:cs="Times New Roman"/>
          <w:b/>
          <w:bCs/>
          <w:sz w:val="24"/>
          <w:szCs w:val="24"/>
          <w:lang w:val="en-US" w:eastAsia="en-US" w:bidi="ar-SA"/>
        </w:rPr>
        <w:t>成本Critic网络</w:t>
      </w:r>
      <w:r>
        <w:rPr>
          <w:rFonts w:ascii="Cambria" w:hAnsi="Cambria" w:eastAsia="Cambria" w:cs="Times New Roman"/>
          <w:sz w:val="24"/>
          <w:szCs w:val="24"/>
          <w:lang w:val="en-US" w:eastAsia="en-US" w:bidi="ar-SA"/>
        </w:rPr>
        <w:t>估计当前状态的期望累积成本：</w:t>
      </w:r>
    </w:p>
    <w:p w14:paraId="0691BF4A">
      <w:pPr>
        <w:wordWrap w:val="0"/>
        <w:spacing w:after="200"/>
        <w:rPr>
          <w:rFonts w:ascii="Cambria" w:hAnsi="Cambria" w:eastAsia="Cambria" w:cs="Times New Roman"/>
          <w:sz w:val="24"/>
          <w:szCs w:val="24"/>
          <w:lang w:val="en-US" w:eastAsia="en-US" w:bidi="ar-SA"/>
        </w:rPr>
      </w:pPr>
      <w:r>
        <w:rPr>
          <w:rFonts w:ascii="Consolas" w:hAnsi="Consolas" w:eastAsia="Cambria" w:cs="Times New Roman"/>
          <w:sz w:val="22"/>
          <w:szCs w:val="24"/>
          <w:lang w:val="en-US" w:eastAsia="en-US" w:bidi="ar-SA"/>
        </w:rPr>
        <w:t>V_c(s_t) = W_c · ReLU(W_s'' · s_t + b_s'') + b_c</w:t>
      </w:r>
    </w:p>
    <w:p w14:paraId="5212A002">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将选中的目标交易tx*加入当前区块执行序列。</w:t>
      </w:r>
    </w:p>
    <w:bookmarkEnd w:id="2"/>
    <w:p w14:paraId="572901E1">
      <w:pPr>
        <w:keepNext/>
        <w:keepLines/>
        <w:spacing w:before="200" w:after="0"/>
        <w:outlineLvl w:val="3"/>
        <w:rPr>
          <w:rFonts w:ascii="Calibri" w:hAnsi="Calibri" w:eastAsia="宋体" w:cs="Times New Roman"/>
          <w:bCs/>
          <w:i/>
          <w:color w:val="auto"/>
          <w:sz w:val="24"/>
          <w:szCs w:val="24"/>
          <w:lang w:val="en-US" w:eastAsia="en-US" w:bidi="ar-SA"/>
        </w:rPr>
      </w:pPr>
      <w:bookmarkStart w:id="3" w:name="s5更新候选交易集合与区块构建状态信息"/>
      <w:r>
        <w:rPr>
          <w:rFonts w:ascii="Calibri" w:hAnsi="Calibri" w:eastAsia="宋体" w:cs="Times New Roman"/>
          <w:bCs/>
          <w:i/>
          <w:color w:val="auto"/>
          <w:sz w:val="24"/>
          <w:szCs w:val="24"/>
          <w:lang w:val="en-US" w:eastAsia="en-US" w:bidi="ar-SA"/>
        </w:rPr>
        <w:t>S5：更新候选交易集合与区块构建状态信息</w:t>
      </w:r>
    </w:p>
    <w:p w14:paraId="0C1B724F">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将目标交易tx</w:t>
      </w:r>
      <w:r>
        <w:rPr>
          <w:rFonts w:ascii="Cambria" w:hAnsi="Cambria" w:eastAsia="Cambria" w:cs="Times New Roman"/>
          <w:i/>
          <w:iCs/>
          <w:sz w:val="24"/>
          <w:szCs w:val="24"/>
          <w:lang w:val="en-US" w:eastAsia="en-US" w:bidi="ar-SA"/>
        </w:rPr>
        <w:t>从候选交易集合中移除：T ← T  {tx</w:t>
      </w:r>
      <w:r>
        <w:rPr>
          <w:rFonts w:ascii="Cambria" w:hAnsi="Cambria" w:eastAsia="Cambria" w:cs="Times New Roman"/>
          <w:sz w:val="24"/>
          <w:szCs w:val="24"/>
          <w:lang w:val="en-US" w:eastAsia="en-US" w:bidi="ar-SA"/>
        </w:rPr>
        <w:t>}。更新区块构建状态信息： - 区块剩余容量：g_remain ← g_remain - g_est(tx</w:t>
      </w:r>
      <w:r>
        <w:rPr>
          <w:rFonts w:ascii="Cambria" w:hAnsi="Cambria" w:eastAsia="Cambria" w:cs="Times New Roman"/>
          <w:i/>
          <w:iCs/>
          <w:sz w:val="24"/>
          <w:szCs w:val="24"/>
          <w:lang w:val="en-US" w:eastAsia="en-US" w:bidi="ar-SA"/>
        </w:rPr>
        <w:t>)； - 已选交易数量：k ← k + 1； - 已选交易序列摘要：更新h_seq以包含tx</w:t>
      </w:r>
      <w:r>
        <w:rPr>
          <w:rFonts w:ascii="Cambria" w:hAnsi="Cambria" w:eastAsia="Cambria" w:cs="Times New Roman"/>
          <w:sz w:val="24"/>
          <w:szCs w:val="24"/>
          <w:lang w:val="en-US" w:eastAsia="en-US" w:bidi="ar-SA"/>
        </w:rPr>
        <w:t>的表示； - 已累计收益项和已累计成本项：分别累加当步奖励和成本的增量。</w:t>
      </w:r>
    </w:p>
    <w:bookmarkEnd w:id="3"/>
    <w:p w14:paraId="375CF117">
      <w:pPr>
        <w:keepNext/>
        <w:keepLines/>
        <w:spacing w:before="200" w:after="0"/>
        <w:outlineLvl w:val="3"/>
        <w:rPr>
          <w:rFonts w:ascii="Calibri" w:hAnsi="Calibri" w:eastAsia="宋体" w:cs="Times New Roman"/>
          <w:bCs/>
          <w:i/>
          <w:color w:val="auto"/>
          <w:sz w:val="24"/>
          <w:szCs w:val="24"/>
          <w:lang w:val="en-US" w:eastAsia="en-US" w:bidi="ar-SA"/>
        </w:rPr>
      </w:pPr>
      <w:bookmarkStart w:id="4" w:name="s6计算奖励项与成本项更新风险约束参数"/>
      <w:r>
        <w:rPr>
          <w:rFonts w:ascii="Calibri" w:hAnsi="Calibri" w:eastAsia="宋体" w:cs="Times New Roman"/>
          <w:bCs/>
          <w:i/>
          <w:color w:val="auto"/>
          <w:sz w:val="24"/>
          <w:szCs w:val="24"/>
          <w:lang w:val="en-US" w:eastAsia="en-US" w:bidi="ar-SA"/>
        </w:rPr>
        <w:t>S6：计算奖励项与成本项，更新风险约束参数</w:t>
      </w:r>
    </w:p>
    <w:p w14:paraId="10C66EF1">
      <w:pPr>
        <w:spacing w:before="180" w:after="180"/>
        <w:rPr>
          <w:rFonts w:ascii="Cambria" w:hAnsi="Cambria" w:eastAsia="Cambria" w:cs="Times New Roman"/>
          <w:sz w:val="24"/>
          <w:szCs w:val="24"/>
          <w:lang w:val="en-US" w:eastAsia="en-US" w:bidi="ar-SA"/>
        </w:rPr>
      </w:pPr>
      <w:r>
        <w:rPr>
          <w:rFonts w:ascii="Cambria" w:hAnsi="Cambria" w:eastAsia="Cambria" w:cs="Times New Roman"/>
          <w:b/>
          <w:bCs/>
          <w:sz w:val="24"/>
          <w:szCs w:val="24"/>
          <w:lang w:val="en-US" w:eastAsia="en-US" w:bidi="ar-SA"/>
        </w:rPr>
        <w:t>奖励项</w:t>
      </w:r>
      <w:r>
        <w:rPr>
          <w:rFonts w:ascii="Cambria" w:hAnsi="Cambria" w:eastAsia="Cambria" w:cs="Times New Roman"/>
          <w:sz w:val="24"/>
          <w:szCs w:val="24"/>
          <w:lang w:val="en-US" w:eastAsia="en-US" w:bidi="ar-SA"/>
        </w:rPr>
        <w:t>r_t的计算包括： - 区块手续费收益：r_fee = priorityFeePerGas(tx</w:t>
      </w:r>
      <w:r>
        <w:rPr>
          <w:rFonts w:ascii="Cambria" w:hAnsi="Cambria" w:eastAsia="Cambria" w:cs="Times New Roman"/>
          <w:i/>
          <w:iCs/>
          <w:sz w:val="24"/>
          <w:szCs w:val="24"/>
          <w:lang w:val="en-US" w:eastAsia="en-US" w:bidi="ar-SA"/>
        </w:rPr>
        <w:t>) × g_actual(tx</w:t>
      </w:r>
      <w:r>
        <w:rPr>
          <w:rFonts w:ascii="Cambria" w:hAnsi="Cambria" w:eastAsia="Cambria" w:cs="Times New Roman"/>
          <w:sz w:val="24"/>
          <w:szCs w:val="24"/>
          <w:lang w:val="en-US" w:eastAsia="en-US" w:bidi="ar-SA"/>
        </w:rPr>
        <w:t>)，其中g_actual为实际Gas消耗； - 有效打包率增量：Δp_valid = I(tx</w:t>
      </w:r>
      <w:r>
        <w:rPr>
          <w:rFonts w:ascii="Cambria" w:hAnsi="Cambria" w:eastAsia="Cambria" w:cs="Times New Roman"/>
          <w:i/>
          <w:iCs/>
          <w:sz w:val="24"/>
          <w:szCs w:val="24"/>
          <w:lang w:val="en-US" w:eastAsia="en-US" w:bidi="ar-SA"/>
        </w:rPr>
        <w:t>执行成功) / k； - 吞吐量增益：r_throughput = g_actual(tx</w:t>
      </w:r>
      <w:r>
        <w:rPr>
          <w:rFonts w:ascii="Cambria" w:hAnsi="Cambria" w:eastAsia="Cambria" w:cs="Times New Roman"/>
          <w:sz w:val="24"/>
          <w:szCs w:val="24"/>
          <w:lang w:val="en-US" w:eastAsia="en-US" w:bidi="ar-SA"/>
        </w:rPr>
        <w:t>) / G_limit。</w:t>
      </w:r>
    </w:p>
    <w:p w14:paraId="791363C5">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综合奖励为：r_t = w₁·r_fee + w₂·Δp_valid + w₃·r_throughput，其中w₁、w₂、w₃为预设权重系数。</w:t>
      </w:r>
    </w:p>
    <w:p w14:paraId="5A54CA84">
      <w:pPr>
        <w:spacing w:before="180" w:after="180"/>
        <w:rPr>
          <w:rFonts w:ascii="Cambria" w:hAnsi="Cambria" w:eastAsia="Cambria" w:cs="Times New Roman"/>
          <w:sz w:val="24"/>
          <w:szCs w:val="24"/>
          <w:lang w:val="en-US" w:eastAsia="en-US" w:bidi="ar-SA"/>
        </w:rPr>
      </w:pPr>
      <w:r>
        <w:rPr>
          <w:rFonts w:ascii="Cambria" w:hAnsi="Cambria" w:eastAsia="Cambria" w:cs="Times New Roman"/>
          <w:b/>
          <w:bCs/>
          <w:sz w:val="24"/>
          <w:szCs w:val="24"/>
          <w:lang w:val="en-US" w:eastAsia="en-US" w:bidi="ar-SA"/>
        </w:rPr>
        <w:t>成本项</w:t>
      </w:r>
      <w:r>
        <w:rPr>
          <w:rFonts w:ascii="Cambria" w:hAnsi="Cambria" w:eastAsia="Cambria" w:cs="Times New Roman"/>
          <w:sz w:val="24"/>
          <w:szCs w:val="24"/>
          <w:lang w:val="en-US" w:eastAsia="en-US" w:bidi="ar-SA"/>
        </w:rPr>
        <w:t>c_t的计算包括： - 交易确认延迟成本：c_delay = (t_current - t_arrive(tx</w:t>
      </w:r>
      <w:r>
        <w:rPr>
          <w:rFonts w:ascii="Cambria" w:hAnsi="Cambria" w:eastAsia="Cambria" w:cs="Times New Roman"/>
          <w:i/>
          <w:iCs/>
          <w:sz w:val="24"/>
          <w:szCs w:val="24"/>
          <w:lang w:val="en-US" w:eastAsia="en-US" w:bidi="ar-SA"/>
        </w:rPr>
        <w:t>)) / T_max，归一化到[0,1]区间； - 公平性损失：c_fair = max(0, mean_fee - fee(tx</w:t>
      </w:r>
      <w:r>
        <w:rPr>
          <w:rFonts w:ascii="Cambria" w:hAnsi="Cambria" w:eastAsia="Cambria" w:cs="Times New Roman"/>
          <w:sz w:val="24"/>
          <w:szCs w:val="24"/>
          <w:lang w:val="en-US" w:eastAsia="en-US" w:bidi="ar-SA"/>
        </w:rPr>
        <w:t>)) / mean_fee，衡量低手续费交易被延迟打包的程度； - 高风险排序行为暴露度：c_risk = risk_score(tx</w:t>
      </w:r>
      <w:r>
        <w:rPr>
          <w:rFonts w:ascii="Cambria" w:hAnsi="Cambria" w:eastAsia="Cambria" w:cs="Times New Roman"/>
          <w:i/>
          <w:iCs/>
          <w:sz w:val="24"/>
          <w:szCs w:val="24"/>
          <w:lang w:val="en-US" w:eastAsia="en-US" w:bidi="ar-SA"/>
        </w:rPr>
        <w:t>) × position_sensitivity(tx</w:t>
      </w:r>
      <w:r>
        <w:rPr>
          <w:rFonts w:ascii="Cambria" w:hAnsi="Cambria" w:eastAsia="Cambria" w:cs="Times New Roman"/>
          <w:sz w:val="24"/>
          <w:szCs w:val="24"/>
          <w:lang w:val="en-US" w:eastAsia="en-US" w:bidi="ar-SA"/>
        </w:rPr>
        <w:t>)，衡量将高风险交易放置在敏感位置的风险程度； - 顺序敏感交易损失估计：c_order = estimated_slippage(tx*)，估计因当前排序导致的滑点损失。</w:t>
      </w:r>
    </w:p>
    <w:p w14:paraId="15DFDCC9">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综合成本为：c_t = c_delay + c_fair + c_risk + c_order。</w:t>
      </w:r>
    </w:p>
    <w:p w14:paraId="61B5037C">
      <w:pPr>
        <w:spacing w:before="180" w:after="180"/>
        <w:rPr>
          <w:rFonts w:ascii="Cambria" w:hAnsi="Cambria" w:eastAsia="Cambria" w:cs="Times New Roman"/>
          <w:sz w:val="24"/>
          <w:szCs w:val="24"/>
          <w:lang w:val="en-US" w:eastAsia="en-US" w:bidi="ar-SA"/>
        </w:rPr>
      </w:pPr>
      <w:r>
        <w:rPr>
          <w:rFonts w:ascii="Cambria" w:hAnsi="Cambria" w:eastAsia="Cambria" w:cs="Times New Roman"/>
          <w:b/>
          <w:bCs/>
          <w:sz w:val="24"/>
          <w:szCs w:val="24"/>
          <w:lang w:val="en-US" w:eastAsia="en-US" w:bidi="ar-SA"/>
        </w:rPr>
        <w:t>风险约束参数更新</w:t>
      </w:r>
      <w:r>
        <w:rPr>
          <w:rFonts w:ascii="Cambria" w:hAnsi="Cambria" w:eastAsia="Cambria" w:cs="Times New Roman"/>
          <w:sz w:val="24"/>
          <w:szCs w:val="24"/>
          <w:lang w:val="en-US" w:eastAsia="en-US" w:bidi="ar-SA"/>
        </w:rPr>
        <w:t>：如图7所示，根据当前区块构建的累积成本与预设成本阈值的偏差，更新风险约束参数λ：</w:t>
      </w:r>
    </w:p>
    <w:p w14:paraId="1016E33F">
      <w:pPr>
        <w:wordWrap w:val="0"/>
        <w:spacing w:after="200"/>
        <w:rPr>
          <w:rFonts w:ascii="Cambria" w:hAnsi="Cambria" w:eastAsia="Cambria" w:cs="Times New Roman"/>
          <w:sz w:val="24"/>
          <w:szCs w:val="24"/>
          <w:lang w:val="en-US" w:eastAsia="en-US" w:bidi="ar-SA"/>
        </w:rPr>
      </w:pPr>
      <w:r>
        <w:rPr>
          <w:rFonts w:ascii="Consolas" w:hAnsi="Consolas" w:eastAsia="Cambria" w:cs="Times New Roman"/>
          <w:sz w:val="22"/>
          <w:szCs w:val="24"/>
          <w:lang w:val="en-US" w:eastAsia="en-US" w:bidi="ar-SA"/>
        </w:rPr>
        <w:t>λ(t+1) = max(0, λ(t) + η·(C(t) - C₀))</w:t>
      </w:r>
    </w:p>
    <w:p w14:paraId="754E1347">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其中η = 0.01为更新步长，C₀为预设成本阈值。当实际成本超过阈值时，λ增大，模型在后续决策中更加重视风险控制；当实际成本低于阈值时，λ减小，模型在后续决策中适当放松风险约束以提升收益。</w:t>
      </w:r>
    </w:p>
    <w:bookmarkEnd w:id="4"/>
    <w:p w14:paraId="57245B43">
      <w:pPr>
        <w:keepNext/>
        <w:keepLines/>
        <w:spacing w:before="200" w:after="0"/>
        <w:outlineLvl w:val="3"/>
        <w:rPr>
          <w:rFonts w:ascii="Calibri" w:hAnsi="Calibri" w:eastAsia="宋体" w:cs="Times New Roman"/>
          <w:bCs/>
          <w:i/>
          <w:color w:val="auto"/>
          <w:sz w:val="24"/>
          <w:szCs w:val="24"/>
          <w:lang w:val="en-US" w:eastAsia="en-US" w:bidi="ar-SA"/>
        </w:rPr>
      </w:pPr>
      <w:bookmarkStart w:id="5" w:name="s7迭代与终止"/>
      <w:r>
        <w:rPr>
          <w:rFonts w:ascii="Calibri" w:hAnsi="Calibri" w:eastAsia="宋体" w:cs="Times New Roman"/>
          <w:bCs/>
          <w:i/>
          <w:color w:val="auto"/>
          <w:sz w:val="24"/>
          <w:szCs w:val="24"/>
          <w:lang w:val="en-US" w:eastAsia="en-US" w:bidi="ar-SA"/>
        </w:rPr>
        <w:t>S7：迭代与终止</w:t>
      </w:r>
    </w:p>
    <w:p w14:paraId="16770639">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重复执行步骤S3至S6，直至满足以下终止条件之一： - 候选交易集合为空； - 区块剩余容量不足以容纳任何候选交易； - 已选交易数量达到预设上限（本实施例设为1500笔）； - 区块构建时间达到预设时限（本实施例设为1秒）。</w:t>
      </w:r>
    </w:p>
    <w:p w14:paraId="66F7AF74">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满足终止条件后，输出区块内交易执行序列。</w:t>
      </w:r>
    </w:p>
    <w:bookmarkEnd w:id="5"/>
    <w:p w14:paraId="5FB3B9F1">
      <w:pPr>
        <w:keepNext/>
        <w:keepLines/>
        <w:spacing w:before="200" w:after="0"/>
        <w:outlineLvl w:val="3"/>
        <w:rPr>
          <w:rFonts w:ascii="Calibri" w:hAnsi="Calibri" w:eastAsia="宋体" w:cs="Times New Roman"/>
          <w:bCs/>
          <w:i/>
          <w:color w:val="auto"/>
          <w:sz w:val="24"/>
          <w:szCs w:val="24"/>
          <w:lang w:val="en-US" w:eastAsia="en-US" w:bidi="ar-SA"/>
        </w:rPr>
      </w:pPr>
      <w:bookmarkStart w:id="6" w:name="约束强化学习训练过程"/>
      <w:r>
        <w:rPr>
          <w:rFonts w:ascii="Calibri" w:hAnsi="Calibri" w:eastAsia="宋体" w:cs="Times New Roman"/>
          <w:bCs/>
          <w:i/>
          <w:color w:val="auto"/>
          <w:sz w:val="24"/>
          <w:szCs w:val="24"/>
          <w:lang w:val="en-US" w:eastAsia="en-US" w:bidi="ar-SA"/>
        </w:rPr>
        <w:t>约束强化学习训练过程</w:t>
      </w:r>
    </w:p>
    <w:p w14:paraId="32982DC1">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如图6所示，本实施例采用约束强化学习（CMDP + 拉格朗日方法）对排序决策模型进行训练。训练目标形式化为：</w:t>
      </w:r>
    </w:p>
    <w:p w14:paraId="40DCC326">
      <w:pPr>
        <w:wordWrap w:val="0"/>
        <w:spacing w:after="200"/>
        <w:rPr>
          <w:rFonts w:ascii="Cambria" w:hAnsi="Cambria" w:eastAsia="Cambria" w:cs="Times New Roman"/>
          <w:sz w:val="24"/>
          <w:szCs w:val="24"/>
          <w:lang w:val="en-US" w:eastAsia="en-US" w:bidi="ar-SA"/>
        </w:rPr>
      </w:pPr>
      <w:r>
        <w:rPr>
          <w:rFonts w:ascii="Consolas" w:hAnsi="Consolas" w:eastAsia="Cambria" w:cs="Times New Roman"/>
          <w:sz w:val="22"/>
          <w:szCs w:val="24"/>
          <w:lang w:val="en-US" w:eastAsia="en-US" w:bidi="ar-SA"/>
        </w:rPr>
        <w:t>max_θ E[Σ_t γ^t · r_t]</w:t>
      </w:r>
      <w:r>
        <w:rPr>
          <w:rFonts w:ascii="Cambria" w:hAnsi="Cambria" w:eastAsia="Cambria" w:cs="Times New Roman"/>
          <w:sz w:val="24"/>
          <w:szCs w:val="24"/>
          <w:lang w:val="en-US" w:eastAsia="en-US" w:bidi="ar-SA"/>
        </w:rPr>
        <w:br w:type="textWrapping"/>
      </w:r>
      <w:r>
        <w:rPr>
          <w:rFonts w:ascii="Consolas" w:hAnsi="Consolas" w:eastAsia="Cambria" w:cs="Times New Roman"/>
          <w:sz w:val="22"/>
          <w:szCs w:val="24"/>
          <w:lang w:val="en-US" w:eastAsia="en-US" w:bidi="ar-SA"/>
        </w:rPr>
        <w:t>s.t. E[Σ_t γ^t · c_t] ≤ C₀</w:t>
      </w:r>
    </w:p>
    <w:p w14:paraId="570F251A">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通过拉格朗日对偶方法转化为鞍点优化问题：</w:t>
      </w:r>
    </w:p>
    <w:p w14:paraId="29E12020">
      <w:pPr>
        <w:wordWrap w:val="0"/>
        <w:spacing w:after="200"/>
        <w:rPr>
          <w:rFonts w:ascii="Cambria" w:hAnsi="Cambria" w:eastAsia="Cambria" w:cs="Times New Roman"/>
          <w:sz w:val="24"/>
          <w:szCs w:val="24"/>
          <w:lang w:val="en-US" w:eastAsia="en-US" w:bidi="ar-SA"/>
        </w:rPr>
      </w:pPr>
      <w:r>
        <w:rPr>
          <w:rFonts w:ascii="Consolas" w:hAnsi="Consolas" w:eastAsia="Cambria" w:cs="Times New Roman"/>
          <w:sz w:val="22"/>
          <w:szCs w:val="24"/>
          <w:lang w:val="en-US" w:eastAsia="en-US" w:bidi="ar-SA"/>
        </w:rPr>
        <w:t>min_λ≥0 max_θ L(θ, λ) = E[Σ_t γ^t · r_t] - λ · (E[Σ_t γ^t · c_t] - C₀)</w:t>
      </w:r>
    </w:p>
    <w:p w14:paraId="176DE32F">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训练算法伪代码如下：</w:t>
      </w:r>
    </w:p>
    <w:p w14:paraId="72929DBA">
      <w:pPr>
        <w:wordWrap w:val="0"/>
        <w:spacing w:after="200"/>
        <w:rPr>
          <w:rFonts w:ascii="Cambria" w:hAnsi="Cambria" w:eastAsia="Cambria" w:cs="Times New Roman"/>
          <w:sz w:val="24"/>
          <w:szCs w:val="24"/>
          <w:lang w:val="en-US" w:eastAsia="en-US" w:bidi="ar-SA"/>
        </w:rPr>
      </w:pPr>
      <w:r>
        <w:rPr>
          <w:rFonts w:ascii="Consolas" w:hAnsi="Consolas" w:eastAsia="Cambria" w:cs="Times New Roman"/>
          <w:sz w:val="22"/>
          <w:szCs w:val="24"/>
          <w:lang w:val="en-US" w:eastAsia="en-US" w:bidi="ar-SA"/>
        </w:rPr>
        <w:t>算法：约束强化学习训练</w:t>
      </w:r>
      <w:r>
        <w:rPr>
          <w:rFonts w:ascii="Cambria" w:hAnsi="Cambria" w:eastAsia="Cambria" w:cs="Times New Roman"/>
          <w:sz w:val="24"/>
          <w:szCs w:val="24"/>
          <w:lang w:val="en-US" w:eastAsia="en-US" w:bidi="ar-SA"/>
        </w:rPr>
        <w:br w:type="textWrapping"/>
      </w:r>
      <w:r>
        <w:rPr>
          <w:rFonts w:ascii="Consolas" w:hAnsi="Consolas" w:eastAsia="Cambria" w:cs="Times New Roman"/>
          <w:sz w:val="22"/>
          <w:szCs w:val="24"/>
          <w:lang w:val="en-US" w:eastAsia="en-US" w:bidi="ar-SA"/>
        </w:rPr>
        <w:t>输入：交易池历史数据D, 成本阈值C₀, 学习率α_θ, α_ψ, η</w:t>
      </w:r>
      <w:r>
        <w:rPr>
          <w:rFonts w:ascii="Cambria" w:hAnsi="Cambria" w:eastAsia="Cambria" w:cs="Times New Roman"/>
          <w:sz w:val="24"/>
          <w:szCs w:val="24"/>
          <w:lang w:val="en-US" w:eastAsia="en-US" w:bidi="ar-SA"/>
        </w:rPr>
        <w:br w:type="textWrapping"/>
      </w:r>
      <w:r>
        <w:rPr>
          <w:rFonts w:ascii="Consolas" w:hAnsi="Consolas" w:eastAsia="Cambria" w:cs="Times New Roman"/>
          <w:sz w:val="22"/>
          <w:szCs w:val="24"/>
          <w:lang w:val="en-US" w:eastAsia="en-US" w:bidi="ar-SA"/>
        </w:rPr>
        <w:t>输出：训练后的策略网络θ*, 价值网络ψ*, 成本价值网络ψ_c*</w:t>
      </w:r>
      <w:r>
        <w:rPr>
          <w:rFonts w:ascii="Cambria" w:hAnsi="Cambria" w:eastAsia="Cambria" w:cs="Times New Roman"/>
          <w:sz w:val="24"/>
          <w:szCs w:val="24"/>
          <w:lang w:val="en-US" w:eastAsia="en-US" w:bidi="ar-SA"/>
        </w:rPr>
        <w:br w:type="textWrapping"/>
      </w:r>
      <w:r>
        <w:rPr>
          <w:rFonts w:ascii="Cambria" w:hAnsi="Cambria" w:eastAsia="Cambria" w:cs="Times New Roman"/>
          <w:sz w:val="24"/>
          <w:szCs w:val="24"/>
          <w:lang w:val="en-US" w:eastAsia="en-US" w:bidi="ar-SA"/>
        </w:rPr>
        <w:br w:type="textWrapping"/>
      </w:r>
      <w:r>
        <w:rPr>
          <w:rFonts w:ascii="Consolas" w:hAnsi="Consolas" w:eastAsia="Cambria" w:cs="Times New Roman"/>
          <w:sz w:val="22"/>
          <w:szCs w:val="24"/>
          <w:lang w:val="en-US" w:eastAsia="en-US" w:bidi="ar-SA"/>
        </w:rPr>
        <w:t>初始化策略网络参数θ, 价值网络参数ψ, 成本价值网络参数ψ_c</w:t>
      </w:r>
      <w:r>
        <w:rPr>
          <w:rFonts w:ascii="Cambria" w:hAnsi="Cambria" w:eastAsia="Cambria" w:cs="Times New Roman"/>
          <w:sz w:val="24"/>
          <w:szCs w:val="24"/>
          <w:lang w:val="en-US" w:eastAsia="en-US" w:bidi="ar-SA"/>
        </w:rPr>
        <w:br w:type="textWrapping"/>
      </w:r>
      <w:r>
        <w:rPr>
          <w:rFonts w:ascii="Consolas" w:hAnsi="Consolas" w:eastAsia="Cambria" w:cs="Times New Roman"/>
          <w:sz w:val="22"/>
          <w:szCs w:val="24"/>
          <w:lang w:val="en-US" w:eastAsia="en-US" w:bidi="ar-SA"/>
        </w:rPr>
        <w:t>初始化拉格朗日乘子λ ← λ₀</w:t>
      </w:r>
      <w:r>
        <w:rPr>
          <w:rFonts w:ascii="Cambria" w:hAnsi="Cambria" w:eastAsia="Cambria" w:cs="Times New Roman"/>
          <w:sz w:val="24"/>
          <w:szCs w:val="24"/>
          <w:lang w:val="en-US" w:eastAsia="en-US" w:bidi="ar-SA"/>
        </w:rPr>
        <w:br w:type="textWrapping"/>
      </w:r>
      <w:r>
        <w:rPr>
          <w:rFonts w:ascii="Cambria" w:hAnsi="Cambria" w:eastAsia="Cambria" w:cs="Times New Roman"/>
          <w:sz w:val="24"/>
          <w:szCs w:val="24"/>
          <w:lang w:val="en-US" w:eastAsia="en-US" w:bidi="ar-SA"/>
        </w:rPr>
        <w:br w:type="textWrapping"/>
      </w:r>
      <w:r>
        <w:rPr>
          <w:rFonts w:ascii="Consolas" w:hAnsi="Consolas" w:eastAsia="Cambria" w:cs="Times New Roman"/>
          <w:sz w:val="22"/>
          <w:szCs w:val="24"/>
          <w:lang w:val="en-US" w:eastAsia="en-US" w:bidi="ar-SA"/>
        </w:rPr>
        <w:t>FOR episode = 1 to N DO:</w:t>
      </w:r>
      <w:r>
        <w:rPr>
          <w:rFonts w:ascii="Cambria" w:hAnsi="Cambria" w:eastAsia="Cambria" w:cs="Times New Roman"/>
          <w:sz w:val="24"/>
          <w:szCs w:val="24"/>
          <w:lang w:val="en-US" w:eastAsia="en-US" w:bidi="ar-SA"/>
        </w:rPr>
        <w:br w:type="textWrapping"/>
      </w:r>
      <w:r>
        <w:rPr>
          <w:rFonts w:ascii="Consolas" w:hAnsi="Consolas" w:eastAsia="Cambria" w:cs="Times New Roman"/>
          <w:sz w:val="22"/>
          <w:szCs w:val="24"/>
          <w:lang w:val="en-US" w:eastAsia="en-US" w:bidi="ar-SA"/>
        </w:rPr>
        <w:t xml:space="preserve">    从D中采样一批待处理交易, 初始化区块构建环境</w:t>
      </w:r>
      <w:r>
        <w:rPr>
          <w:rFonts w:ascii="Cambria" w:hAnsi="Cambria" w:eastAsia="Cambria" w:cs="Times New Roman"/>
          <w:sz w:val="24"/>
          <w:szCs w:val="24"/>
          <w:lang w:val="en-US" w:eastAsia="en-US" w:bidi="ar-SA"/>
        </w:rPr>
        <w:br w:type="textWrapping"/>
      </w:r>
      <w:r>
        <w:rPr>
          <w:rFonts w:ascii="Consolas" w:hAnsi="Consolas" w:eastAsia="Cambria" w:cs="Times New Roman"/>
          <w:sz w:val="22"/>
          <w:szCs w:val="24"/>
          <w:lang w:val="en-US" w:eastAsia="en-US" w:bidi="ar-SA"/>
        </w:rPr>
        <w:t xml:space="preserve">    收集一条完整的区块构建轨迹τ = {(s_t, a_t, r_t, c_t, s_{t+1})}</w:t>
      </w:r>
      <w:r>
        <w:rPr>
          <w:rFonts w:ascii="Cambria" w:hAnsi="Cambria" w:eastAsia="Cambria" w:cs="Times New Roman"/>
          <w:sz w:val="24"/>
          <w:szCs w:val="24"/>
          <w:lang w:val="en-US" w:eastAsia="en-US" w:bidi="ar-SA"/>
        </w:rPr>
        <w:br w:type="textWrapping"/>
      </w:r>
      <w:r>
        <w:rPr>
          <w:rFonts w:ascii="Cambria" w:hAnsi="Cambria" w:eastAsia="Cambria" w:cs="Times New Roman"/>
          <w:sz w:val="24"/>
          <w:szCs w:val="24"/>
          <w:lang w:val="en-US" w:eastAsia="en-US" w:bidi="ar-SA"/>
        </w:rPr>
        <w:br w:type="textWrapping"/>
      </w:r>
      <w:r>
        <w:rPr>
          <w:rFonts w:ascii="Consolas" w:hAnsi="Consolas" w:eastAsia="Cambria" w:cs="Times New Roman"/>
          <w:sz w:val="22"/>
          <w:szCs w:val="24"/>
          <w:lang w:val="en-US" w:eastAsia="en-US" w:bidi="ar-SA"/>
        </w:rPr>
        <w:t xml:space="preserve">    计算奖励优势函数: A_r(t) = Σ_{l=0}^{T-t} (γλ_GAE)^l · δ_r(t+l)</w:t>
      </w:r>
      <w:r>
        <w:rPr>
          <w:rFonts w:ascii="Cambria" w:hAnsi="Cambria" w:eastAsia="Cambria" w:cs="Times New Roman"/>
          <w:sz w:val="24"/>
          <w:szCs w:val="24"/>
          <w:lang w:val="en-US" w:eastAsia="en-US" w:bidi="ar-SA"/>
        </w:rPr>
        <w:br w:type="textWrapping"/>
      </w:r>
      <w:r>
        <w:rPr>
          <w:rFonts w:ascii="Consolas" w:hAnsi="Consolas" w:eastAsia="Cambria" w:cs="Times New Roman"/>
          <w:sz w:val="22"/>
          <w:szCs w:val="24"/>
          <w:lang w:val="en-US" w:eastAsia="en-US" w:bidi="ar-SA"/>
        </w:rPr>
        <w:t xml:space="preserve">    计算成本优势函数: A_c(t) = Σ_{l=0}^{T-t} (γλ_GAE)^l · δ_c(t+l)</w:t>
      </w:r>
      <w:r>
        <w:rPr>
          <w:rFonts w:ascii="Cambria" w:hAnsi="Cambria" w:eastAsia="Cambria" w:cs="Times New Roman"/>
          <w:sz w:val="24"/>
          <w:szCs w:val="24"/>
          <w:lang w:val="en-US" w:eastAsia="en-US" w:bidi="ar-SA"/>
        </w:rPr>
        <w:br w:type="textWrapping"/>
      </w:r>
      <w:r>
        <w:rPr>
          <w:rFonts w:ascii="Cambria" w:hAnsi="Cambria" w:eastAsia="Cambria" w:cs="Times New Roman"/>
          <w:sz w:val="24"/>
          <w:szCs w:val="24"/>
          <w:lang w:val="en-US" w:eastAsia="en-US" w:bidi="ar-SA"/>
        </w:rPr>
        <w:br w:type="textWrapping"/>
      </w:r>
      <w:r>
        <w:rPr>
          <w:rFonts w:ascii="Consolas" w:hAnsi="Consolas" w:eastAsia="Cambria" w:cs="Times New Roman"/>
          <w:sz w:val="22"/>
          <w:szCs w:val="24"/>
          <w:lang w:val="en-US" w:eastAsia="en-US" w:bidi="ar-SA"/>
        </w:rPr>
        <w:t xml:space="preserve">    更新策略网络: θ ← θ + α_θ · ∇_θ[L_CLIP(θ) - λ · L_cost(θ)]</w:t>
      </w:r>
      <w:r>
        <w:rPr>
          <w:rFonts w:ascii="Cambria" w:hAnsi="Cambria" w:eastAsia="Cambria" w:cs="Times New Roman"/>
          <w:sz w:val="24"/>
          <w:szCs w:val="24"/>
          <w:lang w:val="en-US" w:eastAsia="en-US" w:bidi="ar-SA"/>
        </w:rPr>
        <w:br w:type="textWrapping"/>
      </w:r>
      <w:r>
        <w:rPr>
          <w:rFonts w:ascii="Consolas" w:hAnsi="Consolas" w:eastAsia="Cambria" w:cs="Times New Roman"/>
          <w:sz w:val="22"/>
          <w:szCs w:val="24"/>
          <w:lang w:val="en-US" w:eastAsia="en-US" w:bidi="ar-SA"/>
        </w:rPr>
        <w:t xml:space="preserve">    更新价值网络: ψ ← ψ - α_ψ · ∇_ψ L_value(ψ)</w:t>
      </w:r>
      <w:r>
        <w:rPr>
          <w:rFonts w:ascii="Cambria" w:hAnsi="Cambria" w:eastAsia="Cambria" w:cs="Times New Roman"/>
          <w:sz w:val="24"/>
          <w:szCs w:val="24"/>
          <w:lang w:val="en-US" w:eastAsia="en-US" w:bidi="ar-SA"/>
        </w:rPr>
        <w:br w:type="textWrapping"/>
      </w:r>
      <w:r>
        <w:rPr>
          <w:rFonts w:ascii="Consolas" w:hAnsi="Consolas" w:eastAsia="Cambria" w:cs="Times New Roman"/>
          <w:sz w:val="22"/>
          <w:szCs w:val="24"/>
          <w:lang w:val="en-US" w:eastAsia="en-US" w:bidi="ar-SA"/>
        </w:rPr>
        <w:t xml:space="preserve">    更新成本价值网络: ψ_c ← ψ_c - α_ψ · ∇_{ψ_c} L_cost_value(ψ_c)</w:t>
      </w:r>
      <w:r>
        <w:rPr>
          <w:rFonts w:ascii="Cambria" w:hAnsi="Cambria" w:eastAsia="Cambria" w:cs="Times New Roman"/>
          <w:sz w:val="24"/>
          <w:szCs w:val="24"/>
          <w:lang w:val="en-US" w:eastAsia="en-US" w:bidi="ar-SA"/>
        </w:rPr>
        <w:br w:type="textWrapping"/>
      </w:r>
      <w:r>
        <w:rPr>
          <w:rFonts w:ascii="Consolas" w:hAnsi="Consolas" w:eastAsia="Cambria" w:cs="Times New Roman"/>
          <w:sz w:val="22"/>
          <w:szCs w:val="24"/>
          <w:lang w:val="en-US" w:eastAsia="en-US" w:bidi="ar-SA"/>
        </w:rPr>
        <w:t xml:space="preserve">    更新拉格朗日乘子: λ ← max(0, λ + η · (mean(C_episode) - C₀))</w:t>
      </w:r>
      <w:r>
        <w:rPr>
          <w:rFonts w:ascii="Cambria" w:hAnsi="Cambria" w:eastAsia="Cambria" w:cs="Times New Roman"/>
          <w:sz w:val="24"/>
          <w:szCs w:val="24"/>
          <w:lang w:val="en-US" w:eastAsia="en-US" w:bidi="ar-SA"/>
        </w:rPr>
        <w:br w:type="textWrapping"/>
      </w:r>
      <w:r>
        <w:rPr>
          <w:rFonts w:ascii="Consolas" w:hAnsi="Consolas" w:eastAsia="Cambria" w:cs="Times New Roman"/>
          <w:sz w:val="22"/>
          <w:szCs w:val="24"/>
          <w:lang w:val="en-US" w:eastAsia="en-US" w:bidi="ar-SA"/>
        </w:rPr>
        <w:t>END FOR</w:t>
      </w:r>
    </w:p>
    <w:p w14:paraId="50DF8AB1">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其中L_CLIP为PPO的截断替代目标函数，γ = 0.99为折扣因子，λ_GAE = 0.95为GAE参数。</w:t>
      </w:r>
    </w:p>
    <w:p w14:paraId="20912FB4">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需要说明的是，本实施例中排序决策模型采用的Actor-Critic架构仅为一种优选实施方式。在其他实施方式中，排序决策模型可以采用基于值函数的模型，如深度Q网络（DQN）、Double DQN或Dueling DQN，通过学习状态-动作价值函数进行交易选择决策；也可以采用基于策略梯度的模型，如近端策略优化（PPO）模型，直接优化策略函数；还可以采用其他Actor-Critic变体，如A2C（Advantage Actor-Critic）模型或A3C（Asynchronous Advantage Actor-Critic）模型，分别适用于同步和异步训练场景。</w:t>
      </w:r>
    </w:p>
    <w:bookmarkEnd w:id="6"/>
    <w:p w14:paraId="09E9B43A">
      <w:pPr>
        <w:keepNext/>
        <w:keepLines/>
        <w:spacing w:before="200" w:after="0"/>
        <w:outlineLvl w:val="2"/>
        <w:rPr>
          <w:rFonts w:ascii="Calibri" w:hAnsi="Calibri" w:eastAsia="宋体" w:cs="Times New Roman"/>
          <w:b/>
          <w:bCs/>
          <w:color w:val="auto"/>
          <w:sz w:val="24"/>
          <w:szCs w:val="24"/>
          <w:lang w:val="en-US" w:eastAsia="en-US" w:bidi="ar-SA"/>
        </w:rPr>
      </w:pPr>
      <w:bookmarkStart w:id="7" w:name="实施例二高mev风险场景"/>
      <w:r>
        <w:rPr>
          <w:rFonts w:ascii="Calibri" w:hAnsi="Calibri" w:eastAsia="宋体" w:cs="Times New Roman"/>
          <w:b/>
          <w:bCs/>
          <w:color w:val="auto"/>
          <w:sz w:val="24"/>
          <w:szCs w:val="24"/>
          <w:lang w:val="en-US" w:eastAsia="en-US" w:bidi="ar-SA"/>
        </w:rPr>
        <w:t>实施例二：高MEV风险场景</w:t>
      </w:r>
    </w:p>
    <w:p w14:paraId="2D39FF93">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本实施例针对包含大量DeFi交易的高MEV风险场景，描述本发明方法中顺序敏感特征的提取和风险感知排序的具体应用。</w:t>
      </w:r>
    </w:p>
    <w:p w14:paraId="37C854D7">
      <w:pPr>
        <w:keepNext/>
        <w:keepLines/>
        <w:spacing w:before="200" w:after="0"/>
        <w:outlineLvl w:val="3"/>
        <w:rPr>
          <w:rFonts w:ascii="Calibri" w:hAnsi="Calibri" w:eastAsia="宋体" w:cs="Times New Roman"/>
          <w:bCs/>
          <w:i/>
          <w:color w:val="auto"/>
          <w:sz w:val="24"/>
          <w:szCs w:val="24"/>
          <w:lang w:val="en-US" w:eastAsia="en-US" w:bidi="ar-SA"/>
        </w:rPr>
      </w:pPr>
      <w:bookmarkStart w:id="8" w:name="顺序敏感特征的扩展提取"/>
      <w:r>
        <w:rPr>
          <w:rFonts w:ascii="Calibri" w:hAnsi="Calibri" w:eastAsia="宋体" w:cs="Times New Roman"/>
          <w:bCs/>
          <w:i/>
          <w:color w:val="auto"/>
          <w:sz w:val="24"/>
          <w:szCs w:val="24"/>
          <w:lang w:val="en-US" w:eastAsia="en-US" w:bidi="ar-SA"/>
        </w:rPr>
        <w:t>顺序敏感特征的扩展提取</w:t>
      </w:r>
    </w:p>
    <w:p w14:paraId="0133E7E1">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在DeFi场景下，候选交易中包含大量与去中心化交易所（DEX）交互的交易。对于此类交易，除基本顺序敏感特征外，还需提取以下DeFi专用特征：</w:t>
      </w:r>
    </w:p>
    <w:p w14:paraId="6D2E6896">
      <w:pPr>
        <w:spacing w:before="180" w:after="180"/>
        <w:rPr>
          <w:rFonts w:ascii="Cambria" w:hAnsi="Cambria" w:eastAsia="Cambria" w:cs="Times New Roman"/>
          <w:sz w:val="24"/>
          <w:szCs w:val="24"/>
          <w:lang w:val="en-US" w:eastAsia="en-US" w:bidi="ar-SA"/>
        </w:rPr>
      </w:pPr>
      <w:r>
        <w:rPr>
          <w:rFonts w:ascii="Cambria" w:hAnsi="Cambria" w:eastAsia="Cambria" w:cs="Times New Roman"/>
          <w:b/>
          <w:bCs/>
          <w:sz w:val="24"/>
          <w:szCs w:val="24"/>
          <w:lang w:val="en-US" w:eastAsia="en-US" w:bidi="ar-SA"/>
        </w:rPr>
        <w:t>滑点估计</w:t>
      </w:r>
      <w:r>
        <w:rPr>
          <w:rFonts w:ascii="Cambria" w:hAnsi="Cambria" w:eastAsia="Cambria" w:cs="Times New Roman"/>
          <w:sz w:val="24"/>
          <w:szCs w:val="24"/>
          <w:lang w:val="en-US" w:eastAsia="en-US" w:bidi="ar-SA"/>
        </w:rPr>
        <w:t>slippage(txᵢ)：基于交易调用的DEX合约函数参数和当前流动性池状态，估计交易执行时可能产生的价格滑点。计算方式为：</w:t>
      </w:r>
    </w:p>
    <w:p w14:paraId="4A9F92CF">
      <w:pPr>
        <w:wordWrap w:val="0"/>
        <w:spacing w:after="200"/>
        <w:rPr>
          <w:rFonts w:ascii="Cambria" w:hAnsi="Cambria" w:eastAsia="Cambria" w:cs="Times New Roman"/>
          <w:sz w:val="24"/>
          <w:szCs w:val="24"/>
          <w:lang w:val="en-US" w:eastAsia="en-US" w:bidi="ar-SA"/>
        </w:rPr>
      </w:pPr>
      <w:r>
        <w:rPr>
          <w:rFonts w:ascii="Consolas" w:hAnsi="Consolas" w:eastAsia="Cambria" w:cs="Times New Roman"/>
          <w:sz w:val="22"/>
          <w:szCs w:val="24"/>
          <w:lang w:val="en-US" w:eastAsia="en-US" w:bidi="ar-SA"/>
        </w:rPr>
        <w:t>slippage(txᵢ) = |price_expected(txᵢ) - price_actual(txᵢ)| / price_expected(txᵢ)</w:t>
      </w:r>
    </w:p>
    <w:p w14:paraId="0A91E304">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其中price_expected为交易提交时的预期执行价格，price_actual为根据当前区块内已执行交易更新后的流动性池状态估计的实际执行价格。</w:t>
      </w:r>
    </w:p>
    <w:p w14:paraId="60487951">
      <w:pPr>
        <w:spacing w:before="180" w:after="180"/>
        <w:rPr>
          <w:rFonts w:ascii="Cambria" w:hAnsi="Cambria" w:eastAsia="Cambria" w:cs="Times New Roman"/>
          <w:sz w:val="24"/>
          <w:szCs w:val="24"/>
          <w:lang w:val="en-US" w:eastAsia="en-US" w:bidi="ar-SA"/>
        </w:rPr>
      </w:pPr>
      <w:r>
        <w:rPr>
          <w:rFonts w:ascii="Cambria" w:hAnsi="Cambria" w:eastAsia="Cambria" w:cs="Times New Roman"/>
          <w:b/>
          <w:bCs/>
          <w:sz w:val="24"/>
          <w:szCs w:val="24"/>
          <w:lang w:val="en-US" w:eastAsia="en-US" w:bidi="ar-SA"/>
        </w:rPr>
        <w:t>价格冲击估计</w:t>
      </w:r>
      <w:r>
        <w:rPr>
          <w:rFonts w:ascii="Cambria" w:hAnsi="Cambria" w:eastAsia="Cambria" w:cs="Times New Roman"/>
          <w:sz w:val="24"/>
          <w:szCs w:val="24"/>
          <w:lang w:val="en-US" w:eastAsia="en-US" w:bidi="ar-SA"/>
        </w:rPr>
        <w:t>price_impact(txᵢ)：衡量交易对流动性池价格的影响程度。对于使用恒定乘积做市商（x·y=k）的流动性池：</w:t>
      </w:r>
    </w:p>
    <w:p w14:paraId="62D28367">
      <w:pPr>
        <w:wordWrap w:val="0"/>
        <w:spacing w:after="200"/>
        <w:rPr>
          <w:rFonts w:ascii="Cambria" w:hAnsi="Cambria" w:eastAsia="Cambria" w:cs="Times New Roman"/>
          <w:sz w:val="24"/>
          <w:szCs w:val="24"/>
          <w:lang w:val="en-US" w:eastAsia="en-US" w:bidi="ar-SA"/>
        </w:rPr>
      </w:pPr>
      <w:r>
        <w:rPr>
          <w:rFonts w:ascii="Consolas" w:hAnsi="Consolas" w:eastAsia="Cambria" w:cs="Times New Roman"/>
          <w:sz w:val="22"/>
          <w:szCs w:val="24"/>
          <w:lang w:val="en-US" w:eastAsia="en-US" w:bidi="ar-SA"/>
        </w:rPr>
        <w:t>price_impact(txᵢ) = 2 · Δx / (x + Δx)</w:t>
      </w:r>
    </w:p>
    <w:p w14:paraId="0B3E7188">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其中x为流动性池中交易输入代币的储备量，Δx为交易输入量。</w:t>
      </w:r>
    </w:p>
    <w:p w14:paraId="454ED5B6">
      <w:pPr>
        <w:spacing w:before="180" w:after="180"/>
        <w:rPr>
          <w:rFonts w:ascii="Cambria" w:hAnsi="Cambria" w:eastAsia="Cambria" w:cs="Times New Roman"/>
          <w:sz w:val="24"/>
          <w:szCs w:val="24"/>
          <w:lang w:val="en-US" w:eastAsia="en-US" w:bidi="ar-SA"/>
        </w:rPr>
      </w:pPr>
      <w:r>
        <w:rPr>
          <w:rFonts w:ascii="Cambria" w:hAnsi="Cambria" w:eastAsia="Cambria" w:cs="Times New Roman"/>
          <w:b/>
          <w:bCs/>
          <w:sz w:val="24"/>
          <w:szCs w:val="24"/>
          <w:lang w:val="en-US" w:eastAsia="en-US" w:bidi="ar-SA"/>
        </w:rPr>
        <w:t>流动性变化估计</w:t>
      </w:r>
      <w:r>
        <w:rPr>
          <w:rFonts w:ascii="Cambria" w:hAnsi="Cambria" w:eastAsia="Cambria" w:cs="Times New Roman"/>
          <w:sz w:val="24"/>
          <w:szCs w:val="24"/>
          <w:lang w:val="en-US" w:eastAsia="en-US" w:bidi="ar-SA"/>
        </w:rPr>
        <w:t>liquidity_change(txᵢ)：估计交易执行后流动性池总流动性的变化百分比。</w:t>
      </w:r>
    </w:p>
    <w:p w14:paraId="3A1DB0CE">
      <w:pPr>
        <w:spacing w:before="180" w:after="180"/>
        <w:rPr>
          <w:rFonts w:ascii="Cambria" w:hAnsi="Cambria" w:eastAsia="Cambria" w:cs="Times New Roman"/>
          <w:sz w:val="24"/>
          <w:szCs w:val="24"/>
          <w:lang w:val="en-US" w:eastAsia="en-US" w:bidi="ar-SA"/>
        </w:rPr>
      </w:pPr>
      <w:r>
        <w:rPr>
          <w:rFonts w:ascii="Cambria" w:hAnsi="Cambria" w:eastAsia="Cambria" w:cs="Times New Roman"/>
          <w:b/>
          <w:bCs/>
          <w:sz w:val="24"/>
          <w:szCs w:val="24"/>
          <w:lang w:val="en-US" w:eastAsia="en-US" w:bidi="ar-SA"/>
        </w:rPr>
        <w:t>可疑前后夹击结构指标</w:t>
      </w:r>
      <w:r>
        <w:rPr>
          <w:rFonts w:ascii="Cambria" w:hAnsi="Cambria" w:eastAsia="Cambria" w:cs="Times New Roman"/>
          <w:sz w:val="24"/>
          <w:szCs w:val="24"/>
          <w:lang w:val="en-US" w:eastAsia="en-US" w:bidi="ar-SA"/>
        </w:rPr>
        <w:t>sandwich_score(txᵢ)：检测候选交易集合中是否存在可疑的三明治攻击结构。判断逻辑为：对于候选交易txᵢ，检查是否存在交易对(tx_front, tx_back)满足： - tx_front和tx_back来自同一地址或关联地址群； - tx_front在txᵢ之前提交，tx_back在txᵢ之后提交； - tx_front和tx_back与txᵢ操作同一流动性池； - tx_front的操作方向与txᵢ相同，tx_back的操作方向与txᵢ相反。</w:t>
      </w:r>
    </w:p>
    <w:p w14:paraId="5C31195D">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当sandwich_score超过预设阈值时，该交易被标记为受三明治攻击威胁的敏感交易。</w:t>
      </w:r>
    </w:p>
    <w:bookmarkEnd w:id="8"/>
    <w:p w14:paraId="195FD4A7">
      <w:pPr>
        <w:keepNext/>
        <w:keepLines/>
        <w:spacing w:before="200" w:after="0"/>
        <w:outlineLvl w:val="3"/>
        <w:rPr>
          <w:rFonts w:ascii="Calibri" w:hAnsi="Calibri" w:eastAsia="宋体" w:cs="Times New Roman"/>
          <w:bCs/>
          <w:i/>
          <w:color w:val="auto"/>
          <w:sz w:val="24"/>
          <w:szCs w:val="24"/>
          <w:lang w:val="en-US" w:eastAsia="en-US" w:bidi="ar-SA"/>
        </w:rPr>
      </w:pPr>
      <w:bookmarkStart w:id="9" w:name="风险感知排序的效果"/>
      <w:r>
        <w:rPr>
          <w:rFonts w:ascii="Calibri" w:hAnsi="Calibri" w:eastAsia="宋体" w:cs="Times New Roman"/>
          <w:bCs/>
          <w:i/>
          <w:color w:val="auto"/>
          <w:sz w:val="24"/>
          <w:szCs w:val="24"/>
          <w:lang w:val="en-US" w:eastAsia="en-US" w:bidi="ar-SA"/>
        </w:rPr>
        <w:t>风险感知排序的效果</w:t>
      </w:r>
    </w:p>
    <w:p w14:paraId="3AA016A2">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在风险感知排序策略下，排序决策模型在选择交易时会综合考虑以下因素：</w:t>
      </w:r>
    </w:p>
    <w:p w14:paraId="40B716A9">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（1）对于被标记为受三明治攻击威胁的敏感交易，模型倾向于将其排列在远离可疑攻击交易的位置，或将可疑攻击交易对中的一笔过滤移除；</w:t>
      </w:r>
    </w:p>
    <w:p w14:paraId="302158C3">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（2）对于高价格冲击的大额DEX交易，模型倾向于适当分散其在区块中的位置，避免连续执行多笔高影响交易导致价格剧烈波动；</w:t>
      </w:r>
    </w:p>
    <w:p w14:paraId="0497BB47">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（3）成本项中的顺序敏感交易损失估计c_order会根据实际排序情况动态计算，当排序导致用户产生较大滑点损失时，成本项增大，风险约束参数λ随之增大，模型在后续区块构建中加强风险控制。</w:t>
      </w:r>
    </w:p>
    <w:p w14:paraId="198B1A7E">
      <w:pPr>
        <w:spacing w:before="180" w:after="180"/>
        <w:rPr>
          <w:rFonts w:ascii="Cambria" w:hAnsi="Cambria" w:eastAsia="Cambria" w:cs="Times New Roman"/>
          <w:sz w:val="24"/>
          <w:szCs w:val="24"/>
          <w:lang w:val="en-US" w:eastAsia="en-US" w:bidi="ar-SA"/>
        </w:rPr>
      </w:pPr>
      <w:r>
        <w:rPr>
          <w:rFonts w:ascii="Cambria" w:hAnsi="Cambria" w:eastAsia="Cambria" w:cs="Times New Roman"/>
          <w:sz w:val="24"/>
          <w:szCs w:val="24"/>
          <w:lang w:val="en-US" w:eastAsia="en-US" w:bidi="ar-SA"/>
        </w:rPr>
        <w:t>通过上述机制，本发明方法在高MEV风险场景下能够有效降低三明治攻击的成功率，减少用户的实际滑点损失，同时维持合理的区块收益水平。</w:t>
      </w:r>
    </w:p>
    <w:bookmarkEnd w:id="7"/>
    <w:bookmarkEnd w:id="9"/>
    <w:p w14:paraId="3E15FCFB">
      <w:pPr>
        <w:numPr>
          <w:ilvl w:val="0"/>
          <w:numId w:val="0"/>
        </w:numPr>
        <w:spacing w:before="36" w:after="36"/>
        <w:rPr>
          <w:rFonts w:ascii="Cambria" w:hAnsi="Cambria" w:eastAsia="Cambria" w:cs="Times New Roman"/>
          <w:sz w:val="24"/>
          <w:szCs w:val="24"/>
          <w:lang w:val="en-US" w:eastAsia="en-US" w:bidi="ar-SA"/>
        </w:rPr>
      </w:pPr>
    </w:p>
    <w:bookmarkEnd w:id="0"/>
    <w:p w14:paraId="4D39D851">
      <w:pPr>
        <w:pStyle w:val="9"/>
        <w:bidi w:val="0"/>
        <w:rPr>
          <w:rFonts w:hint="eastAsia" w:ascii="宋体" w:hAnsi="宋体" w:eastAsia="宋体" w:cs="宋体"/>
          <w:sz w:val="24"/>
          <w:szCs w:val="24"/>
        </w:rPr>
      </w:pPr>
    </w:p>
    <w:p w14:paraId="38AE58C7">
      <w:pPr>
        <w:pStyle w:val="9"/>
        <w:bidi w:val="0"/>
        <w:rPr>
          <w:rFonts w:ascii="宋体" w:hAnsi="宋体" w:eastAsia="宋体" w:cs="宋体"/>
          <w:sz w:val="24"/>
          <w:szCs w:val="24"/>
        </w:rPr>
      </w:pPr>
    </w:p>
    <w:p w14:paraId="42B5A116">
      <w:pPr>
        <w:pStyle w:val="9"/>
        <w:bidi w:val="0"/>
        <w:rPr>
          <w:rFonts w:ascii="宋体" w:hAnsi="宋体" w:eastAsia="宋体" w:cs="宋体"/>
          <w:sz w:val="24"/>
          <w:szCs w:val="24"/>
        </w:rPr>
      </w:pPr>
    </w:p>
    <w:p w14:paraId="4AE42F0D">
      <w:pPr>
        <w:pStyle w:val="9"/>
        <w:bidi w:val="0"/>
        <w:rPr>
          <w:rFonts w:ascii="宋体" w:hAnsi="宋体" w:eastAsia="宋体" w:cs="宋体"/>
          <w:sz w:val="24"/>
          <w:szCs w:val="24"/>
        </w:rPr>
      </w:pPr>
    </w:p>
    <w:p w14:paraId="730F5E78">
      <w:pPr>
        <w:pStyle w:val="9"/>
        <w:keepNext w:val="0"/>
        <w:keepLines w:val="0"/>
        <w:widowControl/>
        <w:suppressLineNumbers w:val="0"/>
        <w:jc w:val="both"/>
        <w:rPr>
          <w:b w:val="0"/>
          <w:bCs w:val="0"/>
        </w:rPr>
      </w:pPr>
    </w:p>
    <w:p w14:paraId="469EB7FF">
      <w:pPr>
        <w:spacing w:before="60"/>
        <w:rPr>
          <w:rFonts w:ascii="宋体" w:hAnsi="宋体"/>
        </w:rPr>
      </w:pPr>
    </w:p>
    <w:p w14:paraId="202DA8B4">
      <w:pPr>
        <w:spacing w:before="60"/>
        <w:rPr>
          <w:rFonts w:ascii="宋体" w:hAnsi="宋体"/>
        </w:rPr>
      </w:pPr>
    </w:p>
    <w:p w14:paraId="0EADE8E4">
      <w:pPr>
        <w:spacing w:before="60"/>
        <w:rPr>
          <w:rFonts w:ascii="宋体" w:hAnsi="宋体"/>
        </w:rPr>
      </w:pPr>
    </w:p>
    <w:p w14:paraId="753AFFF3">
      <w:pPr>
        <w:spacing w:before="60"/>
        <w:rPr>
          <w:rFonts w:ascii="宋体" w:hAnsi="宋体"/>
        </w:rPr>
      </w:pPr>
    </w:p>
    <w:p w14:paraId="317DB7D9">
      <w:pPr>
        <w:spacing w:before="60"/>
        <w:rPr>
          <w:rFonts w:ascii="宋体" w:hAnsi="宋体"/>
        </w:rPr>
      </w:pPr>
    </w:p>
    <w:p w14:paraId="7F316EE3">
      <w:pPr>
        <w:spacing w:before="60"/>
        <w:rPr>
          <w:rFonts w:ascii="宋体" w:hAnsi="宋体"/>
        </w:rPr>
      </w:pPr>
    </w:p>
    <w:p w14:paraId="483E007E">
      <w:pPr>
        <w:spacing w:before="60"/>
        <w:rPr>
          <w:rFonts w:ascii="宋体" w:hAnsi="宋体"/>
        </w:rPr>
      </w:pPr>
    </w:p>
    <w:p w14:paraId="383319F0">
      <w:pPr>
        <w:spacing w:before="60"/>
        <w:rPr>
          <w:rFonts w:ascii="宋体" w:hAnsi="宋体"/>
        </w:rPr>
        <w:sectPr>
          <w:headerReference r:id="rId5" w:type="default"/>
          <w:footerReference r:id="rId6" w:type="default"/>
          <w:pgSz w:w="11906" w:h="16838"/>
          <w:pgMar w:top="1418" w:right="851" w:bottom="851" w:left="1418" w:header="851" w:footer="113" w:gutter="0"/>
          <w:pgNumType w:fmt="decimal" w:start="1"/>
          <w:cols w:space="720" w:num="1"/>
          <w:docGrid w:type="lines" w:linePitch="312" w:charSpace="0"/>
        </w:sectPr>
      </w:pPr>
    </w:p>
    <w:p w14:paraId="006533B7">
      <w:pPr>
        <w:pStyle w:val="9"/>
        <w:keepNext w:val="0"/>
        <w:keepLines w:val="0"/>
        <w:widowControl/>
        <w:suppressLineNumbers w:val="0"/>
        <w:pBdr>
          <w:top w:val="none" w:color="auto" w:sz="0" w:space="0"/>
          <w:bottom w:val="none" w:color="auto" w:sz="0" w:space="0"/>
        </w:pBdr>
        <w:spacing w:before="0" w:beforeAutospacing="0" w:after="0" w:afterAutospacing="0" w:line="14" w:lineRule="atLeast"/>
        <w:ind w:left="0" w:leftChars="0" w:right="0" w:firstLine="0" w:firstLineChars="0"/>
        <w:jc w:val="both"/>
        <w:rPr>
          <w:rFonts w:hint="default"/>
          <w:sz w:val="21"/>
          <w:szCs w:val="16"/>
        </w:rPr>
      </w:pPr>
    </w:p>
    <w:p w14:paraId="5C04FAE5">
      <w:pPr>
        <w:pStyle w:val="9"/>
        <w:keepNext w:val="0"/>
        <w:keepLines w:val="0"/>
        <w:widowControl/>
        <w:suppressLineNumbers w:val="0"/>
        <w:pBdr>
          <w:top w:val="none" w:color="auto" w:sz="0" w:space="0"/>
          <w:bottom w:val="none" w:color="auto" w:sz="0" w:space="0"/>
        </w:pBdr>
        <w:spacing w:before="0" w:beforeAutospacing="0" w:after="0" w:afterAutospacing="0" w:line="14" w:lineRule="atLeast"/>
        <w:ind w:left="0" w:leftChars="0" w:right="0" w:firstLine="0" w:firstLineChars="0"/>
        <w:jc w:val="both"/>
        <w:rPr>
          <w:rFonts w:hint="default"/>
          <w:sz w:val="21"/>
          <w:szCs w:val="16"/>
        </w:rPr>
      </w:pPr>
      <w:r>
        <w:rPr>
          <w:rFonts w:hint="default"/>
          <w:sz w:val="21"/>
          <w:szCs w:val="16"/>
        </w:rPr>
        <w:t>图1为本发明实施例提供的面向区块链节点的风险感知交易排序与区块构建方法的总体流程图。</w:t>
      </w:r>
    </w:p>
    <w:p w14:paraId="18067687">
      <w:pPr>
        <w:pStyle w:val="9"/>
        <w:keepNext w:val="0"/>
        <w:keepLines w:val="0"/>
        <w:widowControl/>
        <w:suppressLineNumbers w:val="0"/>
        <w:pBdr>
          <w:top w:val="none" w:color="auto" w:sz="0" w:space="0"/>
          <w:bottom w:val="none" w:color="auto" w:sz="0" w:space="0"/>
        </w:pBdr>
        <w:spacing w:before="0" w:beforeAutospacing="0" w:after="0" w:afterAutospacing="0" w:line="14" w:lineRule="atLeast"/>
        <w:ind w:left="0" w:leftChars="0" w:right="0" w:firstLine="0" w:firstLineChars="0"/>
        <w:jc w:val="center"/>
        <w:rPr>
          <w:rFonts w:hint="default"/>
        </w:rPr>
      </w:pPr>
      <w:r>
        <w:rPr>
          <w:rStyle w:val="16"/>
          <w:rFonts w:hint="eastAsia" w:eastAsia="宋体"/>
          <w:lang w:eastAsia="zh-CN"/>
        </w:rPr>
        <w:drawing>
          <wp:inline distT="0" distB="0" distL="114300" distR="114300">
            <wp:extent cx="4084955" cy="2228215"/>
            <wp:effectExtent l="0" t="0" r="10795" b="635"/>
            <wp:docPr id="5" name="图片 5" descr="Gemini_Generated_Image_whqw2rwhqw2rwhq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Gemini_Generated_Image_whqw2rwhqw2rwhqw"/>
                    <pic:cNvPicPr>
                      <a:picLocks noChangeAspect="1"/>
                    </pic:cNvPicPr>
                  </pic:nvPicPr>
                  <pic:blipFill>
                    <a:blip r:embed="rId14"/>
                    <a:stretch>
                      <a:fillRect/>
                    </a:stretch>
                  </pic:blipFill>
                  <pic:spPr>
                    <a:xfrm>
                      <a:off x="0" y="0"/>
                      <a:ext cx="4084955" cy="2228215"/>
                    </a:xfrm>
                    <a:prstGeom prst="rect">
                      <a:avLst/>
                    </a:prstGeom>
                  </pic:spPr>
                </pic:pic>
              </a:graphicData>
            </a:graphic>
          </wp:inline>
        </w:drawing>
      </w:r>
    </w:p>
    <w:p w14:paraId="6BE99214">
      <w:pPr>
        <w:spacing w:before="60"/>
        <w:jc w:val="center"/>
        <w:rPr>
          <w:rFonts w:hint="default" w:ascii="Times New Roman" w:hAnsi="Times New Roman" w:eastAsia="宋体" w:cs="Times New Roman"/>
          <w:kern w:val="0"/>
          <w:sz w:val="21"/>
          <w:szCs w:val="16"/>
          <w:lang w:val="en-US" w:eastAsia="zh-CN" w:bidi="ar"/>
        </w:rPr>
      </w:pPr>
      <w:r>
        <w:rPr>
          <w:rFonts w:hint="eastAsia" w:ascii="Times New Roman" w:hAnsi="Times New Roman" w:eastAsia="宋体" w:cs="Times New Roman"/>
          <w:kern w:val="0"/>
          <w:sz w:val="21"/>
          <w:szCs w:val="16"/>
          <w:lang w:val="en-US" w:eastAsia="zh-CN" w:bidi="ar"/>
        </w:rPr>
        <w:t xml:space="preserve">图1 </w:t>
      </w:r>
      <w:r>
        <w:rPr>
          <w:rFonts w:hint="default" w:ascii="Times New Roman" w:hAnsi="Times New Roman" w:eastAsia="宋体" w:cs="Times New Roman"/>
          <w:kern w:val="0"/>
          <w:sz w:val="21"/>
          <w:szCs w:val="16"/>
          <w:lang w:val="en-US" w:eastAsia="zh-CN" w:bidi="ar"/>
        </w:rPr>
        <w:t>总体流程图</w:t>
      </w:r>
    </w:p>
    <w:p w14:paraId="43F075F1">
      <w:pPr>
        <w:spacing w:before="60"/>
        <w:rPr>
          <w:rFonts w:ascii="宋体" w:hAnsi="宋体"/>
        </w:rPr>
      </w:pPr>
    </w:p>
    <w:p w14:paraId="15C9EB23">
      <w:pPr>
        <w:bidi w:val="0"/>
        <w:ind w:left="0" w:leftChars="0" w:firstLine="0" w:firstLineChars="0"/>
        <w:jc w:val="center"/>
        <w:rPr>
          <w:rFonts w:hint="eastAsia" w:eastAsia="宋体"/>
          <w:lang w:eastAsia="zh-CN"/>
        </w:rPr>
      </w:pPr>
      <w:r>
        <w:rPr>
          <w:rFonts w:hint="default"/>
        </w:rPr>
        <w:t>图2为本发明实施例提供的面向区块链节点的风险感知交易排序与区块构建系统的总体架构图。</w:t>
      </w:r>
      <w:r>
        <w:rPr>
          <w:rFonts w:hint="eastAsia" w:eastAsia="宋体"/>
          <w:lang w:eastAsia="zh-CN"/>
        </w:rPr>
        <w:drawing>
          <wp:inline distT="0" distB="0" distL="114300" distR="114300">
            <wp:extent cx="4764405" cy="3175635"/>
            <wp:effectExtent l="0" t="0" r="17145" b="5715"/>
            <wp:docPr id="22" name="图片 22" descr="ChatGPT Image 2026年3月13日 13_16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hatGPT Image 2026年3月13日 13_16_03"/>
                    <pic:cNvPicPr>
                      <a:picLocks noChangeAspect="1"/>
                    </pic:cNvPicPr>
                  </pic:nvPicPr>
                  <pic:blipFill>
                    <a:blip r:embed="rId15"/>
                    <a:stretch>
                      <a:fillRect/>
                    </a:stretch>
                  </pic:blipFill>
                  <pic:spPr>
                    <a:xfrm>
                      <a:off x="0" y="0"/>
                      <a:ext cx="4764405" cy="3175635"/>
                    </a:xfrm>
                    <a:prstGeom prst="rect">
                      <a:avLst/>
                    </a:prstGeom>
                  </pic:spPr>
                </pic:pic>
              </a:graphicData>
            </a:graphic>
          </wp:inline>
        </w:drawing>
      </w:r>
    </w:p>
    <w:p w14:paraId="5770FA57">
      <w:pPr>
        <w:bidi w:val="0"/>
        <w:ind w:left="0" w:leftChars="0" w:firstLine="0" w:firstLineChars="0"/>
        <w:jc w:val="center"/>
        <w:rPr>
          <w:rFonts w:hint="default" w:eastAsia="宋体"/>
          <w:lang w:val="en-US" w:eastAsia="zh-CN"/>
        </w:rPr>
      </w:pPr>
      <w:r>
        <w:rPr>
          <w:rFonts w:hint="eastAsia"/>
          <w:lang w:val="en-US" w:eastAsia="zh-CN"/>
        </w:rPr>
        <w:t xml:space="preserve">图2 </w:t>
      </w:r>
      <w:r>
        <w:rPr>
          <w:rFonts w:hint="default"/>
        </w:rPr>
        <w:t>总体架构图</w:t>
      </w:r>
    </w:p>
    <w:p w14:paraId="43BACF16">
      <w:pPr>
        <w:bidi w:val="0"/>
        <w:rPr>
          <w:rFonts w:hint="default"/>
        </w:rPr>
      </w:pPr>
    </w:p>
    <w:p w14:paraId="0DD72122">
      <w:pPr>
        <w:bidi w:val="0"/>
        <w:ind w:left="0" w:leftChars="0" w:firstLine="0" w:firstLineChars="0"/>
        <w:jc w:val="left"/>
        <w:rPr>
          <w:rFonts w:hint="default"/>
        </w:rPr>
      </w:pPr>
    </w:p>
    <w:p w14:paraId="38988B53">
      <w:pPr>
        <w:bidi w:val="0"/>
        <w:ind w:left="0" w:leftChars="0" w:firstLine="0" w:firstLineChars="0"/>
        <w:jc w:val="left"/>
        <w:rPr>
          <w:rFonts w:hint="default"/>
        </w:rPr>
      </w:pPr>
    </w:p>
    <w:p w14:paraId="5C5E3258">
      <w:pPr>
        <w:bidi w:val="0"/>
        <w:ind w:left="0" w:leftChars="0" w:firstLine="0" w:firstLineChars="0"/>
        <w:jc w:val="left"/>
        <w:rPr>
          <w:rFonts w:hint="default"/>
        </w:rPr>
      </w:pPr>
    </w:p>
    <w:p w14:paraId="751FAA4A">
      <w:pPr>
        <w:bidi w:val="0"/>
        <w:ind w:left="0" w:leftChars="0" w:firstLine="0" w:firstLineChars="0"/>
        <w:jc w:val="left"/>
        <w:rPr>
          <w:rFonts w:hint="eastAsia" w:eastAsia="宋体"/>
          <w:lang w:eastAsia="zh-CN"/>
        </w:rPr>
      </w:pPr>
      <w:r>
        <w:rPr>
          <w:rFonts w:hint="default"/>
        </w:rPr>
        <w:t>图3为本发明实施例提供的特征提取与候选交易表示生成示意图。</w:t>
      </w:r>
    </w:p>
    <w:p w14:paraId="6F25A3F0">
      <w:pPr>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953510" cy="2635885"/>
            <wp:effectExtent l="0" t="0" r="8890" b="12065"/>
            <wp:docPr id="23" name="图片 23" descr="ChatGPT Image 2026年3月13日 13_19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hatGPT Image 2026年3月13日 13_19_03"/>
                    <pic:cNvPicPr>
                      <a:picLocks noChangeAspect="1"/>
                    </pic:cNvPicPr>
                  </pic:nvPicPr>
                  <pic:blipFill>
                    <a:blip r:embed="rId16"/>
                    <a:stretch>
                      <a:fillRect/>
                    </a:stretch>
                  </pic:blipFill>
                  <pic:spPr>
                    <a:xfrm>
                      <a:off x="0" y="0"/>
                      <a:ext cx="3953510" cy="2635885"/>
                    </a:xfrm>
                    <a:prstGeom prst="rect">
                      <a:avLst/>
                    </a:prstGeom>
                  </pic:spPr>
                </pic:pic>
              </a:graphicData>
            </a:graphic>
          </wp:inline>
        </w:drawing>
      </w:r>
    </w:p>
    <w:p w14:paraId="6E9BA5DD">
      <w:pPr>
        <w:spacing w:before="60"/>
        <w:jc w:val="center"/>
        <w:rPr>
          <w:rFonts w:hint="default" w:ascii="宋体" w:hAnsi="宋体" w:eastAsia="宋体"/>
          <w:lang w:val="en-US" w:eastAsia="zh-CN"/>
        </w:rPr>
      </w:pPr>
      <w:r>
        <w:rPr>
          <w:rFonts w:hint="eastAsia" w:ascii="宋体" w:hAnsi="宋体"/>
          <w:lang w:val="en-US" w:eastAsia="zh-CN"/>
        </w:rPr>
        <w:t xml:space="preserve">图3 </w:t>
      </w:r>
      <w:r>
        <w:rPr>
          <w:rFonts w:hint="default"/>
        </w:rPr>
        <w:t>特征提取与候选交易表示生成示意图</w:t>
      </w:r>
    </w:p>
    <w:p w14:paraId="4135BF32">
      <w:pPr>
        <w:bidi w:val="0"/>
        <w:rPr>
          <w:rFonts w:hint="default"/>
        </w:rPr>
      </w:pPr>
    </w:p>
    <w:p w14:paraId="117BA08A">
      <w:pPr>
        <w:bidi w:val="0"/>
        <w:rPr>
          <w:rFonts w:hint="default"/>
        </w:rPr>
      </w:pPr>
      <w:r>
        <w:rPr>
          <w:rFonts w:hint="default"/>
        </w:rPr>
        <w:t>图4为本发明实施例提供的排序决策模型结构图。</w:t>
      </w:r>
    </w:p>
    <w:p w14:paraId="37600E6B">
      <w:pPr>
        <w:spacing w:before="60"/>
        <w:jc w:val="center"/>
        <w:rPr>
          <w:rFonts w:hint="eastAsia" w:ascii="宋体" w:hAnsi="宋体" w:eastAsia="宋体"/>
          <w:lang w:eastAsia="zh-CN"/>
        </w:rPr>
      </w:pPr>
      <w:r>
        <w:rPr>
          <w:rFonts w:hint="eastAsia" w:ascii="宋体" w:hAnsi="宋体" w:eastAsia="宋体"/>
          <w:lang w:eastAsia="zh-CN"/>
        </w:rPr>
        <w:drawing>
          <wp:inline distT="0" distB="0" distL="114300" distR="114300">
            <wp:extent cx="4307205" cy="2349500"/>
            <wp:effectExtent l="0" t="0" r="17145" b="12700"/>
            <wp:docPr id="10" name="图片 10" descr="03e2279a-6a8d-4cf1-8fe5-c3fa41d8e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3e2279a-6a8d-4cf1-8fe5-c3fa41d8edcf"/>
                    <pic:cNvPicPr>
                      <a:picLocks noChangeAspect="1"/>
                    </pic:cNvPicPr>
                  </pic:nvPicPr>
                  <pic:blipFill>
                    <a:blip r:embed="rId17"/>
                    <a:stretch>
                      <a:fillRect/>
                    </a:stretch>
                  </pic:blipFill>
                  <pic:spPr>
                    <a:xfrm>
                      <a:off x="0" y="0"/>
                      <a:ext cx="4307205" cy="2349500"/>
                    </a:xfrm>
                    <a:prstGeom prst="rect">
                      <a:avLst/>
                    </a:prstGeom>
                  </pic:spPr>
                </pic:pic>
              </a:graphicData>
            </a:graphic>
          </wp:inline>
        </w:drawing>
      </w:r>
    </w:p>
    <w:p w14:paraId="29BC9351">
      <w:pPr>
        <w:spacing w:before="60"/>
        <w:jc w:val="center"/>
        <w:rPr>
          <w:rFonts w:hint="eastAsia" w:ascii="宋体" w:hAnsi="宋体" w:eastAsia="宋体"/>
          <w:lang w:eastAsia="zh-CN"/>
        </w:rPr>
      </w:pPr>
    </w:p>
    <w:p w14:paraId="463BC2EF">
      <w:pPr>
        <w:spacing w:before="60"/>
        <w:jc w:val="center"/>
        <w:rPr>
          <w:rFonts w:hint="default" w:ascii="宋体" w:hAnsi="宋体" w:eastAsia="宋体"/>
          <w:lang w:val="en-US" w:eastAsia="zh-CN"/>
        </w:rPr>
      </w:pPr>
      <w:r>
        <w:rPr>
          <w:rFonts w:hint="eastAsia" w:ascii="宋体" w:hAnsi="宋体"/>
          <w:lang w:val="en-US" w:eastAsia="zh-CN"/>
        </w:rPr>
        <w:t xml:space="preserve">图4 </w:t>
      </w:r>
      <w:r>
        <w:rPr>
          <w:rFonts w:hint="default"/>
        </w:rPr>
        <w:t>排序决策模型结构图</w:t>
      </w:r>
    </w:p>
    <w:p w14:paraId="034B609E">
      <w:pPr>
        <w:spacing w:before="60"/>
        <w:rPr>
          <w:rFonts w:ascii="宋体" w:hAnsi="宋体"/>
        </w:rPr>
      </w:pPr>
    </w:p>
    <w:p w14:paraId="37636A28">
      <w:pPr>
        <w:spacing w:before="60"/>
        <w:rPr>
          <w:rFonts w:hint="eastAsia" w:ascii="宋体" w:hAnsi="宋体"/>
        </w:rPr>
      </w:pPr>
      <w:r>
        <w:rPr>
          <w:rFonts w:hint="eastAsia" w:ascii="宋体" w:hAnsi="宋体"/>
        </w:rPr>
        <w:t>图5为本发明实施例提供的合法性过滤判断流程图。</w:t>
      </w:r>
    </w:p>
    <w:p w14:paraId="33C70EB9">
      <w:pPr>
        <w:spacing w:before="60"/>
        <w:rPr>
          <w:rFonts w:hint="eastAsia" w:ascii="宋体" w:hAnsi="宋体"/>
        </w:rPr>
      </w:pPr>
    </w:p>
    <w:p w14:paraId="2B25152C">
      <w:pPr>
        <w:spacing w:before="60"/>
        <w:rPr>
          <w:rFonts w:hint="eastAsia" w:ascii="宋体" w:hAnsi="宋体"/>
        </w:rPr>
      </w:pPr>
    </w:p>
    <w:p w14:paraId="748D9E45">
      <w:pPr>
        <w:spacing w:before="60"/>
        <w:jc w:val="center"/>
        <w:rPr>
          <w:rFonts w:hint="eastAsia" w:ascii="宋体" w:hAnsi="宋体" w:eastAsia="宋体"/>
          <w:lang w:eastAsia="zh-CN"/>
        </w:rPr>
      </w:pPr>
      <w:r>
        <w:rPr>
          <w:rFonts w:hint="eastAsia" w:ascii="宋体" w:hAnsi="宋体" w:eastAsia="宋体"/>
          <w:lang w:eastAsia="zh-CN"/>
        </w:rPr>
        <w:drawing>
          <wp:inline distT="0" distB="0" distL="114300" distR="114300">
            <wp:extent cx="3803015" cy="2072005"/>
            <wp:effectExtent l="0" t="0" r="6985" b="4445"/>
            <wp:docPr id="12" name="图片 12" descr="30ef1611-45c5-4690-8331-0df9cb5ac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0ef1611-45c5-4690-8331-0df9cb5ac6b8"/>
                    <pic:cNvPicPr>
                      <a:picLocks noChangeAspect="1"/>
                    </pic:cNvPicPr>
                  </pic:nvPicPr>
                  <pic:blipFill>
                    <a:blip r:embed="rId18"/>
                    <a:stretch>
                      <a:fillRect/>
                    </a:stretch>
                  </pic:blipFill>
                  <pic:spPr>
                    <a:xfrm>
                      <a:off x="0" y="0"/>
                      <a:ext cx="3803015" cy="2072005"/>
                    </a:xfrm>
                    <a:prstGeom prst="rect">
                      <a:avLst/>
                    </a:prstGeom>
                  </pic:spPr>
                </pic:pic>
              </a:graphicData>
            </a:graphic>
          </wp:inline>
        </w:drawing>
      </w:r>
    </w:p>
    <w:p w14:paraId="2E489A80">
      <w:pPr>
        <w:spacing w:before="60"/>
        <w:jc w:val="center"/>
        <w:rPr>
          <w:rFonts w:hint="default" w:ascii="宋体" w:hAnsi="宋体" w:eastAsia="宋体"/>
          <w:lang w:val="en-US" w:eastAsia="zh-CN"/>
        </w:rPr>
      </w:pPr>
      <w:r>
        <w:rPr>
          <w:rFonts w:hint="eastAsia" w:ascii="宋体" w:hAnsi="宋体"/>
          <w:lang w:val="en-US" w:eastAsia="zh-CN"/>
        </w:rPr>
        <w:t xml:space="preserve">图5 </w:t>
      </w:r>
      <w:r>
        <w:rPr>
          <w:rFonts w:hint="eastAsia" w:ascii="宋体" w:hAnsi="宋体"/>
        </w:rPr>
        <w:t>合法性过滤判断流程图</w:t>
      </w:r>
    </w:p>
    <w:p w14:paraId="66D5D8E4">
      <w:pPr>
        <w:spacing w:before="60"/>
        <w:rPr>
          <w:rFonts w:hint="eastAsia" w:ascii="宋体" w:hAnsi="宋体"/>
        </w:rPr>
      </w:pPr>
    </w:p>
    <w:p w14:paraId="32FF371A">
      <w:pPr>
        <w:spacing w:before="60"/>
        <w:rPr>
          <w:rFonts w:hint="eastAsia" w:ascii="宋体" w:hAnsi="宋体"/>
        </w:rPr>
      </w:pPr>
      <w:r>
        <w:rPr>
          <w:rFonts w:hint="eastAsia" w:ascii="宋体" w:hAnsi="宋体"/>
        </w:rPr>
        <w:t>图6为本发明实施例提供的约束强化学习训练过程示意图。</w:t>
      </w:r>
    </w:p>
    <w:p w14:paraId="06289DD8">
      <w:pPr>
        <w:spacing w:before="60"/>
        <w:jc w:val="center"/>
        <w:rPr>
          <w:rFonts w:hint="eastAsia" w:ascii="宋体" w:hAnsi="宋体" w:eastAsia="宋体"/>
          <w:lang w:eastAsia="zh-CN"/>
        </w:rPr>
      </w:pPr>
      <w:r>
        <w:rPr>
          <w:rFonts w:hint="eastAsia" w:ascii="宋体" w:hAnsi="宋体" w:eastAsia="宋体"/>
          <w:lang w:eastAsia="zh-CN"/>
        </w:rPr>
        <w:drawing>
          <wp:inline distT="0" distB="0" distL="114300" distR="114300">
            <wp:extent cx="3527425" cy="1922145"/>
            <wp:effectExtent l="0" t="0" r="15875" b="1905"/>
            <wp:docPr id="13" name="图片 13"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2"/>
                    <pic:cNvPicPr>
                      <a:picLocks noChangeAspect="1"/>
                    </pic:cNvPicPr>
                  </pic:nvPicPr>
                  <pic:blipFill>
                    <a:blip r:embed="rId19"/>
                    <a:stretch>
                      <a:fillRect/>
                    </a:stretch>
                  </pic:blipFill>
                  <pic:spPr>
                    <a:xfrm>
                      <a:off x="0" y="0"/>
                      <a:ext cx="3527425" cy="1922145"/>
                    </a:xfrm>
                    <a:prstGeom prst="rect">
                      <a:avLst/>
                    </a:prstGeom>
                  </pic:spPr>
                </pic:pic>
              </a:graphicData>
            </a:graphic>
          </wp:inline>
        </w:drawing>
      </w:r>
    </w:p>
    <w:p w14:paraId="02E4E1CB">
      <w:pPr>
        <w:spacing w:before="60"/>
        <w:jc w:val="center"/>
        <w:rPr>
          <w:rFonts w:hint="default" w:ascii="宋体" w:hAnsi="宋体"/>
          <w:lang w:val="en-US" w:eastAsia="zh-CN"/>
        </w:rPr>
      </w:pPr>
      <w:r>
        <w:rPr>
          <w:rFonts w:hint="eastAsia" w:ascii="宋体" w:hAnsi="宋体"/>
          <w:lang w:val="en-US" w:eastAsia="zh-CN"/>
        </w:rPr>
        <w:t xml:space="preserve">图6 </w:t>
      </w:r>
      <w:r>
        <w:rPr>
          <w:rFonts w:hint="eastAsia" w:ascii="宋体" w:hAnsi="宋体"/>
        </w:rPr>
        <w:t>约束强化学习训练过程示意图</w:t>
      </w:r>
    </w:p>
    <w:p w14:paraId="4507BDCB">
      <w:pPr>
        <w:spacing w:before="60"/>
        <w:jc w:val="center"/>
        <w:rPr>
          <w:rFonts w:hint="default" w:ascii="宋体" w:hAnsi="宋体"/>
          <w:lang w:val="en-US" w:eastAsia="zh-CN"/>
        </w:rPr>
      </w:pPr>
    </w:p>
    <w:p w14:paraId="5A1E8217">
      <w:pPr>
        <w:spacing w:before="60"/>
        <w:jc w:val="left"/>
        <w:rPr>
          <w:rFonts w:hint="eastAsia" w:ascii="宋体" w:hAnsi="宋体"/>
        </w:rPr>
      </w:pPr>
      <w:r>
        <w:rPr>
          <w:rFonts w:hint="eastAsia" w:ascii="宋体" w:hAnsi="宋体"/>
        </w:rPr>
        <w:t>图7为本发明实施例提供的风险约束参数动态更新示意图。</w:t>
      </w:r>
    </w:p>
    <w:p w14:paraId="7B4CBBBC">
      <w:pPr>
        <w:spacing w:before="60"/>
        <w:jc w:val="center"/>
        <w:rPr>
          <w:rFonts w:hint="eastAsia" w:ascii="宋体" w:hAnsi="宋体"/>
        </w:rPr>
      </w:pPr>
    </w:p>
    <w:p w14:paraId="7624FA18">
      <w:pPr>
        <w:spacing w:before="60"/>
        <w:jc w:val="center"/>
        <w:rPr>
          <w:rFonts w:hint="eastAsia" w:ascii="宋体" w:hAnsi="宋体" w:eastAsia="宋体"/>
          <w:lang w:eastAsia="zh-CN"/>
        </w:rPr>
      </w:pPr>
      <w:r>
        <w:rPr>
          <w:rFonts w:hint="eastAsia" w:ascii="宋体" w:hAnsi="宋体" w:eastAsia="宋体"/>
          <w:lang w:eastAsia="zh-CN"/>
        </w:rPr>
        <w:drawing>
          <wp:inline distT="0" distB="0" distL="114300" distR="114300">
            <wp:extent cx="3904615" cy="2127250"/>
            <wp:effectExtent l="0" t="0" r="635" b="6350"/>
            <wp:docPr id="14" name="图片 14" descr="d8d9cbf1-f43e-4171-9b60-005288b27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8d9cbf1-f43e-4171-9b60-005288b27e59"/>
                    <pic:cNvPicPr>
                      <a:picLocks noChangeAspect="1"/>
                    </pic:cNvPicPr>
                  </pic:nvPicPr>
                  <pic:blipFill>
                    <a:blip r:embed="rId20"/>
                    <a:stretch>
                      <a:fillRect/>
                    </a:stretch>
                  </pic:blipFill>
                  <pic:spPr>
                    <a:xfrm>
                      <a:off x="0" y="0"/>
                      <a:ext cx="3904615" cy="2127250"/>
                    </a:xfrm>
                    <a:prstGeom prst="rect">
                      <a:avLst/>
                    </a:prstGeom>
                  </pic:spPr>
                </pic:pic>
              </a:graphicData>
            </a:graphic>
          </wp:inline>
        </w:drawing>
      </w:r>
    </w:p>
    <w:p w14:paraId="129C632D">
      <w:pPr>
        <w:spacing w:before="60"/>
        <w:rPr>
          <w:rFonts w:hint="eastAsia" w:ascii="宋体" w:hAnsi="宋体"/>
        </w:rPr>
      </w:pPr>
    </w:p>
    <w:p w14:paraId="16E17C70">
      <w:pPr>
        <w:spacing w:before="60"/>
        <w:jc w:val="center"/>
        <w:rPr>
          <w:rFonts w:hint="eastAsia" w:ascii="宋体" w:hAnsi="宋体"/>
        </w:rPr>
      </w:pPr>
      <w:r>
        <w:rPr>
          <w:rFonts w:hint="eastAsia" w:ascii="宋体" w:hAnsi="宋体"/>
          <w:lang w:val="en-US" w:eastAsia="zh-CN"/>
        </w:rPr>
        <w:t xml:space="preserve">图7 </w:t>
      </w:r>
      <w:r>
        <w:rPr>
          <w:rFonts w:hint="eastAsia" w:ascii="宋体" w:hAnsi="宋体"/>
        </w:rPr>
        <w:t>风险约束参数动态更新示意图</w:t>
      </w:r>
    </w:p>
    <w:p w14:paraId="670B8E3F">
      <w:pPr>
        <w:spacing w:before="60"/>
        <w:jc w:val="center"/>
        <w:rPr>
          <w:rFonts w:hint="default" w:ascii="宋体" w:hAnsi="宋体" w:eastAsia="宋体"/>
          <w:lang w:val="en-US" w:eastAsia="zh-CN"/>
        </w:rPr>
      </w:pPr>
    </w:p>
    <w:p w14:paraId="2B130EB3">
      <w:pPr>
        <w:spacing w:before="60"/>
        <w:rPr>
          <w:rFonts w:hint="eastAsia" w:ascii="宋体" w:hAnsi="宋体"/>
        </w:rPr>
      </w:pPr>
    </w:p>
    <w:p w14:paraId="421DD863">
      <w:pPr>
        <w:spacing w:before="60"/>
        <w:rPr>
          <w:rFonts w:hint="eastAsia" w:ascii="宋体" w:hAnsi="宋体"/>
        </w:rPr>
      </w:pPr>
    </w:p>
    <w:p w14:paraId="40FE0AEA">
      <w:pPr>
        <w:spacing w:before="60"/>
        <w:rPr>
          <w:rFonts w:hint="eastAsia" w:ascii="宋体" w:hAnsi="宋体"/>
        </w:rPr>
        <w:sectPr>
          <w:headerReference r:id="rId7" w:type="default"/>
          <w:footerReference r:id="rId8" w:type="default"/>
          <w:pgSz w:w="11906" w:h="16838"/>
          <w:pgMar w:top="1418" w:right="851" w:bottom="851" w:left="1418" w:header="851" w:footer="113" w:gutter="0"/>
          <w:pgNumType w:fmt="decimal" w:start="1"/>
          <w:cols w:space="720" w:num="1"/>
          <w:docGrid w:type="lines" w:linePitch="312" w:charSpace="0"/>
        </w:sectPr>
      </w:pPr>
    </w:p>
    <w:p w14:paraId="258F70F9">
      <w:pPr>
        <w:pStyle w:val="9"/>
        <w:keepNext w:val="0"/>
        <w:keepLines w:val="0"/>
        <w:widowControl/>
        <w:suppressLineNumbers w:val="0"/>
        <w:jc w:val="center"/>
        <w:rPr>
          <w:rFonts w:ascii="宋体" w:hAnsi="宋体" w:eastAsia="宋体" w:cs="宋体"/>
          <w:sz w:val="24"/>
          <w:szCs w:val="24"/>
        </w:rPr>
      </w:pPr>
      <w:r>
        <w:rPr>
          <w:b/>
          <w:bCs/>
        </w:rPr>
        <w:t>一种面向</w:t>
      </w:r>
      <w:r>
        <w:rPr>
          <w:rFonts w:hint="eastAsia"/>
          <w:b/>
          <w:bCs/>
          <w:lang w:val="en-US" w:eastAsia="zh-CN"/>
        </w:rPr>
        <w:t>区块链节点的风险感知交易排序区块构建</w:t>
      </w:r>
      <w:r>
        <w:rPr>
          <w:b/>
          <w:bCs/>
        </w:rPr>
        <w:t>方法及系统</w:t>
      </w:r>
    </w:p>
    <w:p w14:paraId="5423BD4C">
      <w:pPr>
        <w:spacing w:before="60"/>
      </w:pPr>
      <w:r>
        <w:rPr>
          <w:rFonts w:hint="eastAsia" w:ascii="宋体" w:hAnsi="宋体" w:eastAsia="宋体" w:cs="宋体"/>
          <w:sz w:val="24"/>
          <w:szCs w:val="24"/>
        </w:rPr>
        <w:t>本发明公开了一种面向区块链节点的风险感知交易排序与区块构建方法及系统，属于区块链技术领域。针对现有交易排序方法以收益最大化为单一目标缺乏风险约束及静态规则难以适应复杂交易环境导致MEV攻击风险高、排序公平性差的问题，提出基于约束强化学习与动态风险感知机制的解决方案。该方法包括：获取交易池待处理交易及风险约束参数；提取候选交易特征生成交易表示；构建决策状态输入排序模型并基于合法性规则过滤候选交易；由模型选择目标交易加入区块执行序列；计算奖励与成本并依据成本偏差动态更新风险约束参数；迭代至满足终止条件输出执行序列。本发明自动平衡收益与风险，有效抑制MEV攻击，提升排序公平性与区块构建质量。</w:t>
      </w:r>
      <w:bookmarkStart w:id="10" w:name="_GoBack"/>
      <w:bookmarkEnd w:id="10"/>
    </w:p>
    <w:p w14:paraId="01815B8F">
      <w:pPr>
        <w:tabs>
          <w:tab w:val="left" w:pos="3632"/>
        </w:tabs>
        <w:spacing w:before="60"/>
        <w:rPr>
          <w:rFonts w:hint="eastAsia" w:eastAsia="宋体"/>
          <w:lang w:eastAsia="zh-CN"/>
        </w:rPr>
      </w:pPr>
      <w:r>
        <w:rPr>
          <w:rFonts w:hint="eastAsia"/>
          <w:lang w:eastAsia="zh-CN"/>
        </w:rPr>
        <w:tab/>
      </w:r>
    </w:p>
    <w:p w14:paraId="6EA1A607">
      <w:pPr>
        <w:spacing w:before="60"/>
      </w:pPr>
    </w:p>
    <w:p w14:paraId="6FC90DCC">
      <w:pPr>
        <w:spacing w:before="60"/>
      </w:pPr>
    </w:p>
    <w:p w14:paraId="18882B1A">
      <w:pPr>
        <w:spacing w:before="60"/>
      </w:pPr>
    </w:p>
    <w:p w14:paraId="65F2B038">
      <w:pPr>
        <w:spacing w:before="60"/>
      </w:pPr>
    </w:p>
    <w:p w14:paraId="1A664A80">
      <w:pPr>
        <w:spacing w:before="60"/>
      </w:pPr>
    </w:p>
    <w:p w14:paraId="0D77D16B">
      <w:pPr>
        <w:spacing w:before="60"/>
      </w:pPr>
    </w:p>
    <w:p w14:paraId="0B6C2386">
      <w:pPr>
        <w:spacing w:before="60"/>
      </w:pPr>
    </w:p>
    <w:p w14:paraId="336475C2">
      <w:pPr>
        <w:spacing w:before="60"/>
      </w:pPr>
    </w:p>
    <w:p w14:paraId="4DC93FBC">
      <w:pPr>
        <w:spacing w:before="60"/>
      </w:pPr>
    </w:p>
    <w:p w14:paraId="3430140F">
      <w:pPr>
        <w:spacing w:before="60"/>
      </w:pPr>
    </w:p>
    <w:p w14:paraId="2F986917">
      <w:pPr>
        <w:spacing w:before="60"/>
      </w:pPr>
    </w:p>
    <w:p w14:paraId="67313611">
      <w:pPr>
        <w:spacing w:before="60"/>
      </w:pPr>
    </w:p>
    <w:p w14:paraId="3FD91239">
      <w:pPr>
        <w:spacing w:before="60"/>
      </w:pPr>
    </w:p>
    <w:p w14:paraId="6CE77F0F">
      <w:pPr>
        <w:spacing w:before="60"/>
      </w:pPr>
    </w:p>
    <w:p w14:paraId="6B5C49DF">
      <w:pPr>
        <w:spacing w:before="60"/>
      </w:pPr>
    </w:p>
    <w:p w14:paraId="1CE5295D">
      <w:pPr>
        <w:spacing w:before="60"/>
      </w:pPr>
    </w:p>
    <w:p w14:paraId="70BB7950">
      <w:pPr>
        <w:spacing w:before="60"/>
      </w:pPr>
    </w:p>
    <w:p w14:paraId="5A9D84B0">
      <w:pPr>
        <w:spacing w:before="60"/>
      </w:pPr>
    </w:p>
    <w:p w14:paraId="5E268756">
      <w:pPr>
        <w:spacing w:before="60"/>
      </w:pPr>
    </w:p>
    <w:p w14:paraId="7B44385B">
      <w:pPr>
        <w:spacing w:before="60"/>
      </w:pPr>
    </w:p>
    <w:p w14:paraId="2BF95B55">
      <w:pPr>
        <w:spacing w:before="60"/>
      </w:pPr>
    </w:p>
    <w:p w14:paraId="7D953846">
      <w:pPr>
        <w:spacing w:before="60"/>
      </w:pPr>
    </w:p>
    <w:p w14:paraId="3C37D2B6">
      <w:pPr>
        <w:spacing w:before="60"/>
      </w:pPr>
    </w:p>
    <w:p w14:paraId="773E1356">
      <w:pPr>
        <w:spacing w:before="60"/>
      </w:pPr>
    </w:p>
    <w:p w14:paraId="0E2D7978">
      <w:pPr>
        <w:spacing w:before="60"/>
      </w:pPr>
    </w:p>
    <w:p w14:paraId="5DC33ECC">
      <w:pPr>
        <w:spacing w:before="60"/>
      </w:pPr>
    </w:p>
    <w:p w14:paraId="691D4BCF">
      <w:pPr>
        <w:spacing w:before="60"/>
      </w:pPr>
    </w:p>
    <w:p w14:paraId="531635AA">
      <w:pPr>
        <w:spacing w:before="60"/>
      </w:pPr>
    </w:p>
    <w:p w14:paraId="75AAC8B9">
      <w:pPr>
        <w:spacing w:before="60"/>
      </w:pPr>
    </w:p>
    <w:p w14:paraId="4FD2B2C8">
      <w:pPr>
        <w:sectPr>
          <w:headerReference r:id="rId9" w:type="default"/>
          <w:footerReference r:id="rId10" w:type="default"/>
          <w:pgSz w:w="11906" w:h="16838"/>
          <w:pgMar w:top="1418" w:right="851" w:bottom="851" w:left="1418" w:header="851" w:footer="113" w:gutter="0"/>
          <w:pgNumType w:fmt="decimal" w:start="1"/>
          <w:cols w:space="720" w:num="1"/>
          <w:docGrid w:type="lines" w:linePitch="312" w:charSpace="0"/>
        </w:sectPr>
      </w:pPr>
    </w:p>
    <w:p w14:paraId="217C91D9">
      <w:pPr>
        <w:keepNext w:val="0"/>
        <w:keepLines w:val="0"/>
        <w:pageBreakBefore w:val="0"/>
        <w:widowControl w:val="0"/>
        <w:kinsoku/>
        <w:wordWrap/>
        <w:overflowPunct/>
        <w:topLinePunct w:val="0"/>
        <w:autoSpaceDE/>
        <w:autoSpaceDN/>
        <w:bidi w:val="0"/>
        <w:adjustRightInd/>
        <w:snapToGrid/>
        <w:spacing w:line="360" w:lineRule="auto"/>
        <w:jc w:val="center"/>
        <w:rPr>
          <w:rFonts w:hint="eastAsia" w:cs="Times New Roman"/>
          <w:b/>
          <w:color w:val="000000"/>
          <w:sz w:val="28"/>
          <w:szCs w:val="28"/>
          <w:lang w:val="en-US" w:eastAsia="zh-CN"/>
        </w:rPr>
      </w:pPr>
    </w:p>
    <w:p w14:paraId="573576AC">
      <w:pPr>
        <w:keepNext w:val="0"/>
        <w:keepLines w:val="0"/>
        <w:pageBreakBefore w:val="0"/>
        <w:widowControl w:val="0"/>
        <w:kinsoku/>
        <w:wordWrap/>
        <w:overflowPunct/>
        <w:topLinePunct w:val="0"/>
        <w:autoSpaceDE/>
        <w:autoSpaceDN/>
        <w:bidi w:val="0"/>
        <w:adjustRightInd/>
        <w:snapToGrid/>
        <w:spacing w:line="360" w:lineRule="auto"/>
        <w:jc w:val="center"/>
        <w:rPr>
          <w:rFonts w:hint="default" w:ascii="Times New Roman" w:hAnsi="Times New Roman" w:eastAsia="宋体" w:cs="Times New Roman"/>
          <w:b/>
          <w:color w:val="000000"/>
          <w:sz w:val="28"/>
          <w:szCs w:val="28"/>
          <w:lang w:val="en-US" w:eastAsia="zh-CN"/>
        </w:rPr>
      </w:pPr>
      <w:r>
        <w:rPr>
          <w:rFonts w:hint="eastAsia" w:cs="Times New Roman"/>
          <w:b/>
          <w:color w:val="000000"/>
          <w:sz w:val="28"/>
          <w:szCs w:val="28"/>
          <w:lang w:val="en-US" w:eastAsia="zh-CN"/>
        </w:rPr>
        <w:t>指定图1为摘要附图</w:t>
      </w:r>
    </w:p>
    <w:p w14:paraId="2FC4B15F">
      <w:pPr>
        <w:spacing w:line="360" w:lineRule="auto"/>
      </w:pPr>
    </w:p>
    <w:p w14:paraId="36AE1E20">
      <w:pPr>
        <w:spacing w:line="360" w:lineRule="auto"/>
        <w:ind w:firstLine="400" w:firstLineChars="200"/>
        <w:rPr>
          <w:rFonts w:hint="eastAsia" w:ascii="宋体" w:hAnsi="宋体"/>
          <w:sz w:val="20"/>
        </w:rPr>
      </w:pPr>
    </w:p>
    <w:p w14:paraId="411BAB9D">
      <w:pPr>
        <w:spacing w:line="360" w:lineRule="auto"/>
        <w:rPr>
          <w:rFonts w:hint="eastAsia" w:ascii="宋体" w:hAnsi="宋体"/>
        </w:rPr>
      </w:pPr>
    </w:p>
    <w:p w14:paraId="7BA2E186">
      <w:pPr>
        <w:spacing w:line="360" w:lineRule="auto"/>
        <w:ind w:firstLine="420" w:firstLineChars="200"/>
        <w:rPr>
          <w:rFonts w:hint="eastAsia" w:ascii="宋体" w:hAnsi="宋体"/>
        </w:rPr>
      </w:pPr>
    </w:p>
    <w:p w14:paraId="55C638D9">
      <w:pPr>
        <w:spacing w:line="360" w:lineRule="auto"/>
        <w:ind w:left="360" w:hanging="360" w:hangingChars="180"/>
      </w:pPr>
      <w:r>
        <w:rPr>
          <w:sz w:val="20"/>
        </w:rPr>
        <mc:AlternateContent>
          <mc:Choice Requires="wps">
            <w:drawing>
              <wp:anchor distT="0" distB="0" distL="114300" distR="114300" simplePos="0" relativeHeight="251659264" behindDoc="0" locked="0" layoutInCell="0" allowOverlap="1">
                <wp:simplePos x="0" y="0"/>
                <wp:positionH relativeFrom="column">
                  <wp:posOffset>-64135</wp:posOffset>
                </wp:positionH>
                <wp:positionV relativeFrom="paragraph">
                  <wp:posOffset>3091815</wp:posOffset>
                </wp:positionV>
                <wp:extent cx="6233160" cy="178435"/>
                <wp:effectExtent l="4445" t="5080" r="10795" b="6985"/>
                <wp:wrapNone/>
                <wp:docPr id="1" name="矩形 5"/>
                <wp:cNvGraphicFramePr/>
                <a:graphic xmlns:a="http://schemas.openxmlformats.org/drawingml/2006/main">
                  <a:graphicData uri="http://schemas.microsoft.com/office/word/2010/wordprocessingShape">
                    <wps:wsp>
                      <wps:cNvSpPr/>
                      <wps:spPr>
                        <a:xfrm>
                          <a:off x="0" y="0"/>
                          <a:ext cx="6233160" cy="178435"/>
                        </a:xfrm>
                        <a:prstGeom prst="rect">
                          <a:avLst/>
                        </a:prstGeom>
                        <a:solidFill>
                          <a:srgbClr val="FFFFFF"/>
                        </a:solidFill>
                        <a:ln w="9525" cap="flat" cmpd="sng">
                          <a:solidFill>
                            <a:srgbClr val="FFFFFF"/>
                          </a:solidFill>
                          <a:prstDash val="solid"/>
                          <a:miter/>
                          <a:headEnd type="none" w="med" len="med"/>
                          <a:tailEnd type="none" w="med" len="med"/>
                        </a:ln>
                      </wps:spPr>
                      <wps:bodyPr wrap="square" upright="1"/>
                    </wps:wsp>
                  </a:graphicData>
                </a:graphic>
              </wp:anchor>
            </w:drawing>
          </mc:Choice>
          <mc:Fallback>
            <w:pict>
              <v:rect id="矩形 5" o:spid="_x0000_s1026" o:spt="1" style="position:absolute;left:0pt;margin-left:-5.05pt;margin-top:243.45pt;height:14.05pt;width:490.8pt;z-index:251659264;mso-width-relative:page;mso-height-relative:page;" fillcolor="#FFFFFF" filled="t" stroked="t" coordsize="21600,21600" o:allowincell="f" o:gfxdata="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taZajZAAAACwEAAA8AAAAAAAAAAQAgAAAAIgAAAGRycy9k&#10;b3ducmV2LnhtbFBLAQIUABQAAAAIAIdO4kBOe264AQIAACwEAAAOAAAAAAAAAAEAIAAAACgBAABk&#10;cnMvZTJvRG9jLnhtbFBLBQYAAAAABgAGAFkBAACbBQAAAAA=&#10;">
                <v:fill on="t" focussize="0,0"/>
                <v:stroke color="#FFFFFF" joinstyle="miter"/>
                <v:imagedata o:title=""/>
                <o:lock v:ext="edit" aspectratio="f"/>
              </v:rect>
            </w:pict>
          </mc:Fallback>
        </mc:AlternateContent>
      </w:r>
    </w:p>
    <w:sectPr>
      <w:headerReference r:id="rId11" w:type="default"/>
      <w:footerReference r:id="rId12" w:type="default"/>
      <w:pgSz w:w="11906" w:h="16838"/>
      <w:pgMar w:top="1418" w:right="851" w:bottom="851" w:left="1418" w:header="851" w:footer="113"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7370D">
    <w:pPr>
      <w:pStyle w:val="7"/>
      <w:spacing w:line="200" w:lineRule="exact"/>
      <w:rPr>
        <w:rFonts w:hint="eastAsia" w:ascii="黑体" w:eastAsia="黑体"/>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958BB8A">
                          <w:pPr>
                            <w:pStyle w:val="7"/>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3"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uTjLS98BAAC/AwAADgAAAAAA&#10;AAABACAAAAAeAQAAZHJzL2Uyb0RvYy54bWxQSwUGAAAAAAYABgBZAQAAbwUAAAAA&#10;">
              <v:fill on="f" focussize="0,0"/>
              <v:stroke on="f"/>
              <v:imagedata o:title=""/>
              <o:lock v:ext="edit" aspectratio="f"/>
              <v:textbox inset="0mm,0mm,0mm,0mm" style="mso-fit-shape-to-text:t;">
                <w:txbxContent>
                  <w:p w14:paraId="1958BB8A">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ascii="黑体" w:eastAsia="黑体"/>
      </w:rPr>
      <w:t>100</w:t>
    </w:r>
    <w:r>
      <w:rPr>
        <w:rFonts w:hint="eastAsia" w:ascii="黑体" w:eastAsia="黑体"/>
      </w:rPr>
      <w:t>0</w:t>
    </w:r>
    <w:r>
      <w:rPr>
        <w:rFonts w:ascii="黑体" w:eastAsia="黑体"/>
      </w:rPr>
      <w:t>0</w:t>
    </w:r>
    <w:r>
      <w:rPr>
        <w:rFonts w:hint="eastAsia" w:ascii="黑体" w:eastAsia="黑体"/>
      </w:rPr>
      <w:t xml:space="preserve">1        </w:t>
    </w:r>
  </w:p>
  <w:p w14:paraId="54D0D94B">
    <w:pPr>
      <w:pStyle w:val="7"/>
      <w:spacing w:line="200" w:lineRule="exact"/>
      <w:jc w:val="both"/>
      <w:rPr>
        <w:rFonts w:hint="default" w:ascii="黑体" w:eastAsia="黑体"/>
        <w:lang w:val="en-US" w:eastAsia="zh-CN"/>
      </w:rPr>
    </w:pPr>
    <w:r>
      <mc:AlternateContent>
        <mc:Choice Requires="wps">
          <w:drawing>
            <wp:anchor distT="0" distB="0" distL="114300" distR="114300" simplePos="0" relativeHeight="251660288" behindDoc="0" locked="0" layoutInCell="0" allowOverlap="1">
              <wp:simplePos x="0" y="0"/>
              <wp:positionH relativeFrom="column">
                <wp:posOffset>13335</wp:posOffset>
              </wp:positionH>
              <wp:positionV relativeFrom="paragraph">
                <wp:posOffset>-156845</wp:posOffset>
              </wp:positionV>
              <wp:extent cx="6120130" cy="0"/>
              <wp:effectExtent l="0" t="6350" r="0" b="6350"/>
              <wp:wrapNone/>
              <wp:docPr id="3" name="直线 1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1.05pt;margin-top:-12.35pt;height:0pt;width:481.9pt;z-index:251660288;mso-width-relative:page;mso-height-relative:page;" filled="f" stroked="t" coordsize="21600,21600" o:allowincell="f" o:gfxdata="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w3wVfY&#10;AAAACQEAAA8AAAAAAAAAAQAgAAAAIgAAAGRycy9kb3ducmV2LnhtbFBLAQIUABQAAAAIAIdO4kDt&#10;yKP+5wEAAN0DAAAOAAAAAAAAAAEAIAAAACcBAABkcnMvZTJvRG9jLnhtbFBLBQYAAAAABgAGAFkB&#10;AACABQAAAAA=&#10;">
              <v:fill on="f" focussize="0,0"/>
              <v:stroke weight="1pt" color="#000000" joinstyle="round"/>
              <v:imagedata o:title=""/>
              <o:lock v:ext="edit" aspectratio="f"/>
            </v:line>
          </w:pict>
        </mc:Fallback>
      </mc:AlternateContent>
    </w:r>
    <w:r>
      <w:rPr>
        <w:rFonts w:hint="eastAsia" w:ascii="黑体" w:eastAsia="黑体"/>
      </w:rPr>
      <w:t>202</w:t>
    </w:r>
    <w:r>
      <w:rPr>
        <w:rFonts w:hint="eastAsia" w:ascii="黑体" w:eastAsia="黑体"/>
        <w:lang w:val="en-US" w:eastAsia="zh-CN"/>
      </w:rPr>
      <w:t>6</w:t>
    </w:r>
    <w:r>
      <w:rPr>
        <w:rFonts w:hint="eastAsia" w:ascii="黑体" w:eastAsia="黑体"/>
      </w:rPr>
      <w:t>.</w:t>
    </w:r>
    <w:r>
      <w:rPr>
        <w:rFonts w:hint="eastAsia" w:ascii="黑体" w:eastAsia="黑体"/>
        <w:lang w:val="en-US" w:eastAsia="zh-CN"/>
      </w:rPr>
      <w:t>03</w:t>
    </w:r>
  </w:p>
  <w:p w14:paraId="1C1F1441">
    <w:pPr>
      <w:pStyle w:val="7"/>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1B158">
    <w:pPr>
      <w:pStyle w:val="7"/>
      <w:spacing w:line="200" w:lineRule="exact"/>
      <w:rPr>
        <w:rFonts w:ascii="黑体" w:eastAsia="黑体"/>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5A5ABE">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445A5ABE">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ascii="黑体" w:eastAsia="黑体"/>
      </w:rPr>
      <w:t>100</w:t>
    </w:r>
    <w:r>
      <w:rPr>
        <w:rFonts w:hint="eastAsia" w:ascii="黑体" w:eastAsia="黑体"/>
      </w:rPr>
      <w:t>0</w:t>
    </w:r>
    <w:r>
      <w:rPr>
        <w:rFonts w:ascii="黑体" w:eastAsia="黑体"/>
      </w:rPr>
      <w:t>0</w:t>
    </w:r>
    <w:r>
      <w:rPr>
        <w:rFonts w:hint="eastAsia" w:ascii="黑体" w:eastAsia="黑体"/>
      </w:rPr>
      <w:t xml:space="preserve">2        </w:t>
    </w:r>
  </w:p>
  <w:p w14:paraId="4ACFB7BE">
    <w:pPr>
      <w:pStyle w:val="7"/>
      <w:spacing w:line="200" w:lineRule="exact"/>
      <w:jc w:val="both"/>
      <w:rPr>
        <w:rFonts w:hint="default" w:ascii="黑体" w:eastAsia="黑体"/>
        <w:lang w:val="en-US"/>
      </w:rPr>
    </w:pPr>
    <w:r>
      <w:rPr>
        <w:rFonts w:ascii="黑体" w:eastAsia="黑体"/>
      </w:rPr>
      <mc:AlternateContent>
        <mc:Choice Requires="wps">
          <w:drawing>
            <wp:anchor distT="0" distB="0" distL="114300" distR="114300" simplePos="0" relativeHeight="251662336" behindDoc="0" locked="0" layoutInCell="0" allowOverlap="1">
              <wp:simplePos x="0" y="0"/>
              <wp:positionH relativeFrom="column">
                <wp:posOffset>-28575</wp:posOffset>
              </wp:positionH>
              <wp:positionV relativeFrom="paragraph">
                <wp:posOffset>-156845</wp:posOffset>
              </wp:positionV>
              <wp:extent cx="6120130" cy="0"/>
              <wp:effectExtent l="0" t="6350" r="0" b="6350"/>
              <wp:wrapNone/>
              <wp:docPr id="9"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a:effectLst/>
                    </wps:spPr>
                    <wps:bodyPr upright="1"/>
                  </wps:wsp>
                </a:graphicData>
              </a:graphic>
            </wp:anchor>
          </w:drawing>
        </mc:Choice>
        <mc:Fallback>
          <w:pict>
            <v:line id="直线 9" o:spid="_x0000_s1026" o:spt="20" style="position:absolute;left:0pt;margin-left:-2.25pt;margin-top:-12.35pt;height:0pt;width:481.9pt;z-index:251662336;mso-width-relative:page;mso-height-relative:page;" filled="f" stroked="t" coordsize="21600,21600" o:allowincell="f" o:gfxdata="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UEVErZAAAACgEAAA8AAAAAAAAAAQAgAAAAIgAAAGRycy9kb3ducmV2LnhtbFBLAQIUABQAAAAI&#10;AIdO4kBt1odQ7AEAAOoDAAAOAAAAAAAAAAEAIAAAACgBAABkcnMvZTJvRG9jLnhtbFBLBQYAAAAA&#10;BgAGAFkBAACGBQAAAAA=&#10;">
              <v:fill on="f" focussize="0,0"/>
              <v:stroke weight="1pt" color="#000000" joinstyle="round"/>
              <v:imagedata o:title=""/>
              <o:lock v:ext="edit" aspectratio="f"/>
            </v:line>
          </w:pict>
        </mc:Fallback>
      </mc:AlternateContent>
    </w:r>
    <w:r>
      <w:rPr>
        <w:rFonts w:hint="eastAsia" w:ascii="黑体" w:eastAsia="黑体"/>
      </w:rPr>
      <w:t>20</w:t>
    </w:r>
    <w:r>
      <w:rPr>
        <w:rFonts w:hint="default" w:ascii="黑体" w:eastAsia="黑体"/>
        <w:lang w:val="en-US"/>
      </w:rPr>
      <w:t>2</w:t>
    </w:r>
    <w:r>
      <w:rPr>
        <w:rFonts w:hint="eastAsia" w:ascii="黑体" w:eastAsia="黑体"/>
        <w:lang w:val="en-US" w:eastAsia="zh-CN"/>
      </w:rPr>
      <w:t>6</w:t>
    </w:r>
    <w:r>
      <w:rPr>
        <w:rFonts w:hint="default" w:ascii="黑体" w:eastAsia="黑体"/>
        <w:lang w:val="en-US"/>
      </w:rPr>
      <w:t>.03</w:t>
    </w:r>
  </w:p>
  <w:p w14:paraId="1D131822">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B40DE">
    <w:pPr>
      <w:pStyle w:val="7"/>
      <w:spacing w:line="200" w:lineRule="exact"/>
      <w:rPr>
        <w:rFonts w:hint="eastAsia" w:ascii="黑体" w:eastAsia="黑体"/>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2E849A">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392E849A">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ascii="黑体" w:eastAsia="黑体"/>
      </w:rPr>
      <w:t>10</w:t>
    </w:r>
    <w:r>
      <w:rPr>
        <w:rFonts w:hint="eastAsia" w:ascii="黑体" w:eastAsia="黑体"/>
      </w:rPr>
      <w:t>0</w:t>
    </w:r>
    <w:r>
      <w:rPr>
        <w:rFonts w:ascii="黑体" w:eastAsia="黑体"/>
      </w:rPr>
      <w:t>00</w:t>
    </w:r>
    <w:r>
      <w:rPr>
        <w:rFonts w:hint="eastAsia" w:ascii="黑体" w:eastAsia="黑体"/>
      </w:rPr>
      <w:t xml:space="preserve">3        </w:t>
    </w:r>
  </w:p>
  <w:p w14:paraId="2DDA3627">
    <w:pPr>
      <w:pStyle w:val="7"/>
      <w:spacing w:line="200" w:lineRule="exact"/>
      <w:jc w:val="both"/>
      <w:rPr>
        <w:rFonts w:hint="default" w:ascii="黑体" w:eastAsia="黑体"/>
        <w:lang w:val="en"/>
      </w:rPr>
    </w:pPr>
    <w:r>
      <w:rPr>
        <w:rFonts w:hint="eastAsia" w:ascii="黑体" w:eastAsia="黑体"/>
      </w:rPr>
      <w:t>202</w:t>
    </w:r>
    <w:r>
      <w:rPr>
        <w:rFonts w:hint="eastAsia" w:ascii="黑体" w:eastAsia="黑体"/>
        <w:lang w:val="en-US" w:eastAsia="zh-CN"/>
      </w:rPr>
      <w:t>6</w:t>
    </w:r>
    <w:r>
      <w:rPr>
        <w:rFonts w:hint="eastAsia" w:ascii="黑体" w:eastAsia="黑体"/>
      </w:rPr>
      <w:t>.03</w:t>
    </w:r>
    <w:r>
      <w:rPr>
        <w:rFonts w:ascii="黑体" w:eastAsia="黑体"/>
      </w:rPr>
      <mc:AlternateContent>
        <mc:Choice Requires="wps">
          <w:drawing>
            <wp:anchor distT="0" distB="0" distL="114300" distR="114300" simplePos="0" relativeHeight="251663360"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25"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80ctdNcA&#10;AAAIAQAADwAAAAAAAAABACAAAAAiAAAAZHJzL2Rvd25yZXYueG1sUEsBAhQAFAAAAAgAh07iQFhH&#10;5RjnAQAA3gMAAA4AAAAAAAAAAQAgAAAAJgEAAGRycy9lMm9Eb2MueG1sUEsFBgAAAAAGAAYAWQEA&#10;AH8FAAAAAA==&#10;">
              <v:fill on="f" focussize="0,0"/>
              <v:stroke weight="1pt" color="#000000" joinstyle="round"/>
              <v:imagedata o:title=""/>
              <o:lock v:ext="edit" aspectratio="f"/>
            </v:line>
          </w:pict>
        </mc:Fallback>
      </mc:AlternateContent>
    </w:r>
  </w:p>
  <w:p w14:paraId="0E3443C8">
    <w:pPr>
      <w:pStyle w:val="7"/>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4011A">
    <w:pPr>
      <w:spacing w:line="200" w:lineRule="exact"/>
      <w:jc w:val="both"/>
      <w:rPr>
        <w:rFonts w:ascii="黑体" w:hAnsi="黑体" w:eastAsia="黑体"/>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B14913">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tGXY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1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ptGXYzAgAAYwQAAA4AAAAAAAAAAQAgAAAAHwEAAGRycy9lMm9Eb2MueG1sUEsF&#10;BgAAAAAGAAYAWQEAAMQFAAAAAA==&#10;">
              <v:fill on="f" focussize="0,0"/>
              <v:stroke on="f" weight="0.5pt"/>
              <v:imagedata o:title=""/>
              <o:lock v:ext="edit" aspectratio="f"/>
              <v:textbox inset="0mm,0mm,0mm,0mm" style="mso-fit-shape-to-text:t;">
                <w:txbxContent>
                  <w:p w14:paraId="5FB14913">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13620B38">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5"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61312;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80ctdNcAAAAIAQAADwAAAAAAAAABACAAAAAiAAAAZHJzL2Rvd25yZXYueG1sUEsB&#10;AhQAFAAAAAgAh07iQGbqGEr2AQAADAQAAA4AAAAAAAAAAQAgAAAAJgEAAGRycy9lMm9Eb2MueG1s&#10;UEsFBgAAAAAGAAYAWQEAAI4FA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eastAsia" w:ascii="黑体" w:hAnsi="黑体" w:eastAsia="黑体"/>
        <w:sz w:val="18"/>
        <w:szCs w:val="18"/>
        <w:lang w:val="en-US" w:eastAsia="zh-CN"/>
      </w:rPr>
      <w:t>6</w:t>
    </w:r>
    <w:r>
      <w:rPr>
        <w:rFonts w:hint="default" w:ascii="黑体" w:hAnsi="黑体" w:eastAsia="黑体"/>
        <w:sz w:val="18"/>
        <w:szCs w:val="18"/>
        <w:lang w:val="en-US" w:eastAsia="zh-CN"/>
      </w:rPr>
      <w:t>.03</w:t>
    </w:r>
  </w:p>
  <w:p w14:paraId="6141D8F3"/>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A268A">
    <w:pPr>
      <w:pStyle w:val="7"/>
      <w:spacing w:line="200" w:lineRule="exact"/>
      <w:rPr>
        <w:rFonts w:hint="eastAsia" w:ascii="黑体" w:eastAsia="黑体"/>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BEBDD38">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BTaYj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gFNpiN0CAAAmBgAADgAAAAAAAAABACAAAAAfAQAAZHJzL2Uyb0RvYy54bWxQSwUG&#10;AAAAAAYABgBZAQAAbgYAAAAA&#10;">
              <v:fill on="f" focussize="0,0"/>
              <v:stroke on="f" weight="0.5pt"/>
              <v:imagedata o:title=""/>
              <o:lock v:ext="edit" aspectratio="f"/>
              <v:textbox inset="0mm,0mm,0mm,0mm" style="mso-fit-shape-to-text:t;">
                <w:txbxContent>
                  <w:p w14:paraId="1BEBDD38">
                    <w:pPr>
                      <w:pStyle w:val="7"/>
                    </w:pPr>
                    <w:r>
                      <w:fldChar w:fldCharType="begin"/>
                    </w:r>
                    <w:r>
                      <w:instrText xml:space="preserve"> PAGE  \* MERGEFORMAT </w:instrText>
                    </w:r>
                    <w:r>
                      <w:fldChar w:fldCharType="separate"/>
                    </w:r>
                    <w:r>
                      <w:t>2</w:t>
                    </w:r>
                    <w:r>
                      <w:fldChar w:fldCharType="end"/>
                    </w:r>
                  </w:p>
                </w:txbxContent>
              </v:textbox>
            </v:shape>
          </w:pict>
        </mc:Fallback>
      </mc:AlternateContent>
    </w:r>
    <w:r>
      <w:rPr>
        <w:rFonts w:ascii="黑体" w:eastAsia="黑体"/>
      </w:rPr>
      <w:t>100</w:t>
    </w:r>
    <w:r>
      <w:rPr>
        <w:rFonts w:hint="eastAsia" w:ascii="黑体" w:eastAsia="黑体"/>
      </w:rPr>
      <w:t>0</w:t>
    </w:r>
    <w:r>
      <w:rPr>
        <w:rFonts w:ascii="黑体" w:eastAsia="黑体"/>
      </w:rPr>
      <w:t>0</w:t>
    </w:r>
    <w:r>
      <w:rPr>
        <w:rFonts w:hint="eastAsia" w:ascii="黑体" w:eastAsia="黑体"/>
      </w:rPr>
      <w:t xml:space="preserve">1        </w:t>
    </w:r>
  </w:p>
  <w:p w14:paraId="03347013">
    <w:pPr>
      <w:pStyle w:val="7"/>
      <w:spacing w:line="200" w:lineRule="exact"/>
      <w:jc w:val="both"/>
      <w:rPr>
        <w:rFonts w:hint="default" w:ascii="黑体" w:eastAsia="黑体"/>
        <w:lang w:val="en-US" w:eastAsia="zh-CN"/>
      </w:rPr>
    </w:pPr>
    <w:r>
      <mc:AlternateContent>
        <mc:Choice Requires="wps">
          <w:drawing>
            <wp:anchor distT="0" distB="0" distL="114300" distR="114300" simplePos="0" relativeHeight="251664384" behindDoc="0" locked="0" layoutInCell="0" allowOverlap="1">
              <wp:simplePos x="0" y="0"/>
              <wp:positionH relativeFrom="column">
                <wp:posOffset>13335</wp:posOffset>
              </wp:positionH>
              <wp:positionV relativeFrom="paragraph">
                <wp:posOffset>-156845</wp:posOffset>
              </wp:positionV>
              <wp:extent cx="6120130" cy="0"/>
              <wp:effectExtent l="0" t="6350" r="0" b="6350"/>
              <wp:wrapNone/>
              <wp:docPr id="6" name="直线 1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1.05pt;margin-top:-12.35pt;height:0pt;width:481.9pt;z-index:251664384;mso-width-relative:page;mso-height-relative:page;" filled="f" stroked="t" coordsize="21600,21600" o:allowincell="f" o:gfxdata="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w3wVfY&#10;AAAACQEAAA8AAAAAAAAAAQAgAAAAIgAAAGRycy9kb3ducmV2LnhtbFBLAQIUABQAAAAIAIdO4kAG&#10;dDB35wEAAN0DAAAOAAAAAAAAAAEAIAAAACcBAABkcnMvZTJvRG9jLnhtbFBLBQYAAAAABgAGAFkB&#10;AACABQAAAAA=&#10;">
              <v:fill on="f" focussize="0,0"/>
              <v:stroke weight="1pt" color="#000000" joinstyle="round"/>
              <v:imagedata o:title=""/>
              <o:lock v:ext="edit" aspectratio="f"/>
            </v:line>
          </w:pict>
        </mc:Fallback>
      </mc:AlternateContent>
    </w:r>
    <w:r>
      <w:rPr>
        <w:rFonts w:hint="eastAsia" w:ascii="黑体" w:eastAsia="黑体"/>
      </w:rPr>
      <w:t>202</w:t>
    </w:r>
    <w:r>
      <w:rPr>
        <w:rFonts w:hint="eastAsia" w:ascii="黑体" w:eastAsia="黑体"/>
        <w:lang w:val="en-US" w:eastAsia="zh-CN"/>
      </w:rPr>
      <w:t>6</w:t>
    </w:r>
    <w:r>
      <w:rPr>
        <w:rFonts w:hint="eastAsia" w:ascii="黑体" w:eastAsia="黑体"/>
      </w:rPr>
      <w:t>.</w:t>
    </w:r>
    <w:r>
      <w:rPr>
        <w:rFonts w:hint="eastAsia" w:ascii="黑体" w:eastAsia="黑体"/>
        <w:lang w:val="en-US" w:eastAsia="zh-CN"/>
      </w:rPr>
      <w:t>03</w:t>
    </w:r>
  </w:p>
  <w:p w14:paraId="2FFE78E4">
    <w:pPr>
      <w:pStyle w:val="7"/>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52228">
    <w:pPr>
      <w:jc w:val="center"/>
      <w:outlineLvl w:val="0"/>
      <w:rPr>
        <w:rFonts w:hint="eastAsia" w:ascii="黑体" w:eastAsia="黑体"/>
        <w:b/>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2" name="直线 8"/>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C4eaUq&#10;5gEAANw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权利要求书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D91B2">
    <w:pPr>
      <w:jc w:val="center"/>
      <w:outlineLvl w:val="0"/>
      <w:rPr>
        <w:rFonts w:ascii="黑体" w:eastAsia="黑体"/>
        <w:b/>
        <w:spacing w:val="130"/>
        <w:sz w:val="28"/>
      </w:rPr>
    </w:pPr>
    <w:r>
      <w:rPr>
        <w:rFonts w:eastAsia="黑体"/>
        <w:spacing w:val="130"/>
        <w:sz w:val="28"/>
      </w:rP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7"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a:effectLst/>
                    </wps:spPr>
                    <wps:bodyPr upright="1"/>
                  </wps:wsp>
                </a:graphicData>
              </a:graphic>
            </wp:anchor>
          </w:drawing>
        </mc:Choice>
        <mc:Fallback>
          <w:pict>
            <v:line id="直线 5" o:spid="_x0000_s1026" o:spt="20" style="position:absolute;left:0pt;margin-left:0pt;margin-top:28.35pt;height:0pt;width:481.9pt;z-index:25166131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9U&#10;nZXWAAAABgEAAA8AAAAAAAAAAQAgAAAAIgAAAGRycy9kb3ducmV2LnhtbFBLAQIUABQAAAAIAIdO&#10;4kBuRFyL7AEAAOoDAAAOAAAAAAAAAAEAIAAAACUBAABkcnMvZTJvRG9jLnhtbFBLBQYAAAAABgAG&#10;AFkBAACDBQAAAAA=&#10;">
              <v:fill on="f" focussize="0,0"/>
              <v:stroke weight="1pt" color="#000000" joinstyle="round"/>
              <v:imagedata o:title=""/>
              <o:lock v:ext="edit" aspectratio="f"/>
            </v:line>
          </w:pict>
        </mc:Fallback>
      </mc:AlternateContent>
    </w:r>
    <w:r>
      <w:rPr>
        <w:rFonts w:hint="eastAsia" w:eastAsia="黑体"/>
        <w:spacing w:val="130"/>
        <w:sz w:val="28"/>
      </w:rPr>
      <w:t>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418A5">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24"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6131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1SdldYA&#10;AAAGAQAADwAAAAAAAAABACAAAAAiAAAAZHJzL2Rvd25yZXYueG1sUEsBAhQAFAAAAAgAh07iQE2N&#10;4ozoAQAA3QMAAA4AAAAAAAAAAQAgAAAAJQEAAGRycy9lMm9Eb2MueG1sUEsFBgAAAAAGAAYAWQEA&#10;AH8FA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A6FC">
    <w:pPr>
      <w:jc w:val="center"/>
      <w:outlineLvl w:val="0"/>
      <w:rPr>
        <w:rFonts w:ascii="黑体" w:hAnsi="黑体" w:eastAsia="黑体"/>
        <w:b/>
        <w:spacing w:val="89"/>
        <w:sz w:val="28"/>
      </w:rPr>
    </w:pPr>
    <w: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33"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61312;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9UnZXWAAAABgEAAA8AAAAAAAAAAQAgAAAAIgAAAGRycy9kb3ducmV2LnhtbFBLAQIU&#10;ABQAAAAIAIdO4kBGp0i+9QEAAAwEAAAOAAAAAAAAAAEAIAAAACUBAABkcnMvZTJvRG9jLnhtbFBL&#10;BQYAAAAABgAGAFkBAACMBQ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44650">
    <w:pPr>
      <w:jc w:val="center"/>
      <w:outlineLvl w:val="0"/>
      <w:rPr>
        <w:rFonts w:hint="eastAsia" w:ascii="黑体" w:hAnsi="黑体" w:eastAsia="黑体"/>
        <w:b/>
        <w:spacing w:val="89"/>
        <w:sz w:val="28"/>
        <w:lang w:val="en-US" w:eastAsia="zh-CN"/>
      </w:rPr>
    </w:pPr>
    <w:r>
      <mc:AlternateContent>
        <mc:Choice Requires="wps">
          <w:drawing>
            <wp:anchor distT="0" distB="0" distL="114300" distR="114300" simplePos="0" relativeHeight="251667456"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40"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67456;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6wow/0AQAADA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Tc3HJIkTHd3431+/&#10;//z4eZW06QNWlHLnFnCwMCwgEd1q6NKfKLBt1nN31FNtI5PkvB4SqSvClY+x4nQwAMaPyncsbWpu&#10;jUtURSU29xipGKU+piQ3emuaubE2G7Ba3llgG0HXOs9f6paOPEmzjvU04qObsszQT4J4jlHm7zkG&#10;IVpHwEmHPfO0W/pmR6phkHNDzd8LjAsBNDdDnl5WfKBFW0+1pTWBs9bD90uf/eToGt8Px0n3mI3x&#10;25sRGXAeWZ5FEnPnP6yj1yYrdOrl0CINSVbhMNBpCs/tnHV6xN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6wow/0AQAADA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摘要</w:t>
    </w:r>
    <w:r>
      <w:rPr>
        <w:rFonts w:hint="eastAsia" w:eastAsia="黑体"/>
        <w:spacing w:val="90"/>
        <w:sz w:val="28"/>
        <w:lang w:val="en-US" w:eastAsia="zh-CN"/>
      </w:rPr>
      <w:t>附图</w:t>
    </w:r>
  </w:p>
  <w:p w14:paraId="23F472E7">
    <w:pPr>
      <w:jc w:val="center"/>
      <w:rPr>
        <w:rFonts w:hint="eastAsia" w:ascii="黑体" w:eastAsia="黑体"/>
        <w:b/>
        <w:spacing w:val="90"/>
        <w:sz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1E6"/>
    <w:rsid w:val="008551E6"/>
    <w:rsid w:val="00CB02EC"/>
    <w:rsid w:val="1EA405AA"/>
    <w:rsid w:val="304C4D24"/>
    <w:rsid w:val="34C26C1E"/>
    <w:rsid w:val="3638130B"/>
    <w:rsid w:val="3B0F4CF4"/>
    <w:rsid w:val="3F9BC41A"/>
    <w:rsid w:val="411C7540"/>
    <w:rsid w:val="49692784"/>
    <w:rsid w:val="4DD74B5D"/>
    <w:rsid w:val="65C79E3A"/>
    <w:rsid w:val="77785510"/>
    <w:rsid w:val="79240A5E"/>
    <w:rsid w:val="FFFD82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qFormat/>
    <w:uiPriority w:val="0"/>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Document Map"/>
    <w:basedOn w:val="1"/>
    <w:semiHidden/>
    <w:unhideWhenUsed/>
    <w:uiPriority w:val="99"/>
    <w:pPr>
      <w:shd w:val="clear" w:color="auto" w:fill="000080"/>
    </w:pPr>
  </w:style>
  <w:style w:type="paragraph" w:styleId="4">
    <w:name w:val="Body Text"/>
    <w:basedOn w:val="1"/>
    <w:link w:val="17"/>
    <w:qFormat/>
    <w:uiPriority w:val="0"/>
    <w:rPr>
      <w:sz w:val="28"/>
    </w:rPr>
  </w:style>
  <w:style w:type="paragraph" w:styleId="5">
    <w:name w:val="Body Text Indent"/>
    <w:basedOn w:val="1"/>
    <w:semiHidden/>
    <w:unhideWhenUsed/>
    <w:uiPriority w:val="99"/>
    <w:pPr>
      <w:spacing w:line="780" w:lineRule="exact"/>
      <w:ind w:left="359" w:leftChars="1" w:hanging="357" w:hangingChars="170"/>
    </w:pPr>
    <w:rPr>
      <w:rFonts w:ascii="宋体" w:hAnsi="宋体"/>
    </w:rPr>
  </w:style>
  <w:style w:type="paragraph" w:styleId="6">
    <w:name w:val="Balloon Text"/>
    <w:basedOn w:val="1"/>
    <w:qFormat/>
    <w:uiPriority w:val="0"/>
    <w:rPr>
      <w:sz w:val="18"/>
      <w:szCs w:val="1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spacing w:before="100" w:beforeAutospacing="1" w:after="100" w:afterAutospacing="1"/>
      <w:ind w:left="0" w:right="0"/>
      <w:jc w:val="left"/>
    </w:pPr>
    <w:rPr>
      <w:kern w:val="0"/>
      <w:sz w:val="24"/>
      <w:lang w:val="en-US" w:eastAsia="zh-CN" w:bidi="ar"/>
    </w:rPr>
  </w:style>
  <w:style w:type="character" w:styleId="12">
    <w:name w:val="page number"/>
    <w:basedOn w:val="11"/>
    <w:qFormat/>
    <w:uiPriority w:val="0"/>
  </w:style>
  <w:style w:type="character" w:styleId="13">
    <w:name w:val="HTML Code"/>
    <w:basedOn w:val="11"/>
    <w:semiHidden/>
    <w:unhideWhenUsed/>
    <w:uiPriority w:val="99"/>
    <w:rPr>
      <w:rFonts w:ascii="Courier New" w:hAnsi="Courier New" w:eastAsia="宋体" w:cs="Times New Roman"/>
      <w:sz w:val="20"/>
    </w:rPr>
  </w:style>
  <w:style w:type="paragraph" w:customStyle="1" w:styleId="14">
    <w:name w:val="批注框文本1"/>
    <w:basedOn w:val="1"/>
    <w:semiHidden/>
    <w:qFormat/>
    <w:uiPriority w:val="0"/>
    <w:rPr>
      <w:sz w:val="18"/>
      <w:szCs w:val="18"/>
    </w:rPr>
  </w:style>
  <w:style w:type="paragraph" w:customStyle="1" w:styleId="15">
    <w:name w:val="Source Code"/>
    <w:basedOn w:val="1"/>
    <w:link w:val="16"/>
    <w:qFormat/>
    <w:uiPriority w:val="0"/>
    <w:pPr>
      <w:wordWrap w:val="0"/>
    </w:pPr>
  </w:style>
  <w:style w:type="character" w:customStyle="1" w:styleId="16">
    <w:name w:val="Verbatim Char"/>
    <w:basedOn w:val="17"/>
    <w:link w:val="15"/>
    <w:qFormat/>
    <w:uiPriority w:val="0"/>
  </w:style>
  <w:style w:type="character" w:customStyle="1" w:styleId="17">
    <w:name w:val="Body Text Char"/>
    <w:basedOn w:val="11"/>
    <w:link w:val="4"/>
    <w:qFormat/>
    <w:uiPriority w:val="0"/>
    <w:rPr>
      <w:rFonts w:ascii="Times New Roman" w:hAnsi="Times New Roman" w:eastAsia="宋体" w:cs="Times New Roman"/>
      <w:sz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qlyqs.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qlyqs</Template>
  <Company>sipo</Company>
  <Pages>15</Pages>
  <Words>2646</Words>
  <Characters>2789</Characters>
  <Lines>3</Lines>
  <Paragraphs>1</Paragraphs>
  <TotalTime>0</TotalTime>
  <ScaleCrop>false</ScaleCrop>
  <LinksUpToDate>false</LinksUpToDate>
  <CharactersWithSpaces>2799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2009-09-15T12:02:00Z</dcterms:created>
  <dc:creator>cxf</dc:creator>
  <cp:lastModifiedBy>叶湘伦</cp:lastModifiedBy>
  <cp:lastPrinted>2006-06-02T07:34:00Z</cp:lastPrinted>
  <dcterms:modified xsi:type="dcterms:W3CDTF">2026-03-13T07:31:43Z</dcterms:modified>
  <dc:title>10002     2002</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8227A2FA881F49A284E12836A2C392A4_13</vt:lpwstr>
  </property>
  <property fmtid="{D5CDD505-2E9C-101B-9397-08002B2CF9AE}" pid="4" name="KSOTemplateDocerSaveRecord">
    <vt:lpwstr>eyJoZGlkIjoiNjYyYjczOTJhMGQzOWUzZWY3M2U3ZmE2Y2RjYjNiOWMiLCJ1c2VySWQiOiI3MzE4NTgzODMifQ==</vt:lpwstr>
  </property>
</Properties>
</file>