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BF9458">
      <w:pPr>
        <w:jc w:val="center"/>
        <w:rPr>
          <w:rFonts w:hint="eastAsia" w:ascii="楷体_GB2312" w:hAnsi="华文仿宋" w:eastAsia="楷体_GB2312"/>
          <w:b/>
          <w:sz w:val="44"/>
          <w:szCs w:val="44"/>
        </w:rPr>
      </w:pPr>
    </w:p>
    <w:p w14:paraId="45AAF5F8">
      <w:pPr>
        <w:jc w:val="center"/>
        <w:rPr>
          <w:rFonts w:hint="eastAsia" w:ascii="楷体_GB2312" w:hAnsi="华文仿宋" w:eastAsia="楷体_GB2312"/>
          <w:b/>
          <w:sz w:val="52"/>
          <w:szCs w:val="52"/>
        </w:rPr>
      </w:pPr>
      <w:r>
        <w:rPr>
          <w:rFonts w:hint="eastAsia" w:ascii="楷体_GB2312" w:hAnsi="华文仿宋" w:eastAsia="楷体_GB2312"/>
          <w:b/>
          <w:sz w:val="52"/>
          <w:szCs w:val="52"/>
        </w:rPr>
        <w:t>天津理工大学</w:t>
      </w:r>
    </w:p>
    <w:p w14:paraId="4AAB0AA1">
      <w:pPr>
        <w:jc w:val="center"/>
        <w:rPr>
          <w:b/>
          <w:sz w:val="44"/>
          <w:szCs w:val="44"/>
        </w:rPr>
      </w:pPr>
    </w:p>
    <w:p w14:paraId="1EC38CAB">
      <w:pPr>
        <w:spacing w:line="480" w:lineRule="auto"/>
        <w:jc w:val="center"/>
        <w:rPr>
          <w:rFonts w:hint="eastAsia" w:ascii="黑体" w:hAnsi="黑体" w:eastAsia="黑体" w:cs="黑体"/>
          <w:b/>
          <w:sz w:val="44"/>
          <w:szCs w:val="44"/>
        </w:rPr>
      </w:pPr>
      <w:r>
        <w:rPr>
          <w:rFonts w:hint="eastAsia" w:ascii="黑体" w:hAnsi="黑体" w:eastAsia="黑体" w:cs="黑体"/>
          <w:b/>
          <w:sz w:val="44"/>
          <w:szCs w:val="44"/>
        </w:rPr>
        <w:t>硕士学位论文开题报告</w:t>
      </w:r>
    </w:p>
    <w:p w14:paraId="4EF84F37">
      <w:pPr>
        <w:jc w:val="center"/>
      </w:pPr>
    </w:p>
    <w:p w14:paraId="2703DBAE">
      <w:pPr>
        <w:jc w:val="center"/>
      </w:pPr>
    </w:p>
    <w:p w14:paraId="5A0F6EDC">
      <w:pPr>
        <w:jc w:val="center"/>
      </w:pPr>
    </w:p>
    <w:p w14:paraId="1D1CE729">
      <w:pPr>
        <w:jc w:val="center"/>
      </w:pPr>
    </w:p>
    <w:p w14:paraId="78DCBF52">
      <w:pPr>
        <w:jc w:val="center"/>
      </w:pPr>
    </w:p>
    <w:p w14:paraId="47A4AC2B">
      <w:pPr>
        <w:jc w:val="center"/>
      </w:pPr>
    </w:p>
    <w:p w14:paraId="136DBF5F">
      <w:pPr>
        <w:jc w:val="center"/>
      </w:pPr>
    </w:p>
    <w:p w14:paraId="74535981">
      <w:pPr>
        <w:jc w:val="center"/>
      </w:pPr>
    </w:p>
    <w:p w14:paraId="3C9D9A55">
      <w:pPr>
        <w:jc w:val="center"/>
      </w:pPr>
    </w:p>
    <w:p w14:paraId="05367B16">
      <w:pPr>
        <w:jc w:val="center"/>
        <w:rPr>
          <w:sz w:val="32"/>
          <w:szCs w:val="32"/>
        </w:rPr>
      </w:pPr>
    </w:p>
    <w:p w14:paraId="161CA40E">
      <w:pPr>
        <w:spacing w:line="700" w:lineRule="exact"/>
        <w:ind w:firstLine="1656" w:firstLineChars="550"/>
        <w:rPr>
          <w:rFonts w:hint="eastAsia" w:ascii="宋体" w:hAnsi="宋体"/>
          <w:b/>
          <w:bCs/>
          <w:sz w:val="30"/>
          <w:szCs w:val="30"/>
        </w:rPr>
      </w:pPr>
      <w:r>
        <w:rPr>
          <w:rFonts w:hint="eastAsia" w:ascii="宋体" w:hAnsi="宋体"/>
          <w:b/>
          <w:bCs/>
          <w:sz w:val="30"/>
          <w:szCs w:val="30"/>
        </w:rPr>
        <w:t>学院名称</w:t>
      </w:r>
      <w:r>
        <w:rPr>
          <w:rFonts w:hint="eastAsia" w:ascii="宋体" w:hAnsi="宋体"/>
          <w:b/>
          <w:bCs/>
          <w:sz w:val="30"/>
          <w:szCs w:val="30"/>
          <w:u w:val="single" w:color="FFFFFF"/>
        </w:rPr>
        <w:t xml:space="preserve"> </w:t>
      </w:r>
      <w:r>
        <w:rPr>
          <w:rFonts w:hint="eastAsia" w:ascii="宋体" w:hAnsi="宋体"/>
          <w:b/>
          <w:bCs/>
          <w:sz w:val="30"/>
          <w:szCs w:val="30"/>
          <w:u w:val="single"/>
        </w:rPr>
        <w:t xml:space="preserve">  计算机科学与工程学院 </w:t>
      </w:r>
    </w:p>
    <w:p w14:paraId="63CE753D">
      <w:pPr>
        <w:spacing w:line="700" w:lineRule="exact"/>
        <w:ind w:firstLine="1656" w:firstLineChars="550"/>
        <w:rPr>
          <w:rFonts w:hint="eastAsia" w:ascii="宋体" w:hAnsi="宋体"/>
          <w:b/>
          <w:bCs/>
          <w:sz w:val="30"/>
          <w:szCs w:val="30"/>
          <w:u w:val="single"/>
        </w:rPr>
      </w:pPr>
      <w:r>
        <w:rPr>
          <w:rFonts w:hint="eastAsia" w:ascii="宋体" w:hAnsi="宋体"/>
          <w:b/>
          <w:bCs/>
          <w:sz w:val="30"/>
          <w:szCs w:val="30"/>
        </w:rPr>
        <w:t xml:space="preserve">专业名称 </w:t>
      </w:r>
      <w:r>
        <w:rPr>
          <w:rFonts w:hint="eastAsia" w:ascii="宋体" w:hAnsi="宋体"/>
          <w:b/>
          <w:bCs/>
          <w:color w:val="000000"/>
          <w:sz w:val="30"/>
          <w:szCs w:val="30"/>
          <w:u w:val="single"/>
        </w:rPr>
        <w:t xml:space="preserve">  </w:t>
      </w:r>
      <w:r>
        <w:rPr>
          <w:rFonts w:hint="eastAsia" w:ascii="宋体" w:hAnsi="宋体"/>
          <w:b/>
          <w:bCs/>
          <w:color w:val="000000"/>
          <w:sz w:val="30"/>
          <w:szCs w:val="30"/>
          <w:u w:val="single"/>
          <w:lang w:val="en-US" w:eastAsia="zh-CN"/>
        </w:rPr>
        <w:t>计算机技术</w:t>
      </w:r>
      <w:r>
        <w:rPr>
          <w:rFonts w:hint="eastAsia" w:ascii="宋体" w:hAnsi="宋体"/>
          <w:b/>
          <w:bCs/>
          <w:color w:val="000000"/>
          <w:sz w:val="30"/>
          <w:szCs w:val="30"/>
          <w:u w:val="single"/>
        </w:rPr>
        <w:t xml:space="preserve">           </w:t>
      </w:r>
    </w:p>
    <w:p w14:paraId="0274A24B">
      <w:pPr>
        <w:spacing w:line="700" w:lineRule="exact"/>
        <w:ind w:firstLine="1656" w:firstLineChars="550"/>
        <w:rPr>
          <w:rFonts w:hint="eastAsia" w:ascii="宋体" w:hAnsi="宋体"/>
          <w:b/>
          <w:bCs/>
          <w:sz w:val="30"/>
          <w:szCs w:val="30"/>
          <w:u w:val="single"/>
        </w:rPr>
      </w:pPr>
      <w:r>
        <w:rPr>
          <w:rFonts w:hint="eastAsia" w:ascii="宋体" w:hAnsi="宋体"/>
          <w:b/>
          <w:bCs/>
          <w:sz w:val="30"/>
          <w:szCs w:val="30"/>
        </w:rPr>
        <w:t xml:space="preserve">学生姓名 </w:t>
      </w:r>
      <w:r>
        <w:rPr>
          <w:rFonts w:hint="eastAsia" w:ascii="宋体" w:hAnsi="宋体"/>
          <w:b/>
          <w:bCs/>
          <w:sz w:val="30"/>
          <w:szCs w:val="30"/>
          <w:u w:val="single"/>
        </w:rPr>
        <w:t xml:space="preserve">  </w:t>
      </w:r>
      <w:r>
        <w:rPr>
          <w:rFonts w:hint="eastAsia" w:ascii="宋体" w:hAnsi="宋体"/>
          <w:b/>
          <w:bCs/>
          <w:sz w:val="30"/>
          <w:szCs w:val="30"/>
          <w:u w:val="single"/>
          <w:lang w:val="en-US" w:eastAsia="zh-CN"/>
        </w:rPr>
        <w:t>陈庆贺</w:t>
      </w:r>
      <w:r>
        <w:rPr>
          <w:rFonts w:hint="eastAsia" w:ascii="宋体" w:hAnsi="宋体"/>
          <w:b/>
          <w:bCs/>
          <w:sz w:val="30"/>
          <w:szCs w:val="30"/>
          <w:u w:val="single"/>
        </w:rPr>
        <w:t xml:space="preserve">               </w:t>
      </w:r>
    </w:p>
    <w:p w14:paraId="4F82D7C2">
      <w:pPr>
        <w:spacing w:line="700" w:lineRule="exact"/>
        <w:ind w:firstLine="1656" w:firstLineChars="550"/>
        <w:rPr>
          <w:rFonts w:hint="eastAsia" w:ascii="宋体" w:hAnsi="宋体"/>
          <w:b/>
          <w:bCs/>
          <w:sz w:val="30"/>
          <w:szCs w:val="30"/>
        </w:rPr>
      </w:pPr>
      <w:r>
        <w:rPr>
          <w:rFonts w:hint="eastAsia" w:ascii="宋体" w:hAnsi="宋体"/>
          <w:b/>
          <w:bCs/>
          <w:sz w:val="30"/>
          <w:szCs w:val="30"/>
        </w:rPr>
        <w:t xml:space="preserve">指导教师 </w:t>
      </w:r>
      <w:r>
        <w:rPr>
          <w:rFonts w:hint="eastAsia" w:ascii="宋体" w:hAnsi="宋体"/>
          <w:b/>
          <w:bCs/>
          <w:sz w:val="30"/>
          <w:szCs w:val="30"/>
          <w:u w:val="single"/>
        </w:rPr>
        <w:t xml:space="preserve">  张洪豪 </w:t>
      </w:r>
      <w:r>
        <w:rPr>
          <w:rFonts w:hint="eastAsia" w:ascii="宋体" w:hAnsi="宋体"/>
          <w:b/>
          <w:bCs/>
          <w:sz w:val="30"/>
          <w:szCs w:val="30"/>
        </w:rPr>
        <w:t xml:space="preserve">职称 </w:t>
      </w:r>
      <w:r>
        <w:rPr>
          <w:rFonts w:hint="eastAsia" w:ascii="宋体" w:hAnsi="宋体"/>
          <w:b/>
          <w:bCs/>
          <w:sz w:val="30"/>
          <w:szCs w:val="30"/>
          <w:u w:val="single"/>
        </w:rPr>
        <w:t>高级实验师</w:t>
      </w:r>
    </w:p>
    <w:p w14:paraId="699C1660">
      <w:pPr>
        <w:spacing w:line="700" w:lineRule="exact"/>
        <w:ind w:firstLine="1656" w:firstLineChars="550"/>
        <w:rPr>
          <w:rFonts w:hint="eastAsia" w:ascii="宋体" w:hAnsi="宋体"/>
          <w:sz w:val="30"/>
          <w:szCs w:val="30"/>
        </w:rPr>
      </w:pPr>
      <w:r>
        <w:rPr>
          <w:rFonts w:hint="eastAsia" w:ascii="宋体" w:hAnsi="宋体"/>
          <w:b/>
          <w:bCs/>
          <w:sz w:val="30"/>
          <w:szCs w:val="30"/>
        </w:rPr>
        <w:t xml:space="preserve">入学年月 </w:t>
      </w:r>
      <w:r>
        <w:rPr>
          <w:rFonts w:hint="eastAsia" w:ascii="宋体" w:hAnsi="宋体"/>
          <w:b/>
          <w:bCs/>
          <w:sz w:val="30"/>
          <w:szCs w:val="30"/>
          <w:u w:val="single"/>
        </w:rPr>
        <w:t xml:space="preserve">  202</w:t>
      </w:r>
      <w:r>
        <w:rPr>
          <w:rFonts w:hint="eastAsia" w:ascii="宋体" w:hAnsi="宋体"/>
          <w:b/>
          <w:bCs/>
          <w:sz w:val="30"/>
          <w:szCs w:val="30"/>
          <w:u w:val="single"/>
          <w:lang w:val="en-US" w:eastAsia="zh-CN"/>
        </w:rPr>
        <w:t>4</w:t>
      </w:r>
      <w:r>
        <w:rPr>
          <w:rFonts w:hint="eastAsia" w:ascii="宋体" w:hAnsi="宋体"/>
          <w:b/>
          <w:bCs/>
          <w:sz w:val="30"/>
          <w:szCs w:val="30"/>
          <w:u w:val="single"/>
        </w:rPr>
        <w:t xml:space="preserve">年9月           </w:t>
      </w:r>
    </w:p>
    <w:p w14:paraId="24135D1C">
      <w:pPr>
        <w:jc w:val="center"/>
        <w:rPr>
          <w:sz w:val="32"/>
          <w:szCs w:val="32"/>
        </w:rPr>
      </w:pPr>
    </w:p>
    <w:p w14:paraId="15E7B4CB">
      <w:pPr>
        <w:jc w:val="center"/>
        <w:rPr>
          <w:sz w:val="32"/>
          <w:szCs w:val="32"/>
        </w:rPr>
      </w:pPr>
    </w:p>
    <w:p w14:paraId="750F9D5E">
      <w:pPr>
        <w:jc w:val="center"/>
        <w:rPr>
          <w:rFonts w:ascii="黑体" w:eastAsia="黑体"/>
          <w:sz w:val="28"/>
          <w:szCs w:val="28"/>
        </w:rPr>
      </w:pPr>
      <w:r>
        <w:rPr>
          <w:rFonts w:hint="eastAsia" w:ascii="黑体" w:eastAsia="黑体"/>
          <w:sz w:val="28"/>
          <w:szCs w:val="28"/>
        </w:rPr>
        <w:t>天津理工大学研究生院</w:t>
      </w:r>
    </w:p>
    <w:p w14:paraId="7315263E">
      <w:pPr>
        <w:jc w:val="center"/>
        <w:rPr>
          <w:rFonts w:ascii="黑体" w:eastAsia="黑体"/>
          <w:sz w:val="28"/>
          <w:szCs w:val="28"/>
        </w:rPr>
        <w:sectPr>
          <w:footerReference r:id="rId3" w:type="default"/>
          <w:footerReference r:id="rId4" w:type="even"/>
          <w:pgSz w:w="11906" w:h="16838"/>
          <w:pgMar w:top="1440" w:right="1531" w:bottom="1440" w:left="1531" w:header="851" w:footer="992" w:gutter="0"/>
          <w:pgNumType w:start="1"/>
          <w:cols w:space="720" w:num="1"/>
          <w:titlePg/>
          <w:docGrid w:type="lines" w:linePitch="312" w:charSpace="0"/>
        </w:sectPr>
      </w:pPr>
      <w:r>
        <w:rPr>
          <w:rFonts w:hint="eastAsia" w:ascii="黑体" w:eastAsia="黑体"/>
          <w:sz w:val="28"/>
          <w:szCs w:val="28"/>
        </w:rPr>
        <w:t>填表日期  202</w:t>
      </w:r>
      <w:r>
        <w:rPr>
          <w:rFonts w:hint="eastAsia" w:ascii="黑体" w:eastAsia="黑体"/>
          <w:sz w:val="28"/>
          <w:szCs w:val="28"/>
          <w:lang w:val="en-US" w:eastAsia="zh-CN"/>
        </w:rPr>
        <w:t>5</w:t>
      </w:r>
      <w:r>
        <w:rPr>
          <w:rFonts w:hint="eastAsia" w:ascii="黑体" w:eastAsia="黑体"/>
          <w:sz w:val="28"/>
          <w:szCs w:val="28"/>
        </w:rPr>
        <w:t xml:space="preserve">  年 1</w:t>
      </w:r>
      <w:r>
        <w:rPr>
          <w:rFonts w:hint="eastAsia" w:ascii="黑体" w:eastAsia="黑体"/>
          <w:sz w:val="28"/>
          <w:szCs w:val="28"/>
          <w:lang w:val="en-US" w:eastAsia="zh-CN"/>
        </w:rPr>
        <w:t>2</w:t>
      </w:r>
      <w:r>
        <w:rPr>
          <w:rFonts w:hint="eastAsia" w:ascii="黑体" w:eastAsia="黑体"/>
          <w:sz w:val="28"/>
          <w:szCs w:val="28"/>
        </w:rPr>
        <w:t xml:space="preserve"> 月</w:t>
      </w:r>
    </w:p>
    <w:p w14:paraId="7735B8E4">
      <w:pPr>
        <w:jc w:val="center"/>
        <w:rPr>
          <w:rFonts w:ascii="黑体" w:eastAsia="黑体"/>
          <w:sz w:val="32"/>
          <w:szCs w:val="32"/>
        </w:rPr>
      </w:pPr>
      <w:r>
        <w:rPr>
          <w:rFonts w:hint="eastAsia" w:ascii="黑体" w:eastAsia="黑体"/>
          <w:sz w:val="32"/>
          <w:szCs w:val="32"/>
        </w:rPr>
        <w:t>说    明</w:t>
      </w:r>
    </w:p>
    <w:p w14:paraId="6302FE3C">
      <w:pPr>
        <w:spacing w:line="480" w:lineRule="auto"/>
        <w:rPr>
          <w:szCs w:val="21"/>
        </w:rPr>
      </w:pPr>
    </w:p>
    <w:p w14:paraId="04E023EF">
      <w:pPr>
        <w:numPr>
          <w:ilvl w:val="0"/>
          <w:numId w:val="1"/>
        </w:numPr>
        <w:spacing w:line="480" w:lineRule="auto"/>
        <w:ind w:left="360" w:hanging="360" w:hangingChars="150"/>
        <w:rPr>
          <w:sz w:val="24"/>
        </w:rPr>
      </w:pPr>
      <w:r>
        <w:rPr>
          <w:rFonts w:hint="eastAsia"/>
          <w:sz w:val="24"/>
        </w:rPr>
        <w:t>硕士学位论文作为综合衡量硕士研究生培养质量和学术水平的重要依据，应该是在所研究的学科领域或专门技术上做出一定贡献的科研成果。其选题应具有一定的先进性、创新性和适当的难度，并有足够的工作量。</w:t>
      </w:r>
    </w:p>
    <w:p w14:paraId="25CF3D06">
      <w:pPr>
        <w:numPr>
          <w:ilvl w:val="0"/>
          <w:numId w:val="1"/>
        </w:numPr>
        <w:spacing w:line="480" w:lineRule="auto"/>
        <w:ind w:left="360" w:hanging="360" w:hangingChars="150"/>
        <w:rPr>
          <w:sz w:val="24"/>
        </w:rPr>
      </w:pPr>
      <w:r>
        <w:rPr>
          <w:rFonts w:hint="eastAsia"/>
          <w:sz w:val="24"/>
        </w:rPr>
        <w:t>各学院开题报告考核组原则上由具有硕士研究生导师资格的教师组成，一般不得少于5人，可聘请校外具有副高级职称及以上的同行专家。导师不得担任本人指导研究生的考核组组长。硕士研究生应向考核组作全面的开题报告，考核组对选题报告进行认真评审后，填写具体评审意见。</w:t>
      </w:r>
    </w:p>
    <w:p w14:paraId="1A64E7AC">
      <w:pPr>
        <w:spacing w:line="480" w:lineRule="auto"/>
        <w:ind w:left="360" w:hanging="360" w:hangingChars="150"/>
        <w:rPr>
          <w:sz w:val="24"/>
        </w:rPr>
      </w:pPr>
      <w:r>
        <w:rPr>
          <w:rFonts w:hint="eastAsia"/>
          <w:sz w:val="24"/>
        </w:rPr>
        <w:t>3．开题报告工作一般应于第三学期末前进行，并将硕士研究生的开题报告留存学院并归档保管。</w:t>
      </w:r>
    </w:p>
    <w:p w14:paraId="2C1878D1">
      <w:pPr>
        <w:spacing w:line="480" w:lineRule="auto"/>
        <w:ind w:left="360" w:hanging="360" w:hangingChars="150"/>
        <w:rPr>
          <w:sz w:val="24"/>
        </w:rPr>
      </w:pPr>
    </w:p>
    <w:p w14:paraId="41DFC0C5">
      <w:pPr>
        <w:spacing w:line="480" w:lineRule="auto"/>
        <w:ind w:left="360" w:hanging="360" w:hangingChars="150"/>
        <w:rPr>
          <w:sz w:val="24"/>
        </w:rPr>
      </w:pPr>
    </w:p>
    <w:p w14:paraId="3FF30D0C">
      <w:pPr>
        <w:spacing w:line="480" w:lineRule="auto"/>
        <w:ind w:left="360" w:hanging="360" w:hangingChars="150"/>
        <w:rPr>
          <w:sz w:val="24"/>
        </w:rPr>
      </w:pPr>
    </w:p>
    <w:p w14:paraId="6A486A23">
      <w:pPr>
        <w:spacing w:line="480" w:lineRule="auto"/>
        <w:ind w:left="360" w:hanging="360" w:hangingChars="150"/>
        <w:rPr>
          <w:sz w:val="24"/>
        </w:rPr>
      </w:pPr>
    </w:p>
    <w:p w14:paraId="771CA651">
      <w:pPr>
        <w:spacing w:line="480" w:lineRule="auto"/>
        <w:ind w:left="360" w:hanging="360" w:hangingChars="150"/>
        <w:rPr>
          <w:sz w:val="24"/>
        </w:rPr>
      </w:pPr>
    </w:p>
    <w:p w14:paraId="212556F5">
      <w:pPr>
        <w:spacing w:line="480" w:lineRule="auto"/>
        <w:ind w:left="360" w:hanging="360" w:hangingChars="150"/>
        <w:rPr>
          <w:sz w:val="24"/>
        </w:rPr>
      </w:pPr>
    </w:p>
    <w:p w14:paraId="3085AD47">
      <w:pPr>
        <w:spacing w:line="480" w:lineRule="auto"/>
        <w:ind w:left="360" w:hanging="360" w:hangingChars="150"/>
        <w:rPr>
          <w:sz w:val="24"/>
        </w:rPr>
      </w:pPr>
    </w:p>
    <w:p w14:paraId="13554015">
      <w:pPr>
        <w:spacing w:line="480" w:lineRule="auto"/>
        <w:ind w:left="360" w:hanging="360" w:hangingChars="150"/>
        <w:rPr>
          <w:sz w:val="24"/>
        </w:rPr>
      </w:pPr>
    </w:p>
    <w:p w14:paraId="48881D73">
      <w:pPr>
        <w:spacing w:line="480" w:lineRule="auto"/>
        <w:ind w:left="360" w:hanging="360" w:hangingChars="150"/>
        <w:rPr>
          <w:sz w:val="24"/>
        </w:rPr>
      </w:pPr>
    </w:p>
    <w:p w14:paraId="28DEAAFB">
      <w:pPr>
        <w:spacing w:line="480" w:lineRule="auto"/>
        <w:ind w:left="360" w:hanging="360" w:hangingChars="150"/>
        <w:rPr>
          <w:sz w:val="24"/>
        </w:rPr>
      </w:pPr>
    </w:p>
    <w:p w14:paraId="01522FBC">
      <w:pPr>
        <w:sectPr>
          <w:footerReference r:id="rId6" w:type="first"/>
          <w:footerReference r:id="rId5" w:type="default"/>
          <w:pgSz w:w="11906" w:h="16838"/>
          <w:pgMar w:top="1440" w:right="1531" w:bottom="1440" w:left="1531" w:header="851" w:footer="992" w:gutter="0"/>
          <w:pgNumType w:start="1"/>
          <w:cols w:space="720" w:num="1"/>
          <w:titlePg/>
          <w:docGrid w:type="lines" w:linePitch="312" w:charSpace="0"/>
        </w:sectPr>
      </w:pPr>
    </w:p>
    <w:p w14:paraId="48FDFCE3">
      <w:bookmarkStart w:id="0" w:name="_GoBack"/>
      <w:bookmarkEnd w:id="0"/>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5"/>
        <w:gridCol w:w="7562"/>
      </w:tblGrid>
      <w:tr w14:paraId="48F5C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1225" w:type="dxa"/>
            <w:vAlign w:val="center"/>
          </w:tcPr>
          <w:p w14:paraId="52DB7625">
            <w:pPr>
              <w:spacing w:line="480" w:lineRule="exact"/>
              <w:jc w:val="center"/>
            </w:pPr>
            <w:r>
              <w:rPr>
                <w:rFonts w:hint="eastAsia"/>
              </w:rPr>
              <w:t>论文题目</w:t>
            </w:r>
          </w:p>
        </w:tc>
        <w:tc>
          <w:tcPr>
            <w:tcW w:w="7562" w:type="dxa"/>
            <w:vAlign w:val="center"/>
          </w:tcPr>
          <w:p w14:paraId="48503B0A">
            <w:pPr>
              <w:jc w:val="center"/>
            </w:pPr>
            <w:r>
              <w:rPr>
                <w:rFonts w:hint="eastAsia"/>
              </w:rPr>
              <w:t>基于约束深度强化学习的以太坊交易排序与风险防护研究</w:t>
            </w:r>
          </w:p>
        </w:tc>
      </w:tr>
      <w:tr w14:paraId="68D0A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25" w:type="dxa"/>
            <w:vAlign w:val="center"/>
          </w:tcPr>
          <w:p w14:paraId="16FC086F">
            <w:pPr>
              <w:spacing w:line="480" w:lineRule="exact"/>
              <w:jc w:val="center"/>
            </w:pPr>
            <w:r>
              <w:rPr>
                <w:rFonts w:hint="eastAsia"/>
              </w:rPr>
              <w:t>开题日期</w:t>
            </w:r>
          </w:p>
        </w:tc>
        <w:tc>
          <w:tcPr>
            <w:tcW w:w="7562" w:type="dxa"/>
            <w:vAlign w:val="center"/>
          </w:tcPr>
          <w:p w14:paraId="5DDC55B3">
            <w:pPr>
              <w:jc w:val="left"/>
              <w:rPr>
                <w:u w:val="single"/>
              </w:rPr>
            </w:pPr>
            <w:r>
              <w:rPr>
                <w:rFonts w:hint="eastAsia"/>
              </w:rPr>
              <w:t xml:space="preserve">      </w:t>
            </w:r>
            <w:r>
              <w:rPr>
                <w:rFonts w:hint="eastAsia"/>
                <w:u w:val="single"/>
              </w:rPr>
              <w:t xml:space="preserve">    202</w:t>
            </w:r>
            <w:r>
              <w:rPr>
                <w:rFonts w:hint="eastAsia"/>
                <w:u w:val="single"/>
                <w:lang w:val="en-US" w:eastAsia="zh-CN"/>
              </w:rPr>
              <w:t>4</w:t>
            </w:r>
            <w:r>
              <w:rPr>
                <w:rFonts w:hint="eastAsia"/>
                <w:u w:val="single"/>
              </w:rPr>
              <w:t xml:space="preserve">       </w:t>
            </w:r>
            <w:r>
              <w:rPr>
                <w:rFonts w:hint="eastAsia"/>
              </w:rPr>
              <w:t xml:space="preserve"> 年 </w:t>
            </w:r>
            <w:r>
              <w:rPr>
                <w:rFonts w:hint="eastAsia"/>
                <w:u w:val="single"/>
              </w:rPr>
              <w:t xml:space="preserve">    1</w:t>
            </w:r>
            <w:r>
              <w:rPr>
                <w:rFonts w:hint="eastAsia"/>
                <w:u w:val="single"/>
                <w:lang w:val="en-US" w:eastAsia="zh-CN"/>
              </w:rPr>
              <w:t>2</w:t>
            </w:r>
            <w:r>
              <w:rPr>
                <w:rFonts w:hint="eastAsia"/>
                <w:u w:val="single"/>
              </w:rPr>
              <w:t xml:space="preserve">    </w:t>
            </w:r>
            <w:r>
              <w:rPr>
                <w:rFonts w:hint="eastAsia"/>
              </w:rPr>
              <w:t xml:space="preserve"> 月 </w:t>
            </w:r>
            <w:r>
              <w:rPr>
                <w:rFonts w:hint="eastAsia"/>
                <w:u w:val="single"/>
              </w:rPr>
              <w:t xml:space="preserve">    </w:t>
            </w:r>
            <w:r>
              <w:rPr>
                <w:rFonts w:hint="eastAsia"/>
                <w:u w:val="single"/>
                <w:lang w:val="en-US" w:eastAsia="zh-CN"/>
              </w:rPr>
              <w:t>10</w:t>
            </w:r>
            <w:r>
              <w:rPr>
                <w:rFonts w:hint="eastAsia"/>
                <w:u w:val="single"/>
              </w:rPr>
              <w:t xml:space="preserve">   </w:t>
            </w:r>
            <w:r>
              <w:rPr>
                <w:rFonts w:hint="eastAsia"/>
              </w:rPr>
              <w:t xml:space="preserve"> 日</w:t>
            </w:r>
          </w:p>
        </w:tc>
      </w:tr>
      <w:tr w14:paraId="788C9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25" w:type="dxa"/>
            <w:vAlign w:val="center"/>
          </w:tcPr>
          <w:p w14:paraId="28125EF4">
            <w:pPr>
              <w:jc w:val="center"/>
            </w:pPr>
            <w:r>
              <w:rPr>
                <w:rFonts w:hint="eastAsia"/>
              </w:rPr>
              <w:t>阅读文献情况</w:t>
            </w:r>
          </w:p>
        </w:tc>
        <w:tc>
          <w:tcPr>
            <w:tcW w:w="7562" w:type="dxa"/>
            <w:vAlign w:val="center"/>
          </w:tcPr>
          <w:p w14:paraId="63D18949">
            <w:r>
              <w:rPr>
                <w:rFonts w:hint="eastAsia"/>
              </w:rPr>
              <w:t xml:space="preserve">  阅读文献总量为   </w:t>
            </w:r>
            <w:r>
              <w:rPr>
                <w:rFonts w:hint="eastAsia"/>
                <w:lang w:val="en-US" w:eastAsia="zh-CN"/>
              </w:rPr>
              <w:t>3</w:t>
            </w:r>
            <w:r>
              <w:rPr>
                <w:rFonts w:hint="eastAsia"/>
              </w:rPr>
              <w:t xml:space="preserve">0   篇，其中阅读外文文献共计   </w:t>
            </w:r>
            <w:r>
              <w:rPr>
                <w:rFonts w:hint="eastAsia"/>
                <w:lang w:val="en-US" w:eastAsia="zh-CN"/>
              </w:rPr>
              <w:t>3</w:t>
            </w:r>
            <w:r>
              <w:rPr>
                <w:rFonts w:hint="eastAsia"/>
              </w:rPr>
              <w:t>0   篇。</w:t>
            </w:r>
          </w:p>
        </w:tc>
      </w:tr>
      <w:tr w14:paraId="0DF7E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22" w:hRule="atLeast"/>
          <w:jc w:val="center"/>
        </w:trPr>
        <w:tc>
          <w:tcPr>
            <w:tcW w:w="8787" w:type="dxa"/>
            <w:gridSpan w:val="2"/>
          </w:tcPr>
          <w:p w14:paraId="456716F2">
            <w:pPr>
              <w:jc w:val="center"/>
            </w:pPr>
            <w:r>
              <w:rPr>
                <w:rFonts w:hint="eastAsia"/>
              </w:rPr>
              <w:t>开题报告内容</w:t>
            </w:r>
          </w:p>
          <w:p w14:paraId="1EE8129D">
            <w:pPr>
              <w:jc w:val="center"/>
            </w:pPr>
            <w:r>
              <w:rPr>
                <w:rFonts w:hint="eastAsia" w:eastAsia="华文楷体"/>
              </w:rPr>
              <w:t>（以下各项标题不可随意更改，均可加页，参考文献需按照学位论文中对参考文献格式要求书写。）</w:t>
            </w:r>
          </w:p>
          <w:p w14:paraId="481EDC90"/>
          <w:p w14:paraId="63005DBF">
            <w:pPr>
              <w:numPr>
                <w:ilvl w:val="0"/>
                <w:numId w:val="2"/>
              </w:numPr>
              <w:spacing w:line="480" w:lineRule="auto"/>
              <w:ind w:firstLine="0"/>
              <w:rPr>
                <w:rFonts w:hint="eastAsia" w:ascii="宋体" w:hAnsi="宋体"/>
                <w:color w:val="000000"/>
                <w:szCs w:val="21"/>
              </w:rPr>
            </w:pPr>
            <w:r>
              <w:rPr>
                <w:rFonts w:hint="eastAsia" w:ascii="仿宋_GB2312"/>
                <w:szCs w:val="32"/>
              </w:rPr>
              <w:t>课题来源及研究的目的和意义</w:t>
            </w:r>
          </w:p>
          <w:p w14:paraId="5323760A">
            <w:pPr>
              <w:ind w:firstLine="420" w:firstLineChars="200"/>
              <w:rPr>
                <w:rFonts w:hint="eastAsia" w:ascii="宋体" w:hAnsi="宋体" w:cs="宋体"/>
              </w:rPr>
            </w:pPr>
            <w:r>
              <w:rPr>
                <w:rFonts w:hint="eastAsia" w:ascii="宋体" w:hAnsi="宋体" w:cs="宋体"/>
              </w:rPr>
              <w:t>区块链是一种去中心化记账技术，通过共识机制和密码学在无需中心机构的情况下实现多方可信共享。以太坊在此基础上支持智能合约，成为当前应用最广泛的公有链之一，为去中心化金融（DeFi）和去中心化交易所（DEX）等应用提供了基础平台。在以太坊 DEX 中，用户交易先进入交易池，由区块构建者决定是否打包以及在区块中的排序。由于排序权集中在少数参与者手中，实际运行中产生了最大可提取价值（MEV）问题：通过抢跑、三明治攻击等方式重排交易，从普通用户身上获取额外收益，导致成交价格恶化、Gas 成本升高，甚至影响系统公平性和安全性。社区提出了 PBS(提议者-构建者分离)、MEV-Boost 等机制在宏观上重塑 MEV 市场结构，但在构建者内部具体如何排序交易，才能在保证区块收益的同时抑制有害 MEV、降低用户损失，仍缺乏系统性的算法设计。</w:t>
            </w:r>
          </w:p>
          <w:p w14:paraId="0CE037CE">
            <w:pPr>
              <w:ind w:firstLine="420" w:firstLineChars="200"/>
              <w:rPr>
                <w:rFonts w:hint="eastAsia" w:ascii="宋体" w:hAnsi="宋体" w:cs="宋体"/>
              </w:rPr>
            </w:pPr>
            <w:r>
              <w:rPr>
                <w:rFonts w:hint="eastAsia" w:ascii="宋体" w:hAnsi="宋体" w:cs="宋体"/>
              </w:rPr>
              <w:t>从决策角度看，区块构建与交易排序可以视为在动态交易池和价格环境中“逐笔选择交易、构造执行序列”的序列决策问题，同时兼具“收益最大化”和“风险/损失约束”的多目标特性。深度强化学习适合在复杂环境下自动学习排序策略，引入公平性和 MEV 风险成本后，可形成带简单约束的优化框架。因此，基于深度强化学习构建面向 MEV 风险感知的交易排序模型，在以太坊 DEX 场景下研究兼顾区块收益与用户保护的排序策略，既具有明确的工程应用价值，也有助于推动区块链应用与强化学习交叉方向的研究。</w:t>
            </w:r>
          </w:p>
          <w:p w14:paraId="5C4F80DF">
            <w:pPr>
              <w:rPr>
                <w:rFonts w:hint="eastAsia" w:ascii="宋体" w:hAnsi="宋体" w:cs="宋体"/>
              </w:rPr>
            </w:pPr>
          </w:p>
          <w:p w14:paraId="566BFB40">
            <w:pPr>
              <w:numPr>
                <w:ilvl w:val="0"/>
                <w:numId w:val="2"/>
              </w:numPr>
              <w:spacing w:line="480" w:lineRule="auto"/>
              <w:ind w:firstLine="0"/>
              <w:rPr>
                <w:rFonts w:hint="eastAsia" w:ascii="宋体" w:hAnsi="宋体" w:cs="宋体"/>
              </w:rPr>
            </w:pPr>
            <w:r>
              <w:rPr>
                <w:rFonts w:hint="eastAsia" w:ascii="宋体" w:hAnsi="宋体" w:cs="宋体"/>
              </w:rPr>
              <w:t>国内外研究现状及分析</w:t>
            </w:r>
          </w:p>
          <w:p w14:paraId="2D3C80E5">
            <w:pPr>
              <w:ind w:firstLine="420" w:firstLineChars="200"/>
              <w:rPr>
                <w:rFonts w:hint="eastAsia"/>
              </w:rPr>
            </w:pPr>
            <w:r>
              <w:rPr>
                <w:rFonts w:hint="eastAsia"/>
                <w:lang w:val="en-US" w:eastAsia="zh-CN"/>
              </w:rPr>
              <w:t>D</w:t>
            </w:r>
            <w:r>
              <w:rPr>
                <w:rFonts w:hint="eastAsia"/>
              </w:rPr>
              <w:t>aian 等在 Flash Boys 2.0 中系统揭示了以太坊 DEX 场景下套利机器人通过抢跑和三明治攻击等方式操纵交易排序，从普通用户交易中大规模谋取收益，并提出了“Miner/Maximal Extractable Value（MEV）”概念，指出过高的 MEV 会诱发重组攻击、破坏共识安全等问题[1]。随后，围绕 MEV 的度量、分类、攻击行为建模及其对共识与激励结构的影响，国内外学术界和业界开展了大量研究。</w:t>
            </w:r>
          </w:p>
          <w:p w14:paraId="016D84D3">
            <w:pPr>
              <w:rPr>
                <w:rFonts w:hint="eastAsia"/>
              </w:rPr>
            </w:pPr>
            <w:r>
              <w:rPr>
                <w:rFonts w:hint="eastAsia"/>
              </w:rPr>
              <w:t>在工程实践方面，Flashbots 提出并实现了 MEV-Boost，将提议者–构建者分离（Proposer–Builder Separation, PBS）概念引入以太坊 PoS，通过中继将验证者与构建者解耦，构建者负责在竞争性市场中打包高收益区块，验证者仅选择出价最高的区块，从而缓解 MEV 竞争导致的中心化压力。以太坊官方也在路线图中详细讨论了协议内 PBS 的设计目标与挑战[3]。近年来，还出现了针对订单流拍卖、私有内存池等机制的研究，用以改善用户交易隐私与免受有害 MEV 攻击的能力。在区块链系统优化方面，已有研究利用深度强化学习（DRL）进行参数自动调优、节点选择、共识难度调节等任务，例如面向许可链性能优化、基于 DRL 的区块链预言机节点选择模型等工作，表明 DRL 能够在复杂动态环境下学习较优决策策略。在 MEV 相关方向上，有研究提出 RL-BES 系统，将 DRL 与搜索算法结合，用于区块构建过程中的交易排序，以提升 MEV 提取效率。这类工作证明了强化学习在处理交易排序与区块构建问题上的可行性。</w:t>
            </w:r>
          </w:p>
          <w:p w14:paraId="33A4E1C2">
            <w:pPr>
              <w:rPr>
                <w:rFonts w:hint="eastAsia"/>
              </w:rPr>
            </w:pPr>
            <w:r>
              <w:rPr>
                <w:rFonts w:hint="eastAsia"/>
              </w:rPr>
              <w:t>然而，从视角上看，大部分现有 RL-for-MEV 工作仍以“最大化构建者/验证者收益”为主要目标，对用户损失、有害 MEV 风险等安全性、公平性指标考虑不足；从动作设计上看，部分工作仅在少数预定义规则之间进行选择，未将真实区块构建中“逐笔选择、形成序列”的过程完全纳入强化学习决策框架。</w:t>
            </w:r>
          </w:p>
          <w:p w14:paraId="0F26DA00">
            <w:pPr>
              <w:numPr>
                <w:ilvl w:val="0"/>
                <w:numId w:val="2"/>
              </w:numPr>
              <w:spacing w:line="480" w:lineRule="auto"/>
              <w:ind w:firstLine="0"/>
              <w:rPr>
                <w:rFonts w:hint="eastAsia" w:ascii="宋体" w:hAnsi="宋体"/>
                <w:color w:val="000000"/>
                <w:szCs w:val="21"/>
              </w:rPr>
            </w:pPr>
            <w:r>
              <w:rPr>
                <w:rFonts w:hint="eastAsia" w:ascii="仿宋_GB2312"/>
                <w:szCs w:val="32"/>
              </w:rPr>
              <w:t>研究内容及拟采取的研究方法、技术路线、研究的特色及创新点</w:t>
            </w:r>
          </w:p>
          <w:p w14:paraId="6085F91B">
            <w:pPr>
              <w:rPr>
                <w:rFonts w:hint="eastAsia" w:ascii="宋体" w:hAnsi="宋体" w:cs="宋体"/>
              </w:rPr>
            </w:pPr>
            <w:r>
              <w:rPr>
                <w:rFonts w:hint="eastAsia" w:ascii="宋体" w:hAnsi="宋体" w:cs="宋体"/>
              </w:rPr>
              <w:t>1.研究内容</w:t>
            </w:r>
          </w:p>
          <w:p w14:paraId="2AFD7D98">
            <w:pPr>
              <w:ind w:firstLine="420" w:firstLineChars="200"/>
              <w:rPr>
                <w:rFonts w:hint="eastAsia" w:ascii="宋体" w:hAnsi="宋体" w:cs="宋体"/>
              </w:rPr>
            </w:pPr>
            <w:r>
              <w:rPr>
                <w:rFonts w:hint="eastAsia" w:ascii="宋体" w:hAnsi="宋体" w:cs="宋体"/>
              </w:rPr>
              <w:t>以以太坊 DEX 区块构建者为智能体，将交易排序视为序列决策问题，由智能体逐笔从交易池中选择交易构成区块；</w:t>
            </w:r>
          </w:p>
          <w:p w14:paraId="7BD809D2">
            <w:pPr>
              <w:ind w:firstLine="420" w:firstLineChars="200"/>
              <w:rPr>
                <w:rFonts w:hint="eastAsia" w:ascii="宋体" w:hAnsi="宋体" w:cs="宋体"/>
              </w:rPr>
            </w:pPr>
            <w:r>
              <w:rPr>
                <w:rFonts w:hint="eastAsia" w:ascii="宋体" w:hAnsi="宋体" w:cs="宋体"/>
              </w:rPr>
              <w:t>在奖励设计中同时考虑区块收益、用户损失和 MEV 风险，并引入动态惩罚系数 λ，体现收益–防护的折中；</w:t>
            </w:r>
          </w:p>
          <w:p w14:paraId="19A764CF">
            <w:pPr>
              <w:ind w:firstLine="420" w:firstLineChars="200"/>
              <w:rPr>
                <w:rFonts w:hint="eastAsia" w:ascii="宋体" w:hAnsi="宋体" w:cs="宋体"/>
              </w:rPr>
            </w:pPr>
            <w:r>
              <w:rPr>
                <w:rFonts w:hint="eastAsia" w:ascii="宋体" w:hAnsi="宋体" w:cs="宋体"/>
              </w:rPr>
              <w:t>构建可配置的 MEV 仿真环境，在多种市场与攻击场景下，对不同排序策略进行系统对比。</w:t>
            </w:r>
          </w:p>
          <w:p w14:paraId="267A1C96">
            <w:pPr>
              <w:rPr>
                <w:rFonts w:hint="default" w:ascii="宋体" w:hAnsi="宋体" w:eastAsia="宋体" w:cs="宋体"/>
                <w:lang w:val="en-US" w:eastAsia="zh-CN"/>
              </w:rPr>
            </w:pPr>
            <w:r>
              <w:rPr>
                <w:rFonts w:hint="eastAsia" w:ascii="宋体" w:hAnsi="宋体" w:cs="宋体"/>
              </w:rPr>
              <w:t>2.研究方法及技术路线</w:t>
            </w:r>
            <w:r>
              <w:rPr>
                <w:rFonts w:hint="eastAsia" w:ascii="宋体" w:hAnsi="宋体" w:cs="宋体"/>
                <w:lang w:eastAsia="zh-CN"/>
              </w:rPr>
              <w:t>、</w:t>
            </w:r>
            <w:r>
              <w:rPr>
                <w:rFonts w:hint="eastAsia" w:ascii="宋体" w:hAnsi="宋体" w:cs="宋体"/>
                <w:lang w:val="en-US" w:eastAsia="zh-CN"/>
              </w:rPr>
              <w:t>特色及创新点</w:t>
            </w:r>
          </w:p>
          <w:p w14:paraId="702F14A4">
            <w:pPr>
              <w:rPr>
                <w:rFonts w:hint="eastAsia" w:ascii="宋体" w:hAnsi="宋体" w:cs="宋体"/>
              </w:rPr>
            </w:pPr>
            <w:r>
              <w:rPr>
                <w:rFonts w:hint="eastAsia" w:ascii="宋体" w:hAnsi="宋体" w:cs="宋体"/>
                <w:lang w:val="en-US" w:eastAsia="zh-CN"/>
              </w:rPr>
              <w:t>(1)</w:t>
            </w:r>
            <w:r>
              <w:rPr>
                <w:rFonts w:hint="eastAsia" w:ascii="宋体" w:hAnsi="宋体" w:cs="宋体"/>
              </w:rPr>
              <w:t>序列决策建模与仿真环境构建</w:t>
            </w:r>
          </w:p>
          <w:p w14:paraId="4E9CF495">
            <w:pPr>
              <w:rPr>
                <w:rFonts w:hint="eastAsia" w:ascii="宋体" w:hAnsi="宋体" w:cs="宋体"/>
              </w:rPr>
            </w:pPr>
            <w:r>
              <w:rPr>
                <w:rFonts w:hint="eastAsia" w:ascii="宋体" w:hAnsi="宋体" w:cs="宋体"/>
              </w:rPr>
              <w:t>以区块构建者为智能体，将区块内交易排序建模为多步决策过程：智能体在每一步从候选交易集中选择一笔加入区块，直至 Gas 用尽或无可选交易；在此基础上，设计包含交易金额、滑点、价格冲击、简单地址风险评分等特征的状态表示，构建基于 AMM 的 DEX+MEV 仿真环境，并注入模板化三明治攻击，用于生成“正常交易 + 攻击交易”的混合数据流。</w:t>
            </w:r>
          </w:p>
          <w:p w14:paraId="4F03F1EB">
            <w:pPr>
              <w:rPr>
                <w:rFonts w:hint="eastAsia" w:ascii="宋体" w:hAnsi="宋体" w:cs="宋体"/>
              </w:rPr>
            </w:pPr>
            <w:r>
              <w:rPr>
                <w:rFonts w:hint="eastAsia" w:ascii="宋体" w:hAnsi="宋体" w:cs="宋体"/>
              </w:rPr>
              <w:t>智能体在学习过程中倾向于将用户交易与攻击者交易错开或调整顺序，从排序层面对攻击者依赖的“前–中–后”结构进行破坏，从而起到抑制有害 MEV 交易的效果。</w:t>
            </w:r>
          </w:p>
          <w:p w14:paraId="51AAA532">
            <w:pPr>
              <w:numPr>
                <w:ilvl w:val="0"/>
                <w:numId w:val="3"/>
              </w:numPr>
              <w:rPr>
                <w:rFonts w:hint="eastAsia" w:ascii="宋体" w:hAnsi="宋体" w:cs="宋体"/>
              </w:rPr>
            </w:pPr>
            <w:r>
              <w:rPr>
                <w:rFonts w:hint="eastAsia" w:ascii="宋体" w:hAnsi="宋体" w:cs="宋体"/>
              </w:rPr>
              <w:t>基于深度强化学习的交易排序策略设计</w:t>
            </w:r>
          </w:p>
          <w:p w14:paraId="15172E20">
            <w:pPr>
              <w:widowControl w:val="0"/>
              <w:numPr>
                <w:ilvl w:val="0"/>
                <w:numId w:val="0"/>
              </w:numPr>
              <w:ind w:firstLine="420" w:firstLineChars="200"/>
              <w:jc w:val="both"/>
              <w:rPr>
                <w:rFonts w:hint="eastAsia" w:ascii="宋体" w:hAnsi="宋体" w:cs="宋体"/>
              </w:rPr>
            </w:pPr>
            <w:r>
              <w:rPr>
                <w:rFonts w:hint="eastAsia" w:ascii="宋体" w:hAnsi="宋体" w:cs="宋体"/>
              </w:rPr>
              <w:t>在上述建模与环境基础上，选取 DQN / PPO 等深度强化学习算法，实现序列决策式交易排序策略：网络对候选交易集合进行编码，输出每笔交易作为下一执行动作的价值或概率，训练得到可直接生成区块内完整交易顺序的策略，并与 FIFO、按 Gas 排序及启发式防护策略进行对比。</w:t>
            </w:r>
          </w:p>
          <w:p w14:paraId="4EEBEE09">
            <w:pPr>
              <w:numPr>
                <w:ilvl w:val="0"/>
                <w:numId w:val="3"/>
              </w:numPr>
              <w:rPr>
                <w:rFonts w:hint="eastAsia" w:ascii="宋体" w:hAnsi="宋体" w:cs="宋体"/>
              </w:rPr>
            </w:pPr>
            <w:r>
              <w:rPr>
                <w:rFonts w:hint="eastAsia" w:ascii="宋体" w:hAnsi="宋体" w:cs="宋体"/>
              </w:rPr>
              <w:t>引入公平/安全约束的多目标优化与多场景评估</w:t>
            </w:r>
          </w:p>
          <w:p w14:paraId="60D929DD">
            <w:pPr>
              <w:widowControl w:val="0"/>
              <w:numPr>
                <w:ilvl w:val="0"/>
                <w:numId w:val="0"/>
              </w:numPr>
              <w:jc w:val="both"/>
              <w:rPr>
                <w:rFonts w:hint="eastAsia" w:ascii="宋体" w:hAnsi="宋体" w:cs="宋体"/>
              </w:rPr>
            </w:pPr>
            <w:r>
              <w:rPr>
                <w:rFonts w:hint="eastAsia" w:ascii="宋体" w:hAnsi="宋体" w:cs="宋体"/>
              </w:rPr>
              <w:t>将区块收益作为主奖励，将用户损失或有害 MEV 攻击成功率作为成本项，通过</w:t>
            </w:r>
          </w:p>
          <w:p w14:paraId="03321267">
            <w:pPr>
              <w:widowControl w:val="0"/>
              <w:numPr>
                <w:ilvl w:val="0"/>
                <w:numId w:val="0"/>
              </w:numPr>
              <w:jc w:val="center"/>
              <w:rPr>
                <w:rFonts w:hint="eastAsia" w:ascii="宋体" w:hAnsi="宋体" w:eastAsia="宋体" w:cs="宋体"/>
                <w:lang w:eastAsia="zh-CN"/>
              </w:rPr>
            </w:pPr>
            <w:r>
              <w:rPr>
                <w:rFonts w:hint="eastAsia" w:ascii="宋体" w:hAnsi="宋体" w:eastAsia="宋体" w:cs="宋体"/>
                <w:position w:val="-12"/>
                <w:lang w:eastAsia="zh-CN"/>
              </w:rPr>
              <w:object>
                <v:shape id="_x0000_i1025" o:spt="75" type="#_x0000_t75" style="height:18pt;width:130pt;" o:ole="t" filled="f" o:preferrelative="t" stroked="f" coordsize="21600,21600">
                  <v:path/>
                  <v:fill on="f" focussize="0,0"/>
                  <v:stroke on="f"/>
                  <v:imagedata r:id="rId12" o:title=""/>
                  <o:lock v:ext="edit" aspectratio="t"/>
                  <w10:wrap type="none"/>
                  <w10:anchorlock/>
                </v:shape>
                <o:OLEObject Type="Embed" ProgID="Equation.KSEE3" ShapeID="_x0000_i1025" DrawAspect="Content" ObjectID="_1468075725" r:id="rId11">
                  <o:LockedField>false</o:LockedField>
                </o:OLEObject>
              </w:object>
            </w:r>
          </w:p>
          <w:p w14:paraId="10C67817">
            <w:pPr>
              <w:widowControl w:val="0"/>
              <w:numPr>
                <w:ilvl w:val="0"/>
                <w:numId w:val="0"/>
              </w:numPr>
              <w:jc w:val="both"/>
              <w:rPr>
                <w:rFonts w:hint="eastAsia" w:ascii="宋体" w:hAnsi="宋体" w:cs="宋体"/>
              </w:rPr>
            </w:pPr>
            <w:r>
              <w:rPr>
                <w:rFonts w:hint="eastAsia" w:ascii="宋体" w:hAnsi="宋体" w:cs="宋体"/>
              </w:rPr>
              <w:t>的形式引入动态惩罚系数</w:t>
            </w:r>
            <w:r>
              <w:rPr>
                <w:rFonts w:hint="eastAsia" w:ascii="宋体" w:hAnsi="宋体" w:cs="宋体"/>
                <w:position w:val="-6"/>
              </w:rPr>
              <w:object>
                <v:shape id="_x0000_i1026" o:spt="75" type="#_x0000_t75" style="height:13.95pt;width:11pt;" o:ole="t" filled="f" o:preferrelative="t" stroked="f" coordsize="21600,21600">
                  <v:path/>
                  <v:fill on="f" focussize="0,0"/>
                  <v:stroke on="f"/>
                  <v:imagedata r:id="rId14" o:title=""/>
                  <o:lock v:ext="edit" aspectratio="t"/>
                  <w10:wrap type="none"/>
                  <w10:anchorlock/>
                </v:shape>
                <o:OLEObject Type="Embed" ProgID="Equation.KSEE3" ShapeID="_x0000_i1026" DrawAspect="Content" ObjectID="_1468075726" r:id="rId13">
                  <o:LockedField>false</o:LockedField>
                </o:OLEObject>
              </w:object>
            </w:r>
            <w:r>
              <w:rPr>
                <w:rFonts w:hint="eastAsia" w:ascii="宋体" w:hAnsi="宋体" w:cs="宋体"/>
              </w:rPr>
              <w:t>，显式惩罚有害 MEV 行为，在训练过程中根据成本水平自适应调整收益–防护权重，形成简化的约束强化学习框架；在不同市场波动、攻击者比例和流动性配置等多种场景下，系统评估各策略在区块收益、用户滑点和攻击抑制等指标上的表现，分析其收益–防护折中特性。实现区块收益与 MEV 风险抑制之间的自适应折中，使排序策略在保证一定收益的前提下，优先降低三明治攻击等有害 MEV 对普通用户的影响。</w:t>
            </w:r>
          </w:p>
          <w:p w14:paraId="160A904E">
            <w:pPr>
              <w:widowControl w:val="0"/>
              <w:numPr>
                <w:ilvl w:val="0"/>
                <w:numId w:val="0"/>
              </w:numPr>
              <w:jc w:val="both"/>
              <w:rPr>
                <w:rFonts w:hint="eastAsia" w:ascii="宋体" w:hAnsi="宋体" w:cs="宋体"/>
              </w:rPr>
            </w:pPr>
          </w:p>
          <w:p w14:paraId="3666006A">
            <w:pPr>
              <w:numPr>
                <w:ilvl w:val="0"/>
                <w:numId w:val="2"/>
              </w:numPr>
              <w:spacing w:line="480" w:lineRule="auto"/>
              <w:ind w:firstLine="0"/>
              <w:rPr>
                <w:rFonts w:hint="eastAsia" w:ascii="宋体" w:hAnsi="宋体"/>
                <w:color w:val="000000"/>
                <w:szCs w:val="21"/>
              </w:rPr>
            </w:pPr>
            <w:r>
              <w:rPr>
                <w:rFonts w:hint="eastAsia" w:ascii="仿宋_GB2312"/>
                <w:szCs w:val="32"/>
              </w:rPr>
              <w:t>研究进度安排，预期达到的目标</w:t>
            </w:r>
          </w:p>
          <w:p w14:paraId="022AB7B5">
            <w:pPr>
              <w:rPr>
                <w:rFonts w:hint="eastAsia" w:ascii="宋体" w:hAnsi="宋体" w:cs="宋体"/>
              </w:rPr>
            </w:pPr>
            <w:r>
              <w:rPr>
                <w:rFonts w:hint="eastAsia" w:ascii="宋体" w:hAnsi="宋体" w:cs="宋体"/>
              </w:rPr>
              <w:t>1.进度安排</w:t>
            </w:r>
          </w:p>
          <w:p w14:paraId="38C67964">
            <w:pPr>
              <w:rPr>
                <w:rFonts w:hint="eastAsia" w:ascii="宋体" w:hAnsi="宋体" w:cs="宋体"/>
              </w:rPr>
            </w:pPr>
            <w:r>
              <w:rPr>
                <w:rFonts w:hint="eastAsia" w:ascii="宋体" w:hAnsi="宋体" w:cs="宋体"/>
              </w:rPr>
              <w:t>2025年9月~2025年11月</w:t>
            </w:r>
            <w:r>
              <w:rPr>
                <w:rFonts w:hint="eastAsia" w:ascii="宋体" w:hAnsi="宋体" w:cs="宋体"/>
                <w:lang w:eastAsia="zh-CN"/>
              </w:rPr>
              <w:t>：</w:t>
            </w:r>
            <w:r>
              <w:rPr>
                <w:rFonts w:hint="eastAsia" w:ascii="宋体" w:hAnsi="宋体" w:cs="宋体"/>
              </w:rPr>
              <w:t>文献调研与方案设计：查阅 MEV、以太坊 DEX、PBS/MEV-Boost、Safe RL/CMDP 等相关文献。</w:t>
            </w:r>
          </w:p>
          <w:p w14:paraId="312BC39A">
            <w:pPr>
              <w:rPr>
                <w:rFonts w:hint="eastAsia" w:ascii="宋体" w:hAnsi="宋体" w:cs="宋体"/>
              </w:rPr>
            </w:pPr>
            <w:r>
              <w:rPr>
                <w:rFonts w:hint="eastAsia" w:ascii="宋体" w:hAnsi="宋体" w:cs="宋体"/>
              </w:rPr>
              <w:t>2025年12月~2026年02</w:t>
            </w:r>
            <w:r>
              <w:rPr>
                <w:rFonts w:hint="eastAsia" w:ascii="宋体" w:hAnsi="宋体" w:cs="宋体"/>
                <w:lang w:val="en-US" w:eastAsia="zh-CN"/>
              </w:rPr>
              <w:t>月：</w:t>
            </w:r>
            <w:r>
              <w:rPr>
                <w:rFonts w:hint="eastAsia" w:ascii="宋体" w:hAnsi="宋体" w:cs="宋体"/>
              </w:rPr>
              <w:t>问题建模与仿真环境初步实现：完成区块构建与交易排序的序列决策建模与奖励函数设计；实现基础版DEX + MEV仿真环境，支持正常交易与攻击交易生成。</w:t>
            </w:r>
          </w:p>
          <w:p w14:paraId="71B29D99">
            <w:pPr>
              <w:rPr>
                <w:rFonts w:hint="eastAsia" w:ascii="宋体" w:hAnsi="宋体" w:cs="宋体"/>
              </w:rPr>
            </w:pPr>
            <w:r>
              <w:rPr>
                <w:rFonts w:hint="eastAsia" w:ascii="宋体" w:hAnsi="宋体" w:cs="宋体"/>
              </w:rPr>
              <w:t>2026年02月~2026年05月</w:t>
            </w:r>
            <w:r>
              <w:rPr>
                <w:rFonts w:hint="eastAsia" w:ascii="宋体" w:hAnsi="宋体" w:cs="宋体"/>
                <w:lang w:eastAsia="zh-CN"/>
              </w:rPr>
              <w:t>：</w:t>
            </w:r>
            <w:r>
              <w:rPr>
                <w:rFonts w:hint="eastAsia" w:ascii="宋体" w:hAnsi="宋体" w:cs="宋体"/>
              </w:rPr>
              <w:t>DRL 排序策略实现与实验：实现基于 DRL 的序列决策排序算法，将环境与算法联调跑通；在基础 DRL 策略上引入动态λ奖励设计，完成约束/多目标扩展；</w:t>
            </w:r>
          </w:p>
          <w:p w14:paraId="3EA746BD">
            <w:pPr>
              <w:rPr>
                <w:rFonts w:hint="eastAsia" w:ascii="宋体" w:hAnsi="宋体" w:cs="宋体"/>
              </w:rPr>
            </w:pPr>
            <w:r>
              <w:rPr>
                <w:rFonts w:hint="eastAsia" w:ascii="宋体" w:hAnsi="宋体" w:cs="宋体"/>
              </w:rPr>
              <w:t>完善多场景仿真平台，系统开展鲁棒性与收益–防护折中分析实验；</w:t>
            </w:r>
          </w:p>
          <w:p w14:paraId="308309AE">
            <w:pPr>
              <w:rPr>
                <w:rFonts w:hint="eastAsia" w:ascii="宋体" w:hAnsi="宋体" w:cs="宋体"/>
              </w:rPr>
            </w:pPr>
            <w:r>
              <w:rPr>
                <w:rFonts w:hint="eastAsia" w:ascii="宋体" w:hAnsi="宋体" w:cs="宋体"/>
              </w:rPr>
              <w:t>2026年05月</w:t>
            </w:r>
            <w:r>
              <w:rPr>
                <w:rFonts w:hint="eastAsia" w:ascii="宋体" w:hAnsi="宋体" w:cs="宋体"/>
                <w:lang w:val="en-US" w:eastAsia="zh-CN"/>
              </w:rPr>
              <w:t>~</w:t>
            </w:r>
            <w:r>
              <w:rPr>
                <w:rFonts w:hint="eastAsia" w:ascii="宋体" w:hAnsi="宋体" w:cs="宋体"/>
              </w:rPr>
              <w:t>2026年09月</w:t>
            </w:r>
            <w:r>
              <w:rPr>
                <w:rFonts w:hint="eastAsia" w:ascii="宋体" w:hAnsi="宋体" w:cs="宋体"/>
                <w:lang w:eastAsia="zh-CN"/>
              </w:rPr>
              <w:t>：</w:t>
            </w:r>
            <w:r>
              <w:rPr>
                <w:rFonts w:hint="eastAsia" w:ascii="宋体" w:hAnsi="宋体" w:cs="宋体"/>
              </w:rPr>
              <w:t>撰写、修改论文</w:t>
            </w:r>
          </w:p>
          <w:p w14:paraId="330B0E14">
            <w:pPr>
              <w:rPr>
                <w:rFonts w:hint="eastAsia" w:ascii="宋体" w:hAnsi="宋体" w:cs="宋体"/>
              </w:rPr>
            </w:pPr>
            <w:r>
              <w:rPr>
                <w:rFonts w:hint="eastAsia" w:ascii="宋体" w:hAnsi="宋体" w:cs="宋体"/>
              </w:rPr>
              <w:t>2.预期目标</w:t>
            </w:r>
          </w:p>
          <w:p w14:paraId="22588AB9">
            <w:pPr>
              <w:rPr>
                <w:rFonts w:hint="eastAsia" w:ascii="宋体" w:hAnsi="宋体" w:cs="宋体"/>
              </w:rPr>
            </w:pPr>
            <w:r>
              <w:rPr>
                <w:rFonts w:hint="eastAsia" w:ascii="宋体" w:hAnsi="宋体" w:cs="宋体"/>
                <w:lang w:val="en-US" w:eastAsia="zh-CN"/>
              </w:rPr>
              <w:t>(</w:t>
            </w:r>
            <w:r>
              <w:rPr>
                <w:rFonts w:hint="eastAsia" w:ascii="宋体" w:hAnsi="宋体" w:cs="宋体"/>
              </w:rPr>
              <w:t>1</w:t>
            </w:r>
            <w:r>
              <w:rPr>
                <w:rFonts w:hint="eastAsia" w:ascii="宋体" w:hAnsi="宋体" w:cs="宋体"/>
                <w:lang w:val="en-US" w:eastAsia="zh-CN"/>
              </w:rPr>
              <w:t>)</w:t>
            </w:r>
            <w:r>
              <w:rPr>
                <w:rFonts w:hint="eastAsia" w:ascii="宋体" w:hAnsi="宋体" w:cs="宋体"/>
              </w:rPr>
              <w:t>提出一种面向以太坊 DEX 场景的序列决策式区块构建与交易排序建模方法，将区块构建过程纳入强化学习决策框架；</w:t>
            </w:r>
          </w:p>
          <w:p w14:paraId="757D7979">
            <w:pPr>
              <w:rPr>
                <w:rFonts w:hint="eastAsia" w:ascii="宋体" w:hAnsi="宋体" w:cs="宋体"/>
              </w:rPr>
            </w:pPr>
            <w:r>
              <w:rPr>
                <w:rFonts w:hint="eastAsia" w:ascii="宋体" w:hAnsi="宋体" w:cs="宋体"/>
              </w:rPr>
              <w:t>设计一套引入公平/安全约束的多目标/约束 DRL 排序策略，通过动态惩罚系数实现收益与 MEV 防护的自适应平衡。</w:t>
            </w:r>
          </w:p>
          <w:p w14:paraId="60DFCCE2">
            <w:pPr>
              <w:rPr>
                <w:rFonts w:hint="eastAsia" w:ascii="宋体" w:hAnsi="宋体" w:cs="宋体"/>
                <w:lang w:val="en-US" w:eastAsia="zh-CN"/>
              </w:rPr>
            </w:pPr>
            <w:r>
              <w:rPr>
                <w:rFonts w:hint="eastAsia" w:ascii="宋体" w:hAnsi="宋体" w:cs="宋体"/>
                <w:lang w:val="en-US" w:eastAsia="zh-CN"/>
              </w:rPr>
              <w:t>(2)实现一个支持多种市场与攻击场景配置的 MEV 仿真平台，包含 DEX 价格与流动性模拟、攻击注入机制及多基线排序策略；</w:t>
            </w:r>
          </w:p>
          <w:p w14:paraId="0A9840D8">
            <w:pPr>
              <w:rPr>
                <w:rFonts w:hint="eastAsia" w:ascii="宋体" w:hAnsi="宋体" w:cs="宋体"/>
                <w:lang w:val="en-US" w:eastAsia="zh-CN"/>
              </w:rPr>
            </w:pPr>
            <w:r>
              <w:rPr>
                <w:rFonts w:hint="eastAsia" w:ascii="宋体" w:hAnsi="宋体" w:cs="宋体"/>
                <w:lang w:val="en-US" w:eastAsia="zh-CN"/>
              </w:rPr>
              <w:t>完成基于 DRL 的交易排序原型系统，实现与仿真平台的集成，为后续在 PBS/MEV-Boost 生态中进一步工程化部署提供参考。</w:t>
            </w:r>
          </w:p>
          <w:p w14:paraId="7D26EFF8">
            <w:pPr>
              <w:rPr>
                <w:rFonts w:hint="default" w:ascii="宋体" w:hAnsi="宋体" w:cs="宋体"/>
                <w:lang w:val="en-US" w:eastAsia="zh-CN"/>
              </w:rPr>
            </w:pPr>
            <w:r>
              <w:rPr>
                <w:rFonts w:hint="eastAsia" w:ascii="宋体" w:hAnsi="宋体" w:cs="宋体"/>
                <w:lang w:val="en-US" w:eastAsia="zh-CN"/>
              </w:rPr>
              <w:t>(3)通过多场景实验，系统性评估所提方法在区块收益、用户损失与 MEV 攻击抑制方面的表现，形成完整的实验数据与分析结论。</w:t>
            </w:r>
          </w:p>
          <w:p w14:paraId="1D8CFD13">
            <w:pPr>
              <w:rPr>
                <w:rFonts w:hint="default" w:ascii="宋体" w:hAnsi="宋体" w:eastAsia="宋体" w:cs="宋体"/>
                <w:lang w:val="en-US" w:eastAsia="zh-CN"/>
              </w:rPr>
            </w:pPr>
          </w:p>
          <w:p w14:paraId="69AA18BB">
            <w:pPr>
              <w:numPr>
                <w:ilvl w:val="0"/>
                <w:numId w:val="2"/>
              </w:numPr>
              <w:spacing w:line="480" w:lineRule="auto"/>
              <w:ind w:firstLine="0"/>
            </w:pPr>
            <w:r>
              <w:rPr>
                <w:rFonts w:hint="eastAsia"/>
                <w:szCs w:val="21"/>
              </w:rPr>
              <w:t>主要参考文献</w:t>
            </w:r>
          </w:p>
          <w:p w14:paraId="015EC8BF">
            <w:pPr>
              <w:rPr>
                <w:rFonts w:hint="eastAsia" w:eastAsia="楷体"/>
              </w:rPr>
            </w:pPr>
            <w:r>
              <w:rPr>
                <w:rFonts w:hint="eastAsia" w:eastAsia="楷体"/>
              </w:rPr>
              <w:t>[1] Philip Daian, Steven Goldfeder, Tyler Kell, et al. Flash Boys 2.0: Frontrunning, Transaction Reordering, and Consensus Instability in Decentralized Exchanges[OL]. arXiv:1904.05234, 2019.</w:t>
            </w:r>
          </w:p>
          <w:p w14:paraId="7A88FB66">
            <w:pPr>
              <w:rPr>
                <w:rFonts w:hint="eastAsia" w:eastAsia="楷体"/>
              </w:rPr>
            </w:pPr>
            <w:r>
              <w:rPr>
                <w:rFonts w:hint="eastAsia" w:eastAsia="楷体"/>
              </w:rPr>
              <w:t>[2]</w:t>
            </w:r>
            <w:r>
              <w:rPr>
                <w:rFonts w:hint="eastAsia" w:eastAsia="楷体"/>
                <w:lang w:val="en-US" w:eastAsia="zh-CN"/>
              </w:rPr>
              <w:t xml:space="preserve"> </w:t>
            </w:r>
            <w:r>
              <w:rPr>
                <w:rFonts w:hint="eastAsia" w:eastAsia="楷体"/>
              </w:rPr>
              <w:t>Flashbots. mev-boost: MEV-Boost allows Ethereum validators to access a competitive block-building market[EB/OL]. GitHub &amp; Docs, 2022–2025.</w:t>
            </w:r>
          </w:p>
          <w:p w14:paraId="7C563AA8">
            <w:pPr>
              <w:rPr>
                <w:rFonts w:hint="eastAsia" w:eastAsia="楷体"/>
              </w:rPr>
            </w:pPr>
            <w:r>
              <w:rPr>
                <w:rFonts w:hint="eastAsia" w:eastAsia="楷体"/>
              </w:rPr>
              <w:t>[3] Ethereum Foundation. Proposer-Builder Separation (PBS)[EB/OL]. ethereum.org, 2024–2025.</w:t>
            </w:r>
          </w:p>
          <w:p w14:paraId="425F0340">
            <w:pPr>
              <w:rPr>
                <w:rFonts w:hint="eastAsia" w:eastAsia="楷体"/>
              </w:rPr>
            </w:pPr>
            <w:r>
              <w:rPr>
                <w:rFonts w:hint="eastAsia" w:eastAsia="楷体"/>
              </w:rPr>
              <w:t>[4] Ankita Kushwaha, Kiran Ravish, Preeti Lamba, et al. A Survey of Safe Reinforcement Learning and Constrained MDPs: A Technical Survey on Single-Agent and Multi-Agent Safety[OL]. arXiv:2505.17342, 2025.</w:t>
            </w:r>
          </w:p>
          <w:p w14:paraId="62890E68">
            <w:pPr>
              <w:rPr>
                <w:rFonts w:hint="eastAsia" w:eastAsia="楷体"/>
              </w:rPr>
            </w:pPr>
            <w:r>
              <w:rPr>
                <w:rFonts w:hint="eastAsia" w:eastAsia="楷体"/>
              </w:rPr>
              <w:t>[5] Safe RL 的一点点总结[EB/OL]. 知乎专栏, 2020.</w:t>
            </w:r>
          </w:p>
          <w:p w14:paraId="66AE0D0D">
            <w:pPr>
              <w:rPr>
                <w:rFonts w:hint="eastAsia" w:eastAsia="楷体"/>
              </w:rPr>
            </w:pPr>
            <w:r>
              <w:rPr>
                <w:rFonts w:hint="eastAsia" w:eastAsia="楷体"/>
              </w:rPr>
              <w:t>[6] Akifumi Wachi, Yanan Sui. Safe Reinforcement Learning in Constrained Markov Decision Processes[C]</w:t>
            </w:r>
            <w:r>
              <w:rPr>
                <w:rFonts w:hint="eastAsia" w:eastAsia="楷体"/>
                <w:lang w:val="en-US" w:eastAsia="zh-CN"/>
              </w:rPr>
              <w:t>.</w:t>
            </w:r>
            <w:r>
              <w:rPr>
                <w:rFonts w:hint="eastAsia" w:eastAsia="楷体"/>
              </w:rPr>
              <w:t xml:space="preserve"> ICML, 2020.</w:t>
            </w:r>
          </w:p>
          <w:p w14:paraId="5BAAA773">
            <w:pPr>
              <w:rPr>
                <w:rFonts w:hint="eastAsia" w:eastAsia="楷体"/>
              </w:rPr>
            </w:pPr>
            <w:r>
              <w:rPr>
                <w:rFonts w:hint="eastAsia" w:eastAsia="楷体"/>
              </w:rPr>
              <w:t xml:space="preserve">[7] </w:t>
            </w:r>
            <w:r>
              <w:rPr>
                <w:rFonts w:ascii="Arial" w:hAnsi="Arial" w:eastAsia="宋体" w:cs="Arial"/>
                <w:i w:val="0"/>
                <w:iCs w:val="0"/>
                <w:caps w:val="0"/>
                <w:color w:val="222222"/>
                <w:spacing w:val="0"/>
                <w:sz w:val="19"/>
                <w:szCs w:val="19"/>
                <w:shd w:val="clear" w:fill="FFFFFF"/>
              </w:rPr>
              <w:t>Wen E, Deng Z, Mo Y, et al. RL-BES: optimizing strategies using reinforcement learning for blockchain economic security[J]. Blockchain, 2025, 3(1): 1-2.</w:t>
            </w:r>
          </w:p>
          <w:p w14:paraId="3E5A1F90">
            <w:pPr>
              <w:rPr>
                <w:rFonts w:hint="eastAsia" w:eastAsia="楷体"/>
              </w:rPr>
            </w:pPr>
            <w:r>
              <w:rPr>
                <w:rFonts w:hint="eastAsia" w:eastAsia="楷体"/>
              </w:rPr>
              <w:t>[8] A Trust-Aware and Cost-Optimized Blockchain Oracle Selection Model with Deep Reinforcement Learning[OL]. arXiv:2502.16133, 2025.</w:t>
            </w:r>
          </w:p>
          <w:p w14:paraId="6EB71986">
            <w:pPr>
              <w:rPr>
                <w:rFonts w:hint="eastAsia" w:eastAsia="楷体"/>
              </w:rPr>
            </w:pPr>
            <w:r>
              <w:rPr>
                <w:rFonts w:hint="eastAsia" w:eastAsia="楷体"/>
              </w:rPr>
              <w:t xml:space="preserve">[9] </w:t>
            </w:r>
            <w:r>
              <w:rPr>
                <w:rFonts w:ascii="Arial" w:hAnsi="Arial" w:eastAsia="宋体" w:cs="Arial"/>
                <w:i w:val="0"/>
                <w:iCs w:val="0"/>
                <w:caps w:val="0"/>
                <w:color w:val="222222"/>
                <w:spacing w:val="0"/>
                <w:sz w:val="19"/>
                <w:szCs w:val="19"/>
                <w:shd w:val="clear" w:fill="FFFFFF"/>
              </w:rPr>
              <w:t>Zou Y, Jin Z, Zheng Y, et al. Optimized consensus for blockchain in internet of things networks via reinforcement learning[J]. Tsinghua Science and Technology, 2023, 28(6): 1009-1022.</w:t>
            </w:r>
          </w:p>
          <w:p w14:paraId="4231DCFF">
            <w:pPr>
              <w:rPr>
                <w:rFonts w:eastAsia="楷体"/>
              </w:rPr>
            </w:pPr>
            <w:r>
              <w:rPr>
                <w:rFonts w:hint="eastAsia" w:eastAsia="楷体"/>
                <w:lang w:val="en-US" w:eastAsia="zh-CN"/>
              </w:rPr>
              <w:t>[10]</w:t>
            </w:r>
            <w:r>
              <w:rPr>
                <w:rFonts w:hint="eastAsia" w:eastAsia="楷体"/>
              </w:rPr>
              <w:t>Mancino D, Leporati A, Viviani M, et al. A role and reward analysis in off-chain mechanisms for executing MEV strategies in Ethereum proof-of-stake[J]. Distributed Ledger Technologies: Research and Practice, 2025, 4(3): 1-23.</w:t>
            </w:r>
          </w:p>
        </w:tc>
      </w:tr>
      <w:tr w14:paraId="13F40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22" w:hRule="atLeast"/>
          <w:jc w:val="center"/>
        </w:trPr>
        <w:tc>
          <w:tcPr>
            <w:tcW w:w="8787" w:type="dxa"/>
            <w:gridSpan w:val="2"/>
          </w:tcPr>
          <w:p w14:paraId="306C0703">
            <w:pPr>
              <w:rPr>
                <w:rFonts w:hint="eastAsia" w:eastAsia="楷体"/>
                <w:lang w:val="en-US" w:eastAsia="zh-CN"/>
              </w:rPr>
            </w:pPr>
            <w:r>
              <w:rPr>
                <w:rFonts w:hint="eastAsia" w:eastAsia="楷体"/>
                <w:lang w:val="en-US" w:eastAsia="zh-CN"/>
              </w:rPr>
              <w:t>[11]</w:t>
            </w:r>
            <w:r>
              <w:rPr>
                <w:rFonts w:ascii="Arial" w:hAnsi="Arial" w:eastAsia="宋体" w:cs="Arial"/>
                <w:i w:val="0"/>
                <w:iCs w:val="0"/>
                <w:caps w:val="0"/>
                <w:color w:val="222222"/>
                <w:spacing w:val="0"/>
                <w:sz w:val="19"/>
                <w:szCs w:val="19"/>
                <w:shd w:val="clear" w:fill="FFFFFF"/>
              </w:rPr>
              <w:t>Öz B, Rezabek F, Gebele J, et al. A study of mev extraction techniques on a first-come-first-served blockchain[C]</w:t>
            </w:r>
            <w:r>
              <w:rPr>
                <w:rFonts w:hint="eastAsia" w:ascii="Arial" w:hAnsi="Arial" w:cs="Arial"/>
                <w:i w:val="0"/>
                <w:iCs w:val="0"/>
                <w:caps w:val="0"/>
                <w:color w:val="222222"/>
                <w:spacing w:val="0"/>
                <w:sz w:val="19"/>
                <w:szCs w:val="19"/>
                <w:shd w:val="clear" w:fill="FFFFFF"/>
                <w:lang w:val="en-US" w:eastAsia="zh-CN"/>
              </w:rPr>
              <w:t>.</w:t>
            </w:r>
            <w:r>
              <w:rPr>
                <w:rFonts w:ascii="Arial" w:hAnsi="Arial" w:eastAsia="宋体" w:cs="Arial"/>
                <w:i w:val="0"/>
                <w:iCs w:val="0"/>
                <w:caps w:val="0"/>
                <w:color w:val="222222"/>
                <w:spacing w:val="0"/>
                <w:sz w:val="19"/>
                <w:szCs w:val="19"/>
                <w:shd w:val="clear" w:fill="FFFFFF"/>
              </w:rPr>
              <w:t>Proceedings of the 39th ACM/SIGAPP Symposium on Applied Computing. 2024: 288-297.</w:t>
            </w:r>
          </w:p>
          <w:p w14:paraId="3F95FBA7">
            <w:pPr>
              <w:rPr>
                <w:rFonts w:hint="eastAsia" w:eastAsia="楷体"/>
                <w:lang w:val="en-US" w:eastAsia="zh-CN"/>
              </w:rPr>
            </w:pPr>
            <w:r>
              <w:rPr>
                <w:rFonts w:hint="eastAsia" w:eastAsia="楷体"/>
                <w:lang w:val="en-US" w:eastAsia="zh-CN"/>
              </w:rPr>
              <w:t>[12]</w:t>
            </w:r>
            <w:r>
              <w:rPr>
                <w:rFonts w:ascii="Arial" w:hAnsi="Arial" w:eastAsia="宋体" w:cs="Arial"/>
                <w:i w:val="0"/>
                <w:iCs w:val="0"/>
                <w:caps w:val="0"/>
                <w:color w:val="222222"/>
                <w:spacing w:val="0"/>
                <w:sz w:val="19"/>
                <w:szCs w:val="19"/>
                <w:shd w:val="clear" w:fill="FFFFFF"/>
              </w:rPr>
              <w:t>Mazorra B, Reynolds M, Daza V. Price of mev: towards a game theoretical approach to mev[C]</w:t>
            </w:r>
            <w:r>
              <w:rPr>
                <w:rFonts w:hint="eastAsia" w:ascii="Arial" w:hAnsi="Arial" w:cs="Arial"/>
                <w:i w:val="0"/>
                <w:iCs w:val="0"/>
                <w:caps w:val="0"/>
                <w:color w:val="222222"/>
                <w:spacing w:val="0"/>
                <w:sz w:val="19"/>
                <w:szCs w:val="19"/>
                <w:shd w:val="clear" w:fill="FFFFFF"/>
                <w:lang w:val="en-US" w:eastAsia="zh-CN"/>
              </w:rPr>
              <w:t>.</w:t>
            </w:r>
            <w:r>
              <w:rPr>
                <w:rFonts w:ascii="Arial" w:hAnsi="Arial" w:eastAsia="宋体" w:cs="Arial"/>
                <w:i w:val="0"/>
                <w:iCs w:val="0"/>
                <w:caps w:val="0"/>
                <w:color w:val="222222"/>
                <w:spacing w:val="0"/>
                <w:sz w:val="19"/>
                <w:szCs w:val="19"/>
                <w:shd w:val="clear" w:fill="FFFFFF"/>
              </w:rPr>
              <w:t>Proceedings of the 2022 ACM cCS workshop on decentralized finance and security. 2022: 15-22.</w:t>
            </w:r>
          </w:p>
          <w:p w14:paraId="3F2EB81B">
            <w:pPr>
              <w:rPr>
                <w:rFonts w:hint="eastAsia" w:eastAsia="楷体"/>
                <w:lang w:val="en-US" w:eastAsia="zh-CN"/>
              </w:rPr>
            </w:pPr>
            <w:r>
              <w:rPr>
                <w:rFonts w:hint="eastAsia" w:eastAsia="楷体"/>
                <w:lang w:val="en-US" w:eastAsia="zh-CN"/>
              </w:rPr>
              <w:t>[13]</w:t>
            </w:r>
            <w:r>
              <w:rPr>
                <w:rFonts w:ascii="Arial" w:hAnsi="Arial" w:eastAsia="宋体" w:cs="Arial"/>
                <w:i w:val="0"/>
                <w:iCs w:val="0"/>
                <w:caps w:val="0"/>
                <w:color w:val="222222"/>
                <w:spacing w:val="0"/>
                <w:sz w:val="19"/>
                <w:szCs w:val="19"/>
                <w:shd w:val="clear" w:fill="FFFFFF"/>
              </w:rPr>
              <w:t>Hay Y, Rottenstreich O, Cohen D. An Optimistic Approach to Transaction-Order Fairness Protocols[C]//2025 IEEE International Conference on Blockchain and Cryptocurrency (ICBC). IEEE, 2025: 1-5.</w:t>
            </w:r>
          </w:p>
          <w:p w14:paraId="6B535205">
            <w:pPr>
              <w:rPr>
                <w:rFonts w:hint="eastAsia" w:eastAsia="楷体"/>
                <w:lang w:val="en-US" w:eastAsia="zh-CN"/>
              </w:rPr>
            </w:pPr>
            <w:r>
              <w:rPr>
                <w:rFonts w:hint="eastAsia" w:eastAsia="楷体"/>
                <w:lang w:val="en-US" w:eastAsia="zh-CN"/>
              </w:rPr>
              <w:t>[14]</w:t>
            </w:r>
            <w:r>
              <w:rPr>
                <w:rFonts w:ascii="Arial" w:hAnsi="Arial" w:eastAsia="宋体" w:cs="Arial"/>
                <w:i w:val="0"/>
                <w:iCs w:val="0"/>
                <w:caps w:val="0"/>
                <w:color w:val="222222"/>
                <w:spacing w:val="0"/>
                <w:sz w:val="19"/>
                <w:szCs w:val="19"/>
                <w:shd w:val="clear" w:fill="FFFFFF"/>
              </w:rPr>
              <w:t>Choi N, Kim H. Decentralized exchange transaction analysis and maximal extractable value attack identification: Focusing on uniswap usdc3[J]. Electronics, 2024, 13(6): 1098.</w:t>
            </w:r>
          </w:p>
          <w:p w14:paraId="73C3756A">
            <w:pPr>
              <w:rPr>
                <w:rFonts w:hint="eastAsia" w:eastAsia="楷体"/>
                <w:lang w:val="en-US" w:eastAsia="zh-CN"/>
              </w:rPr>
            </w:pPr>
            <w:r>
              <w:rPr>
                <w:rFonts w:hint="eastAsia" w:eastAsia="楷体"/>
                <w:lang w:val="en-US" w:eastAsia="zh-CN"/>
              </w:rPr>
              <w:t>[15]</w:t>
            </w:r>
            <w:r>
              <w:rPr>
                <w:rFonts w:ascii="Arial" w:hAnsi="Arial" w:eastAsia="宋体" w:cs="Arial"/>
                <w:i w:val="0"/>
                <w:iCs w:val="0"/>
                <w:caps w:val="0"/>
                <w:color w:val="222222"/>
                <w:spacing w:val="0"/>
                <w:sz w:val="19"/>
                <w:szCs w:val="19"/>
                <w:shd w:val="clear" w:fill="FFFFFF"/>
              </w:rPr>
              <w:t>Ren Z, Wang Z, Li X, et al. Deep reinforcement learning based scheduling strategy in blockchain payment channel networks[J]. IEEE/ACM Transactions on Networking, 2024.</w:t>
            </w:r>
          </w:p>
          <w:p w14:paraId="441245D5">
            <w:pPr>
              <w:rPr>
                <w:rFonts w:hint="eastAsia" w:eastAsia="楷体"/>
                <w:lang w:val="en-US" w:eastAsia="zh-CN"/>
              </w:rPr>
            </w:pPr>
            <w:r>
              <w:rPr>
                <w:rFonts w:hint="eastAsia" w:eastAsia="楷体"/>
                <w:lang w:val="en-US" w:eastAsia="zh-CN"/>
              </w:rPr>
              <w:t>[16]</w:t>
            </w:r>
            <w:r>
              <w:rPr>
                <w:rFonts w:ascii="Arial" w:hAnsi="Arial" w:eastAsia="宋体" w:cs="Arial"/>
                <w:i w:val="0"/>
                <w:iCs w:val="0"/>
                <w:caps w:val="0"/>
                <w:color w:val="222222"/>
                <w:spacing w:val="0"/>
                <w:sz w:val="19"/>
                <w:szCs w:val="19"/>
                <w:shd w:val="clear" w:fill="FFFFFF"/>
              </w:rPr>
              <w:t>Vedula A, Venkatakrishnan S B, Gupta A. Masquerade: Simple and Lightweight Transaction Reordering Mitigation in Blockchains[J]. arXiv preprint arXiv:2308.15347, 2023.</w:t>
            </w:r>
          </w:p>
          <w:p w14:paraId="3B5D51AC">
            <w:pPr>
              <w:rPr>
                <w:rFonts w:hint="eastAsia" w:eastAsia="楷体"/>
                <w:lang w:val="en-US" w:eastAsia="zh-CN"/>
              </w:rPr>
            </w:pPr>
            <w:r>
              <w:rPr>
                <w:rFonts w:hint="eastAsia" w:eastAsia="楷体"/>
                <w:lang w:val="en-US" w:eastAsia="zh-CN"/>
              </w:rPr>
              <w:t>[17]</w:t>
            </w:r>
            <w:r>
              <w:rPr>
                <w:rFonts w:ascii="Arial" w:hAnsi="Arial" w:eastAsia="宋体" w:cs="Arial"/>
                <w:i w:val="0"/>
                <w:iCs w:val="0"/>
                <w:caps w:val="0"/>
                <w:color w:val="222222"/>
                <w:spacing w:val="0"/>
                <w:sz w:val="19"/>
                <w:szCs w:val="19"/>
                <w:shd w:val="clear" w:fill="FFFFFF"/>
              </w:rPr>
              <w:t>Alipanahloo Z, Hafid A S, Zhang K. Maximum extractable value (mev) mitigation approaches in ethereum and layer-2 chains: A comprehensive survey[J]. IEEE Access, 2024.</w:t>
            </w:r>
          </w:p>
          <w:p w14:paraId="53B6155C">
            <w:pPr>
              <w:rPr>
                <w:rFonts w:hint="eastAsia" w:eastAsia="楷体"/>
                <w:lang w:val="en-US" w:eastAsia="zh-CN"/>
              </w:rPr>
            </w:pPr>
            <w:r>
              <w:rPr>
                <w:rFonts w:hint="eastAsia" w:eastAsia="楷体"/>
                <w:lang w:val="en-US" w:eastAsia="zh-CN"/>
              </w:rPr>
              <w:t>[18]</w:t>
            </w:r>
            <w:r>
              <w:rPr>
                <w:rFonts w:ascii="Arial" w:hAnsi="Arial" w:eastAsia="宋体" w:cs="Arial"/>
                <w:i w:val="0"/>
                <w:iCs w:val="0"/>
                <w:caps w:val="0"/>
                <w:color w:val="222222"/>
                <w:spacing w:val="0"/>
                <w:sz w:val="19"/>
                <w:szCs w:val="19"/>
                <w:shd w:val="clear" w:fill="FFFFFF"/>
              </w:rPr>
              <w:t>Yao Z, Huang F, Li Y, et al. Mecon: A GNN-based graph classification framework for MEV activity detection[J]. Expert Systems with Applications, 2025, 269: 126486.</w:t>
            </w:r>
          </w:p>
          <w:p w14:paraId="7203DC07">
            <w:pPr>
              <w:rPr>
                <w:rFonts w:hint="eastAsia" w:eastAsia="楷体"/>
                <w:lang w:val="en-US" w:eastAsia="zh-CN"/>
              </w:rPr>
            </w:pPr>
            <w:r>
              <w:rPr>
                <w:rFonts w:hint="eastAsia" w:eastAsia="楷体"/>
                <w:lang w:val="en-US" w:eastAsia="zh-CN"/>
              </w:rPr>
              <w:t>[19]</w:t>
            </w:r>
            <w:r>
              <w:rPr>
                <w:rFonts w:ascii="Arial" w:hAnsi="Arial" w:eastAsia="宋体" w:cs="Arial"/>
                <w:i w:val="0"/>
                <w:iCs w:val="0"/>
                <w:caps w:val="0"/>
                <w:color w:val="222222"/>
                <w:spacing w:val="0"/>
                <w:sz w:val="19"/>
                <w:szCs w:val="19"/>
                <w:shd w:val="clear" w:fill="FFFFFF"/>
              </w:rPr>
              <w:t>Chaurasia Y, Desai P, Gujar S. Mev ecosystem evolution from ethereum 1.0[J]. arXiv preprint arXiv:2406.13585, 2024.</w:t>
            </w:r>
          </w:p>
          <w:p w14:paraId="203D61CF">
            <w:pPr>
              <w:rPr>
                <w:rFonts w:ascii="Arial" w:hAnsi="Arial" w:eastAsia="宋体" w:cs="Arial"/>
                <w:i w:val="0"/>
                <w:iCs w:val="0"/>
                <w:caps w:val="0"/>
                <w:color w:val="222222"/>
                <w:spacing w:val="0"/>
                <w:sz w:val="19"/>
                <w:szCs w:val="19"/>
                <w:shd w:val="clear" w:fill="FFFFFF"/>
              </w:rPr>
            </w:pPr>
            <w:r>
              <w:rPr>
                <w:rFonts w:hint="eastAsia" w:eastAsia="楷体"/>
                <w:lang w:val="en-US" w:eastAsia="zh-CN"/>
              </w:rPr>
              <w:t>[20]</w:t>
            </w:r>
            <w:r>
              <w:rPr>
                <w:rFonts w:ascii="Arial" w:hAnsi="Arial" w:eastAsia="宋体" w:cs="Arial"/>
                <w:i w:val="0"/>
                <w:iCs w:val="0"/>
                <w:caps w:val="0"/>
                <w:color w:val="222222"/>
                <w:spacing w:val="0"/>
                <w:sz w:val="19"/>
                <w:szCs w:val="19"/>
                <w:shd w:val="clear" w:fill="FFFFFF"/>
              </w:rPr>
              <w:t>Piet J, Nair V, Subramanian S. Mevade: An mev-resistant blockchain design[C]//2023 IEEE International Conference on Blockchain and Cryptocurrency (ICBC). IEEE, 2023: 1-9.</w:t>
            </w:r>
          </w:p>
          <w:p w14:paraId="5161E8FD">
            <w:pPr>
              <w:rPr>
                <w:rFonts w:ascii="Arial" w:hAnsi="Arial" w:eastAsia="宋体" w:cs="Arial"/>
                <w:i w:val="0"/>
                <w:iCs w:val="0"/>
                <w:caps w:val="0"/>
                <w:color w:val="222222"/>
                <w:spacing w:val="0"/>
                <w:sz w:val="19"/>
                <w:szCs w:val="19"/>
                <w:shd w:val="clear" w:fill="FFFFFF"/>
              </w:rPr>
            </w:pPr>
            <w:r>
              <w:rPr>
                <w:rFonts w:hint="eastAsia" w:ascii="Arial" w:hAnsi="Arial" w:cs="Arial"/>
                <w:i w:val="0"/>
                <w:iCs w:val="0"/>
                <w:caps w:val="0"/>
                <w:color w:val="222222"/>
                <w:spacing w:val="0"/>
                <w:sz w:val="19"/>
                <w:szCs w:val="19"/>
                <w:shd w:val="clear" w:fill="FFFFFF"/>
                <w:lang w:val="en-US" w:eastAsia="zh-CN"/>
              </w:rPr>
              <w:t>[21]</w:t>
            </w:r>
            <w:r>
              <w:rPr>
                <w:rFonts w:ascii="Arial" w:hAnsi="Arial" w:eastAsia="宋体" w:cs="Arial"/>
                <w:i w:val="0"/>
                <w:iCs w:val="0"/>
                <w:caps w:val="0"/>
                <w:color w:val="222222"/>
                <w:spacing w:val="0"/>
                <w:sz w:val="19"/>
                <w:szCs w:val="19"/>
                <w:shd w:val="clear" w:fill="FFFFFF"/>
              </w:rPr>
              <w:t>Tang F, Liu Y, Zhao Q, et al. Real-time discovery and mining system of blockchain extractable value for decentralized finance protocol optimization[J]. IEEE Transactions on Computational Social Systems, 2024, 11(4): 5536-5553.</w:t>
            </w:r>
          </w:p>
          <w:p w14:paraId="0C2097B0">
            <w:pPr>
              <w:rPr>
                <w:rFonts w:hint="eastAsia" w:ascii="Arial" w:hAnsi="Arial" w:cs="Arial"/>
                <w:i w:val="0"/>
                <w:iCs w:val="0"/>
                <w:caps w:val="0"/>
                <w:color w:val="222222"/>
                <w:spacing w:val="0"/>
                <w:sz w:val="19"/>
                <w:szCs w:val="19"/>
                <w:shd w:val="clear" w:fill="FFFFFF"/>
                <w:lang w:val="en-US" w:eastAsia="zh-CN"/>
              </w:rPr>
            </w:pPr>
            <w:r>
              <w:rPr>
                <w:rFonts w:hint="eastAsia" w:ascii="Arial" w:hAnsi="Arial" w:cs="Arial"/>
                <w:i w:val="0"/>
                <w:iCs w:val="0"/>
                <w:caps w:val="0"/>
                <w:color w:val="222222"/>
                <w:spacing w:val="0"/>
                <w:sz w:val="19"/>
                <w:szCs w:val="19"/>
                <w:shd w:val="clear" w:fill="FFFFFF"/>
                <w:lang w:val="en-US" w:eastAsia="zh-CN"/>
              </w:rPr>
              <w:t>[22]</w:t>
            </w:r>
            <w:r>
              <w:rPr>
                <w:rFonts w:ascii="Arial" w:hAnsi="Arial" w:eastAsia="宋体" w:cs="Arial"/>
                <w:i w:val="0"/>
                <w:iCs w:val="0"/>
                <w:caps w:val="0"/>
                <w:color w:val="222222"/>
                <w:spacing w:val="0"/>
                <w:sz w:val="19"/>
                <w:szCs w:val="19"/>
                <w:shd w:val="clear" w:fill="FFFFFF"/>
              </w:rPr>
              <w:t>Chi T, He N, Hu X, et al. Remeasuring the arbitrage and sandwich attacks of maximal extractable value in Ethereum[J]. arXiv preprint arXiv:2405.17944, 2024.</w:t>
            </w:r>
          </w:p>
          <w:p w14:paraId="47D85F37">
            <w:pPr>
              <w:rPr>
                <w:rFonts w:hint="eastAsia" w:ascii="Arial" w:hAnsi="Arial" w:cs="Arial"/>
                <w:i w:val="0"/>
                <w:iCs w:val="0"/>
                <w:caps w:val="0"/>
                <w:color w:val="222222"/>
                <w:spacing w:val="0"/>
                <w:sz w:val="19"/>
                <w:szCs w:val="19"/>
                <w:shd w:val="clear" w:fill="FFFFFF"/>
                <w:lang w:val="en-US" w:eastAsia="zh-CN"/>
              </w:rPr>
            </w:pPr>
            <w:r>
              <w:rPr>
                <w:rFonts w:hint="eastAsia" w:ascii="Arial" w:hAnsi="Arial" w:cs="Arial"/>
                <w:i w:val="0"/>
                <w:iCs w:val="0"/>
                <w:caps w:val="0"/>
                <w:color w:val="222222"/>
                <w:spacing w:val="0"/>
                <w:sz w:val="19"/>
                <w:szCs w:val="19"/>
                <w:shd w:val="clear" w:fill="FFFFFF"/>
                <w:lang w:val="en-US" w:eastAsia="zh-CN"/>
              </w:rPr>
              <w:t>[23]</w:t>
            </w:r>
            <w:r>
              <w:rPr>
                <w:rFonts w:ascii="Arial" w:hAnsi="Arial" w:eastAsia="宋体" w:cs="Arial"/>
                <w:i w:val="0"/>
                <w:iCs w:val="0"/>
                <w:caps w:val="0"/>
                <w:color w:val="222222"/>
                <w:spacing w:val="0"/>
                <w:sz w:val="19"/>
                <w:szCs w:val="19"/>
                <w:shd w:val="clear" w:fill="FFFFFF"/>
              </w:rPr>
              <w:t>Ma Z, Jiang M, Luo F, et al. Surviving in Dark Forest: Towards Evading the Attacks from Front-Running Bots in Application Layer[C]//Proceedings of the 34th USENIX Security Symposium (USENIX SEC). 2025.</w:t>
            </w:r>
          </w:p>
          <w:p w14:paraId="36A594BE">
            <w:pPr>
              <w:rPr>
                <w:rFonts w:hint="eastAsia" w:ascii="Arial" w:hAnsi="Arial" w:cs="Arial"/>
                <w:i w:val="0"/>
                <w:iCs w:val="0"/>
                <w:caps w:val="0"/>
                <w:color w:val="222222"/>
                <w:spacing w:val="0"/>
                <w:sz w:val="19"/>
                <w:szCs w:val="19"/>
                <w:shd w:val="clear" w:fill="FFFFFF"/>
                <w:lang w:val="en-US" w:eastAsia="zh-CN"/>
              </w:rPr>
            </w:pPr>
            <w:r>
              <w:rPr>
                <w:rFonts w:hint="eastAsia" w:ascii="Arial" w:hAnsi="Arial" w:cs="Arial"/>
                <w:i w:val="0"/>
                <w:iCs w:val="0"/>
                <w:caps w:val="0"/>
                <w:color w:val="222222"/>
                <w:spacing w:val="0"/>
                <w:sz w:val="19"/>
                <w:szCs w:val="19"/>
                <w:shd w:val="clear" w:fill="FFFFFF"/>
                <w:lang w:val="en-US" w:eastAsia="zh-CN"/>
              </w:rPr>
              <w:t>[24]</w:t>
            </w:r>
            <w:r>
              <w:rPr>
                <w:rFonts w:ascii="Arial" w:hAnsi="Arial" w:eastAsia="宋体" w:cs="Arial"/>
                <w:i w:val="0"/>
                <w:iCs w:val="0"/>
                <w:caps w:val="0"/>
                <w:color w:val="222222"/>
                <w:spacing w:val="0"/>
                <w:sz w:val="19"/>
                <w:szCs w:val="19"/>
                <w:shd w:val="clear" w:fill="FFFFFF"/>
              </w:rPr>
              <w:t>Park S, Jeong W, Lee Y, et al. Unraveling the MEV enigma: ABI-free detection model using graph neural networks[J]. Future Generation Computer Systems, 2024, 153: 70-83.</w:t>
            </w:r>
          </w:p>
          <w:p w14:paraId="79072804">
            <w:pPr>
              <w:rPr>
                <w:rFonts w:ascii="Arial" w:hAnsi="Arial" w:eastAsia="宋体" w:cs="Arial"/>
                <w:i w:val="0"/>
                <w:iCs w:val="0"/>
                <w:caps w:val="0"/>
                <w:color w:val="222222"/>
                <w:spacing w:val="0"/>
                <w:sz w:val="19"/>
                <w:szCs w:val="19"/>
                <w:shd w:val="clear" w:fill="FFFFFF"/>
              </w:rPr>
            </w:pPr>
            <w:r>
              <w:rPr>
                <w:rFonts w:hint="eastAsia" w:eastAsia="楷体"/>
                <w:lang w:val="en-US" w:eastAsia="zh-CN"/>
              </w:rPr>
              <w:t>[25]</w:t>
            </w:r>
            <w:r>
              <w:rPr>
                <w:rFonts w:ascii="Arial" w:hAnsi="Arial" w:eastAsia="宋体" w:cs="Arial"/>
                <w:i w:val="0"/>
                <w:iCs w:val="0"/>
                <w:caps w:val="0"/>
                <w:color w:val="222222"/>
                <w:spacing w:val="0"/>
                <w:sz w:val="19"/>
                <w:szCs w:val="19"/>
                <w:shd w:val="clear" w:fill="FFFFFF"/>
              </w:rPr>
              <w:t>Seoev A, Gremyachikh L, Smirnova A, et al. The Bidding Games: Reinforcement Learning for MEV Extraction on Polygon Blockchain[J]. arXiv preprint arXiv:2510.14642, 2025.</w:t>
            </w:r>
          </w:p>
          <w:p w14:paraId="2B3939FF">
            <w:pPr>
              <w:rPr>
                <w:rFonts w:hint="default" w:ascii="Arial" w:hAnsi="Arial" w:eastAsia="宋体" w:cs="Arial"/>
                <w:i w:val="0"/>
                <w:iCs w:val="0"/>
                <w:caps w:val="0"/>
                <w:color w:val="222222"/>
                <w:spacing w:val="0"/>
                <w:sz w:val="19"/>
                <w:szCs w:val="19"/>
                <w:shd w:val="clear" w:fill="FFFFFF"/>
              </w:rPr>
            </w:pPr>
            <w:r>
              <w:rPr>
                <w:rFonts w:hint="eastAsia" w:ascii="Arial" w:hAnsi="Arial" w:cs="Arial"/>
                <w:i w:val="0"/>
                <w:iCs w:val="0"/>
                <w:caps w:val="0"/>
                <w:color w:val="222222"/>
                <w:spacing w:val="0"/>
                <w:sz w:val="19"/>
                <w:szCs w:val="19"/>
                <w:shd w:val="clear" w:fill="FFFFFF"/>
                <w:lang w:val="en-US" w:eastAsia="zh-CN"/>
              </w:rPr>
              <w:t>[26]</w:t>
            </w:r>
            <w:r>
              <w:rPr>
                <w:rFonts w:ascii="Arial" w:hAnsi="Arial" w:eastAsia="宋体" w:cs="Arial"/>
                <w:i w:val="0"/>
                <w:iCs w:val="0"/>
                <w:caps w:val="0"/>
                <w:color w:val="222222"/>
                <w:spacing w:val="0"/>
                <w:sz w:val="19"/>
                <w:szCs w:val="19"/>
                <w:shd w:val="clear" w:fill="FFFFFF"/>
              </w:rPr>
              <w:t>Xu J, Feng Y, Perez D, et al. Auto. gov: Learning-based Governance for Decentralized Finance (DeFi)[J]. IEEE Transactions on Services Computing, 2025.</w:t>
            </w:r>
          </w:p>
          <w:p w14:paraId="7D236B7B">
            <w:pPr>
              <w:rPr>
                <w:rFonts w:ascii="Arial" w:hAnsi="Arial" w:eastAsia="宋体" w:cs="Arial"/>
                <w:i w:val="0"/>
                <w:iCs w:val="0"/>
                <w:caps w:val="0"/>
                <w:color w:val="222222"/>
                <w:spacing w:val="0"/>
                <w:sz w:val="19"/>
                <w:szCs w:val="19"/>
                <w:shd w:val="clear" w:fill="FFFFFF"/>
              </w:rPr>
            </w:pPr>
            <w:r>
              <w:rPr>
                <w:rFonts w:hint="eastAsia" w:ascii="Arial" w:hAnsi="Arial" w:cs="Arial"/>
                <w:i w:val="0"/>
                <w:iCs w:val="0"/>
                <w:caps w:val="0"/>
                <w:color w:val="222222"/>
                <w:spacing w:val="0"/>
                <w:sz w:val="19"/>
                <w:szCs w:val="19"/>
                <w:shd w:val="clear" w:fill="FFFFFF"/>
                <w:lang w:val="en-US" w:eastAsia="zh-CN"/>
              </w:rPr>
              <w:t>[27]</w:t>
            </w:r>
            <w:r>
              <w:rPr>
                <w:rFonts w:ascii="Arial" w:hAnsi="Arial" w:eastAsia="宋体" w:cs="Arial"/>
                <w:i w:val="0"/>
                <w:iCs w:val="0"/>
                <w:caps w:val="0"/>
                <w:color w:val="222222"/>
                <w:spacing w:val="0"/>
                <w:sz w:val="19"/>
                <w:szCs w:val="19"/>
                <w:shd w:val="clear" w:fill="FFFFFF"/>
              </w:rPr>
              <w:t>Materwala H, Naik S M, Taha A, et al. Maximal extractable value in decentralized finance: Taxonomy, detection, and mitigation[J]. IEEE Transactions on Services Computing, 2025.</w:t>
            </w:r>
          </w:p>
          <w:p w14:paraId="3894907F">
            <w:pPr>
              <w:rPr>
                <w:rFonts w:ascii="Arial" w:hAnsi="Arial" w:eastAsia="宋体" w:cs="Arial"/>
                <w:i w:val="0"/>
                <w:iCs w:val="0"/>
                <w:caps w:val="0"/>
                <w:color w:val="222222"/>
                <w:spacing w:val="0"/>
                <w:sz w:val="19"/>
                <w:szCs w:val="19"/>
                <w:shd w:val="clear" w:fill="FFFFFF"/>
              </w:rPr>
            </w:pPr>
            <w:r>
              <w:rPr>
                <w:rFonts w:hint="eastAsia" w:ascii="Arial" w:hAnsi="Arial" w:cs="Arial"/>
                <w:i w:val="0"/>
                <w:iCs w:val="0"/>
                <w:caps w:val="0"/>
                <w:color w:val="222222"/>
                <w:spacing w:val="0"/>
                <w:sz w:val="19"/>
                <w:szCs w:val="19"/>
                <w:shd w:val="clear" w:fill="FFFFFF"/>
                <w:lang w:val="en-US" w:eastAsia="zh-CN"/>
              </w:rPr>
              <w:t>[28]</w:t>
            </w:r>
            <w:r>
              <w:rPr>
                <w:rFonts w:ascii="Arial" w:hAnsi="Arial" w:eastAsia="宋体" w:cs="Arial"/>
                <w:i w:val="0"/>
                <w:iCs w:val="0"/>
                <w:caps w:val="0"/>
                <w:color w:val="222222"/>
                <w:spacing w:val="0"/>
                <w:sz w:val="19"/>
                <w:szCs w:val="19"/>
                <w:shd w:val="clear" w:fill="FFFFFF"/>
              </w:rPr>
              <w:t>Munir S, Taha W. Statically Checking Transaction Ordering Dependency in Ethereum Smart Contracts[C]//Proceedings of the 6th ACM International Symposium on Blockchain and Secure Critical Infrastructure. 2024: 1-8.</w:t>
            </w:r>
          </w:p>
          <w:p w14:paraId="6D367A3E">
            <w:pPr>
              <w:rPr>
                <w:rFonts w:ascii="Arial" w:hAnsi="Arial" w:eastAsia="宋体" w:cs="Arial"/>
                <w:i w:val="0"/>
                <w:iCs w:val="0"/>
                <w:caps w:val="0"/>
                <w:color w:val="222222"/>
                <w:spacing w:val="0"/>
                <w:sz w:val="19"/>
                <w:szCs w:val="19"/>
                <w:shd w:val="clear" w:fill="FFFFFF"/>
              </w:rPr>
            </w:pPr>
            <w:r>
              <w:rPr>
                <w:rFonts w:hint="eastAsia" w:ascii="Arial" w:hAnsi="Arial" w:cs="Arial"/>
                <w:i w:val="0"/>
                <w:iCs w:val="0"/>
                <w:caps w:val="0"/>
                <w:color w:val="222222"/>
                <w:spacing w:val="0"/>
                <w:sz w:val="19"/>
                <w:szCs w:val="19"/>
                <w:shd w:val="clear" w:fill="FFFFFF"/>
                <w:lang w:val="en-US" w:eastAsia="zh-CN"/>
              </w:rPr>
              <w:t>[29]</w:t>
            </w:r>
            <w:r>
              <w:rPr>
                <w:rFonts w:ascii="Arial" w:hAnsi="Arial" w:eastAsia="宋体" w:cs="Arial"/>
                <w:i w:val="0"/>
                <w:iCs w:val="0"/>
                <w:caps w:val="0"/>
                <w:color w:val="222222"/>
                <w:spacing w:val="0"/>
                <w:sz w:val="19"/>
                <w:szCs w:val="19"/>
                <w:shd w:val="clear" w:fill="FFFFFF"/>
              </w:rPr>
              <w:t>Davarakis T T, Palaiokrassas G, Litke A, et al. Reinforcement learning with smart contracts on blockchains[J]. Future Generation Computer Systems, 2023, 148: 550-563.</w:t>
            </w:r>
          </w:p>
          <w:p w14:paraId="006103D7">
            <w:pPr>
              <w:rPr>
                <w:rFonts w:hint="default" w:ascii="Arial" w:hAnsi="Arial" w:eastAsia="宋体" w:cs="Arial"/>
                <w:i w:val="0"/>
                <w:iCs w:val="0"/>
                <w:caps w:val="0"/>
                <w:color w:val="222222"/>
                <w:spacing w:val="0"/>
                <w:sz w:val="19"/>
                <w:szCs w:val="19"/>
                <w:shd w:val="clear" w:fill="FFFFFF"/>
                <w:lang w:val="en-US" w:eastAsia="zh-CN"/>
              </w:rPr>
            </w:pPr>
            <w:r>
              <w:rPr>
                <w:rFonts w:hint="eastAsia" w:ascii="Arial" w:hAnsi="Arial" w:cs="Arial"/>
                <w:i w:val="0"/>
                <w:iCs w:val="0"/>
                <w:caps w:val="0"/>
                <w:color w:val="222222"/>
                <w:spacing w:val="0"/>
                <w:sz w:val="19"/>
                <w:szCs w:val="19"/>
                <w:shd w:val="clear" w:fill="FFFFFF"/>
                <w:lang w:val="en-US" w:eastAsia="zh-CN"/>
              </w:rPr>
              <w:t>[30]</w:t>
            </w:r>
            <w:r>
              <w:rPr>
                <w:rFonts w:ascii="Arial" w:hAnsi="Arial" w:eastAsia="宋体" w:cs="Arial"/>
                <w:i w:val="0"/>
                <w:iCs w:val="0"/>
                <w:caps w:val="0"/>
                <w:color w:val="222222"/>
                <w:spacing w:val="0"/>
                <w:sz w:val="19"/>
                <w:szCs w:val="19"/>
                <w:shd w:val="clear" w:fill="FFFFFF"/>
              </w:rPr>
              <w:t>Li J, Xie L, Huang H, et al. Survey on Strategic Mining in Blockchain: A Reinforcement Learning Approach[J]. arXiv preprint arXiv:2502.17307, 2025.</w:t>
            </w:r>
          </w:p>
        </w:tc>
      </w:tr>
    </w:tbl>
    <w:p w14:paraId="7483CF8B">
      <w:pPr>
        <w:spacing w:line="480" w:lineRule="auto"/>
        <w:ind w:left="113" w:right="113"/>
        <w:sectPr>
          <w:footerReference r:id="rId8" w:type="first"/>
          <w:footerReference r:id="rId7" w:type="default"/>
          <w:pgSz w:w="11906" w:h="16838"/>
          <w:pgMar w:top="1440" w:right="1531" w:bottom="1440" w:left="1531" w:header="851" w:footer="992" w:gutter="0"/>
          <w:cols w:space="720" w:num="1"/>
          <w:docGrid w:type="lines" w:linePitch="312" w:charSpace="0"/>
        </w:sectPr>
      </w:pP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3"/>
        <w:gridCol w:w="834"/>
        <w:gridCol w:w="1110"/>
        <w:gridCol w:w="1756"/>
        <w:gridCol w:w="2981"/>
        <w:gridCol w:w="1253"/>
      </w:tblGrid>
      <w:tr w14:paraId="3D918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jc w:val="center"/>
        </w:trPr>
        <w:tc>
          <w:tcPr>
            <w:tcW w:w="853" w:type="dxa"/>
            <w:vMerge w:val="restart"/>
            <w:noWrap w:val="0"/>
            <w:textDirection w:val="tbRlV"/>
            <w:vAlign w:val="top"/>
          </w:tcPr>
          <w:p w14:paraId="4DA29550">
            <w:pPr>
              <w:spacing w:line="480" w:lineRule="auto"/>
              <w:ind w:left="113" w:right="113"/>
              <w:jc w:val="distribute"/>
              <w:rPr>
                <w:rFonts w:hint="eastAsia"/>
              </w:rPr>
            </w:pPr>
            <w:r>
              <w:rPr>
                <w:rFonts w:hint="eastAsia"/>
              </w:rPr>
              <w:t>考核组成员</w:t>
            </w:r>
          </w:p>
        </w:tc>
        <w:tc>
          <w:tcPr>
            <w:tcW w:w="1944" w:type="dxa"/>
            <w:gridSpan w:val="2"/>
            <w:noWrap w:val="0"/>
            <w:vAlign w:val="center"/>
          </w:tcPr>
          <w:p w14:paraId="412834E4">
            <w:pPr>
              <w:jc w:val="center"/>
              <w:rPr>
                <w:rFonts w:hint="eastAsia"/>
              </w:rPr>
            </w:pPr>
            <w:r>
              <w:rPr>
                <w:rFonts w:hint="eastAsia"/>
              </w:rPr>
              <w:t>姓名</w:t>
            </w:r>
          </w:p>
        </w:tc>
        <w:tc>
          <w:tcPr>
            <w:tcW w:w="1756" w:type="dxa"/>
            <w:noWrap w:val="0"/>
            <w:vAlign w:val="center"/>
          </w:tcPr>
          <w:p w14:paraId="4F3C33DF">
            <w:pPr>
              <w:jc w:val="center"/>
              <w:rPr>
                <w:rFonts w:hint="eastAsia"/>
              </w:rPr>
            </w:pPr>
            <w:r>
              <w:rPr>
                <w:rFonts w:hint="eastAsia"/>
              </w:rPr>
              <w:t>职称</w:t>
            </w:r>
          </w:p>
        </w:tc>
        <w:tc>
          <w:tcPr>
            <w:tcW w:w="2981" w:type="dxa"/>
            <w:noWrap w:val="0"/>
            <w:vAlign w:val="center"/>
          </w:tcPr>
          <w:p w14:paraId="24861E7E">
            <w:pPr>
              <w:jc w:val="center"/>
              <w:rPr>
                <w:rFonts w:hint="eastAsia"/>
              </w:rPr>
            </w:pPr>
            <w:r>
              <w:rPr>
                <w:rFonts w:hint="eastAsia"/>
              </w:rPr>
              <w:t>所在单位</w:t>
            </w:r>
          </w:p>
        </w:tc>
        <w:tc>
          <w:tcPr>
            <w:tcW w:w="1253" w:type="dxa"/>
            <w:noWrap w:val="0"/>
            <w:vAlign w:val="center"/>
          </w:tcPr>
          <w:p w14:paraId="5B6C3678">
            <w:pPr>
              <w:jc w:val="center"/>
              <w:rPr>
                <w:rFonts w:hint="eastAsia"/>
              </w:rPr>
            </w:pPr>
            <w:r>
              <w:rPr>
                <w:rFonts w:hint="eastAsia"/>
              </w:rPr>
              <w:t>签字</w:t>
            </w:r>
          </w:p>
        </w:tc>
      </w:tr>
      <w:tr w14:paraId="51EA7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853" w:type="dxa"/>
            <w:vMerge w:val="continue"/>
            <w:noWrap w:val="0"/>
            <w:textDirection w:val="tbRlV"/>
            <w:vAlign w:val="top"/>
          </w:tcPr>
          <w:p w14:paraId="0E272E9E">
            <w:pPr>
              <w:spacing w:line="480" w:lineRule="auto"/>
              <w:ind w:left="113" w:right="113"/>
              <w:jc w:val="distribute"/>
              <w:rPr>
                <w:rFonts w:hint="eastAsia"/>
              </w:rPr>
            </w:pPr>
          </w:p>
        </w:tc>
        <w:tc>
          <w:tcPr>
            <w:tcW w:w="834" w:type="dxa"/>
            <w:noWrap w:val="0"/>
            <w:textDirection w:val="tbRlV"/>
            <w:vAlign w:val="center"/>
          </w:tcPr>
          <w:p w14:paraId="191FE7FB">
            <w:pPr>
              <w:ind w:left="113" w:right="113"/>
              <w:rPr>
                <w:rFonts w:hint="eastAsia"/>
              </w:rPr>
            </w:pPr>
            <w:r>
              <w:rPr>
                <w:rFonts w:hint="eastAsia"/>
              </w:rPr>
              <w:t>组长</w:t>
            </w:r>
          </w:p>
        </w:tc>
        <w:tc>
          <w:tcPr>
            <w:tcW w:w="1110" w:type="dxa"/>
            <w:noWrap w:val="0"/>
            <w:vAlign w:val="center"/>
          </w:tcPr>
          <w:p w14:paraId="3FB87006">
            <w:pPr>
              <w:jc w:val="center"/>
              <w:rPr>
                <w:rFonts w:hint="eastAsia" w:eastAsia="宋体"/>
                <w:lang w:val="en-US" w:eastAsia="zh-CN"/>
              </w:rPr>
            </w:pPr>
            <w:r>
              <w:rPr>
                <w:rFonts w:hint="eastAsia"/>
                <w:lang w:val="en-US" w:eastAsia="zh-CN"/>
              </w:rPr>
              <w:t>石凯</w:t>
            </w:r>
          </w:p>
        </w:tc>
        <w:tc>
          <w:tcPr>
            <w:tcW w:w="1756" w:type="dxa"/>
            <w:noWrap w:val="0"/>
            <w:vAlign w:val="center"/>
          </w:tcPr>
          <w:p w14:paraId="370C50B7">
            <w:pPr>
              <w:jc w:val="center"/>
              <w:rPr>
                <w:rFonts w:hint="eastAsia" w:eastAsia="宋体"/>
                <w:lang w:val="en-US" w:eastAsia="zh-CN"/>
              </w:rPr>
            </w:pPr>
            <w:r>
              <w:rPr>
                <w:rFonts w:hint="eastAsia"/>
                <w:lang w:val="en-US" w:eastAsia="zh-CN"/>
              </w:rPr>
              <w:t>副教授</w:t>
            </w:r>
          </w:p>
        </w:tc>
        <w:tc>
          <w:tcPr>
            <w:tcW w:w="2981" w:type="dxa"/>
            <w:noWrap w:val="0"/>
            <w:vAlign w:val="center"/>
          </w:tcPr>
          <w:p w14:paraId="5ADF07FE">
            <w:pPr>
              <w:jc w:val="center"/>
              <w:rPr>
                <w:rFonts w:hint="default" w:eastAsia="宋体"/>
                <w:lang w:val="en-US" w:eastAsia="zh-CN"/>
              </w:rPr>
            </w:pPr>
            <w:r>
              <w:rPr>
                <w:rFonts w:hint="eastAsia"/>
                <w:lang w:val="en-US" w:eastAsia="zh-CN"/>
              </w:rPr>
              <w:t>天津理工大学计算机科学与工程学院</w:t>
            </w:r>
          </w:p>
        </w:tc>
        <w:tc>
          <w:tcPr>
            <w:tcW w:w="1253" w:type="dxa"/>
            <w:noWrap w:val="0"/>
            <w:vAlign w:val="center"/>
          </w:tcPr>
          <w:p w14:paraId="4243956B">
            <w:pPr>
              <w:jc w:val="center"/>
              <w:rPr>
                <w:rFonts w:hint="eastAsia"/>
              </w:rPr>
            </w:pPr>
          </w:p>
        </w:tc>
      </w:tr>
      <w:tr w14:paraId="5D23E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4" w:hRule="atLeast"/>
          <w:jc w:val="center"/>
        </w:trPr>
        <w:tc>
          <w:tcPr>
            <w:tcW w:w="853" w:type="dxa"/>
            <w:vMerge w:val="continue"/>
            <w:noWrap w:val="0"/>
            <w:textDirection w:val="tbRlV"/>
            <w:vAlign w:val="top"/>
          </w:tcPr>
          <w:p w14:paraId="0A231D5E">
            <w:pPr>
              <w:spacing w:line="480" w:lineRule="auto"/>
              <w:ind w:left="113" w:right="113"/>
              <w:jc w:val="distribute"/>
              <w:rPr>
                <w:rFonts w:hint="eastAsia"/>
              </w:rPr>
            </w:pPr>
          </w:p>
        </w:tc>
        <w:tc>
          <w:tcPr>
            <w:tcW w:w="834" w:type="dxa"/>
            <w:vMerge w:val="restart"/>
            <w:noWrap w:val="0"/>
            <w:textDirection w:val="tbRlV"/>
            <w:vAlign w:val="center"/>
          </w:tcPr>
          <w:p w14:paraId="7AA764FE">
            <w:pPr>
              <w:ind w:left="113" w:right="113"/>
              <w:jc w:val="center"/>
              <w:rPr>
                <w:rFonts w:hint="eastAsia"/>
              </w:rPr>
            </w:pPr>
            <w:r>
              <w:rPr>
                <w:rFonts w:hint="eastAsia"/>
              </w:rPr>
              <w:t>成      员</w:t>
            </w:r>
          </w:p>
        </w:tc>
        <w:tc>
          <w:tcPr>
            <w:tcW w:w="1110" w:type="dxa"/>
            <w:noWrap w:val="0"/>
            <w:vAlign w:val="center"/>
          </w:tcPr>
          <w:p w14:paraId="15989104">
            <w:pPr>
              <w:jc w:val="center"/>
              <w:rPr>
                <w:rFonts w:hint="default" w:eastAsia="宋体"/>
                <w:lang w:val="en-US" w:eastAsia="zh-CN"/>
              </w:rPr>
            </w:pPr>
            <w:r>
              <w:rPr>
                <w:rFonts w:hint="eastAsia"/>
                <w:lang w:val="en-US" w:eastAsia="zh-CN"/>
              </w:rPr>
              <w:t>卜超</w:t>
            </w:r>
          </w:p>
        </w:tc>
        <w:tc>
          <w:tcPr>
            <w:tcW w:w="1756" w:type="dxa"/>
            <w:noWrap w:val="0"/>
            <w:vAlign w:val="center"/>
          </w:tcPr>
          <w:p w14:paraId="15648DF4">
            <w:pPr>
              <w:jc w:val="center"/>
              <w:rPr>
                <w:rFonts w:hint="default" w:eastAsia="宋体"/>
                <w:lang w:val="en-US" w:eastAsia="zh-CN"/>
              </w:rPr>
            </w:pPr>
            <w:r>
              <w:rPr>
                <w:rFonts w:hint="eastAsia"/>
                <w:lang w:val="en-US" w:eastAsia="zh-CN"/>
              </w:rPr>
              <w:t>副教授</w:t>
            </w:r>
          </w:p>
        </w:tc>
        <w:tc>
          <w:tcPr>
            <w:tcW w:w="2981" w:type="dxa"/>
            <w:noWrap w:val="0"/>
            <w:vAlign w:val="center"/>
          </w:tcPr>
          <w:p w14:paraId="44E58BA4">
            <w:pPr>
              <w:jc w:val="center"/>
              <w:rPr>
                <w:rFonts w:hint="eastAsia"/>
              </w:rPr>
            </w:pPr>
            <w:r>
              <w:rPr>
                <w:rFonts w:hint="eastAsia"/>
                <w:lang w:val="en-US" w:eastAsia="zh-CN"/>
              </w:rPr>
              <w:t>天津理工大学计算机科学与工程学院</w:t>
            </w:r>
          </w:p>
        </w:tc>
        <w:tc>
          <w:tcPr>
            <w:tcW w:w="1253" w:type="dxa"/>
            <w:noWrap w:val="0"/>
            <w:vAlign w:val="center"/>
          </w:tcPr>
          <w:p w14:paraId="731C4799">
            <w:pPr>
              <w:jc w:val="center"/>
              <w:rPr>
                <w:rFonts w:hint="eastAsia"/>
              </w:rPr>
            </w:pPr>
          </w:p>
        </w:tc>
      </w:tr>
      <w:tr w14:paraId="5D4D9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853" w:type="dxa"/>
            <w:vMerge w:val="continue"/>
            <w:noWrap w:val="0"/>
            <w:vAlign w:val="top"/>
          </w:tcPr>
          <w:p w14:paraId="19886193">
            <w:pPr>
              <w:rPr>
                <w:rFonts w:hint="eastAsia"/>
              </w:rPr>
            </w:pPr>
          </w:p>
        </w:tc>
        <w:tc>
          <w:tcPr>
            <w:tcW w:w="834" w:type="dxa"/>
            <w:vMerge w:val="continue"/>
            <w:noWrap w:val="0"/>
            <w:vAlign w:val="center"/>
          </w:tcPr>
          <w:p w14:paraId="3B8FC18C">
            <w:pPr>
              <w:jc w:val="center"/>
              <w:rPr>
                <w:rFonts w:hint="eastAsia"/>
              </w:rPr>
            </w:pPr>
          </w:p>
        </w:tc>
        <w:tc>
          <w:tcPr>
            <w:tcW w:w="1110" w:type="dxa"/>
            <w:noWrap w:val="0"/>
            <w:vAlign w:val="center"/>
          </w:tcPr>
          <w:p w14:paraId="21BBF932">
            <w:pPr>
              <w:jc w:val="center"/>
              <w:rPr>
                <w:rFonts w:hint="default" w:eastAsia="宋体"/>
                <w:lang w:val="en-US" w:eastAsia="zh-CN"/>
              </w:rPr>
            </w:pPr>
            <w:r>
              <w:rPr>
                <w:rFonts w:hint="eastAsia"/>
                <w:lang w:val="en-US" w:eastAsia="zh-CN"/>
              </w:rPr>
              <w:t>韩例</w:t>
            </w:r>
          </w:p>
        </w:tc>
        <w:tc>
          <w:tcPr>
            <w:tcW w:w="1756" w:type="dxa"/>
            <w:noWrap w:val="0"/>
            <w:vAlign w:val="center"/>
          </w:tcPr>
          <w:p w14:paraId="08B0C3CB">
            <w:pPr>
              <w:jc w:val="center"/>
              <w:rPr>
                <w:rFonts w:hint="eastAsia"/>
              </w:rPr>
            </w:pPr>
            <w:r>
              <w:rPr>
                <w:rFonts w:hint="eastAsia"/>
                <w:lang w:val="en-US" w:eastAsia="zh-CN"/>
              </w:rPr>
              <w:t>副教授</w:t>
            </w:r>
          </w:p>
        </w:tc>
        <w:tc>
          <w:tcPr>
            <w:tcW w:w="2981" w:type="dxa"/>
            <w:noWrap w:val="0"/>
            <w:vAlign w:val="center"/>
          </w:tcPr>
          <w:p w14:paraId="262F7A74">
            <w:pPr>
              <w:jc w:val="center"/>
              <w:rPr>
                <w:rFonts w:hint="eastAsia"/>
              </w:rPr>
            </w:pPr>
            <w:r>
              <w:rPr>
                <w:rFonts w:hint="eastAsia"/>
                <w:lang w:val="en-US" w:eastAsia="zh-CN"/>
              </w:rPr>
              <w:t>天津理工大学计算机科学与工程学院</w:t>
            </w:r>
          </w:p>
        </w:tc>
        <w:tc>
          <w:tcPr>
            <w:tcW w:w="1253" w:type="dxa"/>
            <w:noWrap w:val="0"/>
            <w:vAlign w:val="center"/>
          </w:tcPr>
          <w:p w14:paraId="5E4A8D3E">
            <w:pPr>
              <w:jc w:val="center"/>
              <w:rPr>
                <w:rFonts w:hint="eastAsia"/>
              </w:rPr>
            </w:pPr>
          </w:p>
        </w:tc>
      </w:tr>
      <w:tr w14:paraId="35ABC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853" w:type="dxa"/>
            <w:vMerge w:val="continue"/>
            <w:noWrap w:val="0"/>
            <w:vAlign w:val="top"/>
          </w:tcPr>
          <w:p w14:paraId="1CF4145E">
            <w:pPr>
              <w:rPr>
                <w:rFonts w:hint="eastAsia"/>
              </w:rPr>
            </w:pPr>
          </w:p>
        </w:tc>
        <w:tc>
          <w:tcPr>
            <w:tcW w:w="834" w:type="dxa"/>
            <w:vMerge w:val="continue"/>
            <w:noWrap w:val="0"/>
            <w:vAlign w:val="center"/>
          </w:tcPr>
          <w:p w14:paraId="1C5010C6">
            <w:pPr>
              <w:jc w:val="center"/>
              <w:rPr>
                <w:rFonts w:hint="eastAsia"/>
              </w:rPr>
            </w:pPr>
          </w:p>
        </w:tc>
        <w:tc>
          <w:tcPr>
            <w:tcW w:w="1110" w:type="dxa"/>
            <w:noWrap w:val="0"/>
            <w:vAlign w:val="center"/>
          </w:tcPr>
          <w:p w14:paraId="092B046F">
            <w:pPr>
              <w:jc w:val="center"/>
              <w:rPr>
                <w:rFonts w:hint="default" w:eastAsia="宋体"/>
                <w:lang w:val="en-US" w:eastAsia="zh-CN"/>
              </w:rPr>
            </w:pPr>
            <w:r>
              <w:rPr>
                <w:rFonts w:hint="eastAsia"/>
                <w:lang w:val="en-US" w:eastAsia="zh-CN"/>
              </w:rPr>
              <w:t>侯春燕</w:t>
            </w:r>
          </w:p>
        </w:tc>
        <w:tc>
          <w:tcPr>
            <w:tcW w:w="1756" w:type="dxa"/>
            <w:noWrap w:val="0"/>
            <w:vAlign w:val="center"/>
          </w:tcPr>
          <w:p w14:paraId="270F8A9B">
            <w:pPr>
              <w:jc w:val="center"/>
              <w:rPr>
                <w:rFonts w:hint="eastAsia"/>
              </w:rPr>
            </w:pPr>
            <w:r>
              <w:rPr>
                <w:rFonts w:hint="eastAsia"/>
                <w:lang w:val="en-US" w:eastAsia="zh-CN"/>
              </w:rPr>
              <w:t>副教授</w:t>
            </w:r>
          </w:p>
        </w:tc>
        <w:tc>
          <w:tcPr>
            <w:tcW w:w="2981" w:type="dxa"/>
            <w:noWrap w:val="0"/>
            <w:vAlign w:val="center"/>
          </w:tcPr>
          <w:p w14:paraId="47851B64">
            <w:pPr>
              <w:jc w:val="center"/>
              <w:rPr>
                <w:rFonts w:hint="eastAsia"/>
              </w:rPr>
            </w:pPr>
            <w:r>
              <w:rPr>
                <w:rFonts w:hint="eastAsia"/>
                <w:lang w:val="en-US" w:eastAsia="zh-CN"/>
              </w:rPr>
              <w:t>天津理工大学计算机科学与工程学院</w:t>
            </w:r>
          </w:p>
        </w:tc>
        <w:tc>
          <w:tcPr>
            <w:tcW w:w="1253" w:type="dxa"/>
            <w:noWrap w:val="0"/>
            <w:vAlign w:val="center"/>
          </w:tcPr>
          <w:p w14:paraId="3B167B33">
            <w:pPr>
              <w:jc w:val="center"/>
              <w:rPr>
                <w:rFonts w:hint="eastAsia"/>
              </w:rPr>
            </w:pPr>
          </w:p>
        </w:tc>
      </w:tr>
      <w:tr w14:paraId="4297B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853" w:type="dxa"/>
            <w:vMerge w:val="continue"/>
            <w:noWrap w:val="0"/>
            <w:vAlign w:val="top"/>
          </w:tcPr>
          <w:p w14:paraId="3BE694A9">
            <w:pPr>
              <w:rPr>
                <w:rFonts w:hint="eastAsia"/>
              </w:rPr>
            </w:pPr>
          </w:p>
        </w:tc>
        <w:tc>
          <w:tcPr>
            <w:tcW w:w="834" w:type="dxa"/>
            <w:vMerge w:val="continue"/>
            <w:noWrap w:val="0"/>
            <w:vAlign w:val="center"/>
          </w:tcPr>
          <w:p w14:paraId="24D58C43">
            <w:pPr>
              <w:jc w:val="center"/>
              <w:rPr>
                <w:rFonts w:hint="eastAsia"/>
              </w:rPr>
            </w:pPr>
          </w:p>
        </w:tc>
        <w:tc>
          <w:tcPr>
            <w:tcW w:w="1110" w:type="dxa"/>
            <w:noWrap w:val="0"/>
            <w:vAlign w:val="center"/>
          </w:tcPr>
          <w:p w14:paraId="1AB00C6F">
            <w:pPr>
              <w:jc w:val="center"/>
              <w:rPr>
                <w:rFonts w:hint="default" w:eastAsia="宋体"/>
                <w:lang w:val="en-US" w:eastAsia="zh-CN"/>
              </w:rPr>
            </w:pPr>
            <w:r>
              <w:rPr>
                <w:rFonts w:hint="eastAsia"/>
                <w:lang w:val="en-US" w:eastAsia="zh-CN"/>
              </w:rPr>
              <w:t>张洪豪</w:t>
            </w:r>
          </w:p>
        </w:tc>
        <w:tc>
          <w:tcPr>
            <w:tcW w:w="1756" w:type="dxa"/>
            <w:noWrap w:val="0"/>
            <w:vAlign w:val="center"/>
          </w:tcPr>
          <w:p w14:paraId="39E75B4F">
            <w:pPr>
              <w:jc w:val="center"/>
              <w:rPr>
                <w:rFonts w:hint="default" w:eastAsia="宋体"/>
                <w:lang w:val="en-US" w:eastAsia="zh-CN"/>
              </w:rPr>
            </w:pPr>
            <w:r>
              <w:rPr>
                <w:rFonts w:hint="eastAsia"/>
                <w:lang w:val="en-US" w:eastAsia="zh-CN"/>
              </w:rPr>
              <w:t>高级实验师</w:t>
            </w:r>
          </w:p>
        </w:tc>
        <w:tc>
          <w:tcPr>
            <w:tcW w:w="2981" w:type="dxa"/>
            <w:noWrap w:val="0"/>
            <w:vAlign w:val="center"/>
          </w:tcPr>
          <w:p w14:paraId="0D92F59A">
            <w:pPr>
              <w:jc w:val="center"/>
              <w:rPr>
                <w:rFonts w:hint="eastAsia"/>
              </w:rPr>
            </w:pPr>
            <w:r>
              <w:rPr>
                <w:rFonts w:hint="eastAsia"/>
                <w:lang w:val="en-US" w:eastAsia="zh-CN"/>
              </w:rPr>
              <w:t>天津理工大学计算机科学与工程学院</w:t>
            </w:r>
          </w:p>
        </w:tc>
        <w:tc>
          <w:tcPr>
            <w:tcW w:w="1253" w:type="dxa"/>
            <w:noWrap w:val="0"/>
            <w:vAlign w:val="center"/>
          </w:tcPr>
          <w:p w14:paraId="1E4216F8">
            <w:pPr>
              <w:jc w:val="center"/>
              <w:rPr>
                <w:rFonts w:hint="eastAsia"/>
              </w:rPr>
            </w:pPr>
          </w:p>
        </w:tc>
      </w:tr>
      <w:tr w14:paraId="2E0E6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853" w:type="dxa"/>
            <w:vMerge w:val="continue"/>
            <w:noWrap w:val="0"/>
            <w:vAlign w:val="top"/>
          </w:tcPr>
          <w:p w14:paraId="7017DE5B">
            <w:pPr>
              <w:rPr>
                <w:rFonts w:hint="eastAsia"/>
              </w:rPr>
            </w:pPr>
          </w:p>
        </w:tc>
        <w:tc>
          <w:tcPr>
            <w:tcW w:w="834" w:type="dxa"/>
            <w:vMerge w:val="continue"/>
            <w:noWrap w:val="0"/>
            <w:vAlign w:val="center"/>
          </w:tcPr>
          <w:p w14:paraId="3A57B50D">
            <w:pPr>
              <w:jc w:val="center"/>
              <w:rPr>
                <w:rFonts w:hint="eastAsia"/>
              </w:rPr>
            </w:pPr>
          </w:p>
        </w:tc>
        <w:tc>
          <w:tcPr>
            <w:tcW w:w="1110" w:type="dxa"/>
            <w:noWrap w:val="0"/>
            <w:vAlign w:val="center"/>
          </w:tcPr>
          <w:p w14:paraId="58394252">
            <w:pPr>
              <w:jc w:val="center"/>
              <w:rPr>
                <w:rFonts w:hint="eastAsia"/>
              </w:rPr>
            </w:pPr>
          </w:p>
        </w:tc>
        <w:tc>
          <w:tcPr>
            <w:tcW w:w="1756" w:type="dxa"/>
            <w:noWrap w:val="0"/>
            <w:vAlign w:val="center"/>
          </w:tcPr>
          <w:p w14:paraId="5B0D7189">
            <w:pPr>
              <w:jc w:val="center"/>
              <w:rPr>
                <w:rFonts w:hint="eastAsia"/>
              </w:rPr>
            </w:pPr>
          </w:p>
        </w:tc>
        <w:tc>
          <w:tcPr>
            <w:tcW w:w="2981" w:type="dxa"/>
            <w:noWrap w:val="0"/>
            <w:vAlign w:val="center"/>
          </w:tcPr>
          <w:p w14:paraId="17AF08BF">
            <w:pPr>
              <w:jc w:val="center"/>
              <w:rPr>
                <w:rFonts w:hint="eastAsia"/>
              </w:rPr>
            </w:pPr>
          </w:p>
        </w:tc>
        <w:tc>
          <w:tcPr>
            <w:tcW w:w="1253" w:type="dxa"/>
            <w:noWrap w:val="0"/>
            <w:vAlign w:val="center"/>
          </w:tcPr>
          <w:p w14:paraId="4BFD4995">
            <w:pPr>
              <w:jc w:val="center"/>
              <w:rPr>
                <w:rFonts w:hint="eastAsia"/>
              </w:rPr>
            </w:pPr>
          </w:p>
        </w:tc>
      </w:tr>
      <w:tr w14:paraId="1980F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6" w:hRule="atLeast"/>
          <w:jc w:val="center"/>
        </w:trPr>
        <w:tc>
          <w:tcPr>
            <w:tcW w:w="853" w:type="dxa"/>
            <w:vMerge w:val="restart"/>
            <w:noWrap w:val="0"/>
            <w:textDirection w:val="tbRlV"/>
            <w:vAlign w:val="top"/>
          </w:tcPr>
          <w:p w14:paraId="280B2F89">
            <w:pPr>
              <w:spacing w:line="480" w:lineRule="auto"/>
              <w:ind w:left="113" w:right="113"/>
              <w:jc w:val="distribute"/>
              <w:rPr>
                <w:rFonts w:hint="eastAsia"/>
              </w:rPr>
            </w:pPr>
            <w:r>
              <w:rPr>
                <w:rFonts w:hint="eastAsia"/>
              </w:rPr>
              <w:t>考核组评审意见</w:t>
            </w:r>
          </w:p>
        </w:tc>
        <w:tc>
          <w:tcPr>
            <w:tcW w:w="3700" w:type="dxa"/>
            <w:gridSpan w:val="3"/>
            <w:noWrap w:val="0"/>
            <w:vAlign w:val="top"/>
          </w:tcPr>
          <w:p w14:paraId="1CECB13A">
            <w:pPr>
              <w:jc w:val="left"/>
              <w:rPr>
                <w:rFonts w:hint="eastAsia"/>
              </w:rPr>
            </w:pPr>
            <w:r>
              <w:rPr>
                <w:rFonts w:hint="eastAsia"/>
              </w:rPr>
              <w:t>考核组评审内容：</w:t>
            </w:r>
          </w:p>
          <w:p w14:paraId="65A6B9D7">
            <w:pPr>
              <w:jc w:val="left"/>
              <w:rPr>
                <w:rFonts w:hint="eastAsia"/>
              </w:rPr>
            </w:pPr>
          </w:p>
          <w:p w14:paraId="7B3915C5">
            <w:pPr>
              <w:jc w:val="left"/>
              <w:rPr>
                <w:rFonts w:hint="eastAsia"/>
              </w:rPr>
            </w:pPr>
            <w:r>
              <w:rPr>
                <w:rFonts w:hint="eastAsia"/>
              </w:rPr>
              <w:t>论文选题是否具有前沿性和创新性</w:t>
            </w:r>
          </w:p>
          <w:p w14:paraId="6F16660A">
            <w:pPr>
              <w:jc w:val="left"/>
              <w:rPr>
                <w:rFonts w:hint="eastAsia"/>
              </w:rPr>
            </w:pPr>
            <w:r>
              <w:rPr>
                <w:rFonts w:hint="eastAsia"/>
              </w:rPr>
              <w:t xml:space="preserve">是 </w:t>
            </w:r>
            <w:r>
              <w:rPr>
                <w:rFonts w:hint="eastAsia" w:ascii="宋体" w:hAnsi="宋体" w:cs="宋体"/>
                <w:lang w:eastAsia="zh-CN"/>
              </w:rPr>
              <w:t>□</w:t>
            </w:r>
            <w:r>
              <w:rPr>
                <w:rFonts w:hint="eastAsia" w:ascii="宋体" w:hAnsi="宋体" w:cs="宋体"/>
              </w:rPr>
              <w:t xml:space="preserve">   否</w:t>
            </w:r>
            <w:r>
              <w:rPr>
                <w:rFonts w:hint="eastAsia"/>
              </w:rPr>
              <w:t xml:space="preserve"> </w:t>
            </w:r>
            <w:r>
              <w:rPr>
                <w:rFonts w:hint="eastAsia" w:ascii="宋体" w:hAnsi="宋体" w:cs="宋体"/>
              </w:rPr>
              <w:t>□</w:t>
            </w:r>
          </w:p>
          <w:p w14:paraId="6B65F69A">
            <w:pPr>
              <w:jc w:val="left"/>
              <w:rPr>
                <w:rFonts w:hint="eastAsia"/>
              </w:rPr>
            </w:pPr>
          </w:p>
          <w:p w14:paraId="0FA19674">
            <w:pPr>
              <w:jc w:val="left"/>
              <w:rPr>
                <w:rFonts w:hint="eastAsia"/>
              </w:rPr>
            </w:pPr>
            <w:r>
              <w:rPr>
                <w:rFonts w:hint="eastAsia"/>
              </w:rPr>
              <w:t>研究方案是否具有可行性</w:t>
            </w:r>
          </w:p>
          <w:p w14:paraId="12A81549">
            <w:pPr>
              <w:jc w:val="left"/>
              <w:rPr>
                <w:rFonts w:hint="eastAsia"/>
              </w:rPr>
            </w:pPr>
            <w:r>
              <w:rPr>
                <w:rFonts w:hint="eastAsia"/>
              </w:rPr>
              <w:t xml:space="preserve">是 </w:t>
            </w:r>
            <w:r>
              <w:rPr>
                <w:rFonts w:hint="eastAsia" w:ascii="宋体" w:hAnsi="宋体" w:cs="宋体"/>
                <w:lang w:eastAsia="zh-CN"/>
              </w:rPr>
              <w:t>□</w:t>
            </w:r>
            <w:r>
              <w:rPr>
                <w:rFonts w:hint="eastAsia" w:ascii="宋体" w:hAnsi="宋体" w:cs="宋体"/>
              </w:rPr>
              <w:t xml:space="preserve">   否</w:t>
            </w:r>
            <w:r>
              <w:rPr>
                <w:rFonts w:hint="eastAsia"/>
              </w:rPr>
              <w:t xml:space="preserve"> </w:t>
            </w:r>
            <w:r>
              <w:rPr>
                <w:rFonts w:hint="eastAsia" w:ascii="宋体" w:hAnsi="宋体" w:cs="宋体"/>
              </w:rPr>
              <w:t>□</w:t>
            </w:r>
          </w:p>
          <w:p w14:paraId="47CFEB5C">
            <w:pPr>
              <w:jc w:val="left"/>
              <w:rPr>
                <w:rFonts w:hint="eastAsia"/>
              </w:rPr>
            </w:pPr>
          </w:p>
          <w:p w14:paraId="219525B0">
            <w:pPr>
              <w:jc w:val="left"/>
              <w:rPr>
                <w:rFonts w:hint="eastAsia"/>
              </w:rPr>
            </w:pPr>
            <w:r>
              <w:rPr>
                <w:rFonts w:hint="eastAsia"/>
              </w:rPr>
              <w:t>技术路线是否具有合理性</w:t>
            </w:r>
          </w:p>
          <w:p w14:paraId="71BE1F5F">
            <w:pPr>
              <w:jc w:val="left"/>
              <w:rPr>
                <w:rFonts w:hint="eastAsia"/>
              </w:rPr>
            </w:pPr>
            <w:r>
              <w:rPr>
                <w:rFonts w:hint="eastAsia"/>
              </w:rPr>
              <w:t xml:space="preserve">是 </w:t>
            </w:r>
            <w:r>
              <w:rPr>
                <w:rFonts w:hint="eastAsia" w:ascii="宋体" w:hAnsi="宋体" w:cs="宋体"/>
                <w:lang w:eastAsia="zh-CN"/>
              </w:rPr>
              <w:t>□</w:t>
            </w:r>
            <w:r>
              <w:rPr>
                <w:rFonts w:hint="eastAsia" w:ascii="宋体" w:hAnsi="宋体" w:cs="宋体"/>
              </w:rPr>
              <w:t xml:space="preserve">   否</w:t>
            </w:r>
            <w:r>
              <w:rPr>
                <w:rFonts w:hint="eastAsia"/>
              </w:rPr>
              <w:t xml:space="preserve"> </w:t>
            </w:r>
            <w:r>
              <w:rPr>
                <w:rFonts w:hint="eastAsia" w:ascii="宋体" w:hAnsi="宋体" w:cs="宋体"/>
              </w:rPr>
              <w:t>□</w:t>
            </w:r>
          </w:p>
        </w:tc>
        <w:tc>
          <w:tcPr>
            <w:tcW w:w="4234" w:type="dxa"/>
            <w:gridSpan w:val="2"/>
            <w:noWrap w:val="0"/>
            <w:vAlign w:val="top"/>
          </w:tcPr>
          <w:p w14:paraId="3246F5B5">
            <w:pPr>
              <w:jc w:val="left"/>
              <w:rPr>
                <w:rFonts w:hint="eastAsia"/>
              </w:rPr>
            </w:pPr>
            <w:r>
              <w:rPr>
                <w:rFonts w:hint="eastAsia"/>
              </w:rPr>
              <w:t>考核组评审结果：</w:t>
            </w:r>
          </w:p>
          <w:p w14:paraId="45682C3E">
            <w:pPr>
              <w:jc w:val="center"/>
              <w:rPr>
                <w:rFonts w:hint="eastAsia"/>
              </w:rPr>
            </w:pPr>
          </w:p>
          <w:p w14:paraId="5C447AC7">
            <w:pPr>
              <w:rPr>
                <w:rFonts w:hint="eastAsia"/>
              </w:rPr>
            </w:pPr>
          </w:p>
          <w:p w14:paraId="787A7FDD">
            <w:pPr>
              <w:jc w:val="center"/>
              <w:rPr>
                <w:rFonts w:hint="eastAsia"/>
              </w:rPr>
            </w:pPr>
          </w:p>
          <w:p w14:paraId="59FD3E7A">
            <w:pPr>
              <w:jc w:val="center"/>
              <w:rPr>
                <w:rFonts w:hint="eastAsia"/>
              </w:rPr>
            </w:pPr>
            <w:r>
              <w:rPr>
                <w:rFonts w:hint="eastAsia"/>
              </w:rPr>
              <w:t xml:space="preserve">通过 </w:t>
            </w:r>
            <w:r>
              <w:rPr>
                <w:rFonts w:hint="eastAsia" w:ascii="宋体" w:hAnsi="宋体" w:cs="宋体"/>
                <w:lang w:eastAsia="zh-CN"/>
              </w:rPr>
              <w:t>□</w:t>
            </w:r>
            <w:r>
              <w:rPr>
                <w:rFonts w:hint="eastAsia" w:ascii="宋体" w:hAnsi="宋体" w:cs="宋体"/>
              </w:rPr>
              <w:t xml:space="preserve">   </w:t>
            </w:r>
            <w:r>
              <w:rPr>
                <w:rFonts w:hint="eastAsia"/>
              </w:rPr>
              <w:t xml:space="preserve">不通过 </w:t>
            </w:r>
            <w:r>
              <w:rPr>
                <w:rFonts w:hint="eastAsia" w:ascii="宋体" w:hAnsi="宋体" w:cs="宋体"/>
              </w:rPr>
              <w:t>□</w:t>
            </w:r>
          </w:p>
        </w:tc>
      </w:tr>
      <w:tr w14:paraId="581AD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9" w:hRule="atLeast"/>
          <w:jc w:val="center"/>
        </w:trPr>
        <w:tc>
          <w:tcPr>
            <w:tcW w:w="853" w:type="dxa"/>
            <w:vMerge w:val="continue"/>
            <w:noWrap w:val="0"/>
            <w:textDirection w:val="tbRlV"/>
            <w:vAlign w:val="top"/>
          </w:tcPr>
          <w:p w14:paraId="44B779FE">
            <w:pPr>
              <w:ind w:firstLine="2940" w:firstLineChars="1400"/>
            </w:pPr>
          </w:p>
        </w:tc>
        <w:tc>
          <w:tcPr>
            <w:tcW w:w="7934" w:type="dxa"/>
            <w:gridSpan w:val="5"/>
            <w:noWrap w:val="0"/>
            <w:vAlign w:val="center"/>
          </w:tcPr>
          <w:p w14:paraId="1E65377E">
            <w:pPr>
              <w:ind w:firstLine="2100" w:firstLineChars="1000"/>
              <w:rPr>
                <w:rFonts w:hint="eastAsia"/>
              </w:rPr>
            </w:pPr>
            <w:r>
              <w:rPr>
                <w:rFonts w:hint="eastAsia"/>
              </w:rPr>
              <w:t xml:space="preserve">考核组组长签字：         </w:t>
            </w:r>
            <w:r>
              <w:rPr>
                <w:rFonts w:hint="eastAsia"/>
                <w:lang w:val="en-US" w:eastAsia="zh-CN"/>
              </w:rPr>
              <w:t xml:space="preserve">           </w:t>
            </w:r>
            <w:r>
              <w:rPr>
                <w:rFonts w:hint="eastAsia"/>
              </w:rPr>
              <w:t xml:space="preserve"> 年 </w:t>
            </w:r>
            <w:r>
              <w:rPr>
                <w:rFonts w:hint="eastAsia"/>
                <w:lang w:val="en-US" w:eastAsia="zh-CN"/>
              </w:rPr>
              <w:t xml:space="preserve"> </w:t>
            </w:r>
            <w:r>
              <w:rPr>
                <w:rFonts w:hint="eastAsia"/>
              </w:rPr>
              <w:t xml:space="preserve"> </w:t>
            </w:r>
            <w:r>
              <w:rPr>
                <w:rFonts w:hint="eastAsia"/>
                <w:lang w:val="en-US" w:eastAsia="zh-CN"/>
              </w:rPr>
              <w:t xml:space="preserve"> </w:t>
            </w:r>
            <w:r>
              <w:rPr>
                <w:rFonts w:hint="eastAsia"/>
              </w:rPr>
              <w:t xml:space="preserve">月 </w:t>
            </w:r>
            <w:r>
              <w:rPr>
                <w:rFonts w:hint="eastAsia"/>
                <w:lang w:val="en-US" w:eastAsia="zh-CN"/>
              </w:rPr>
              <w:t xml:space="preserve">   </w:t>
            </w:r>
            <w:r>
              <w:rPr>
                <w:rFonts w:hint="eastAsia"/>
              </w:rPr>
              <w:t>日</w:t>
            </w:r>
          </w:p>
        </w:tc>
      </w:tr>
      <w:tr w14:paraId="7FAFB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5" w:hRule="atLeast"/>
          <w:jc w:val="center"/>
        </w:trPr>
        <w:tc>
          <w:tcPr>
            <w:tcW w:w="853" w:type="dxa"/>
            <w:noWrap w:val="0"/>
            <w:textDirection w:val="tbRlV"/>
            <w:vAlign w:val="center"/>
          </w:tcPr>
          <w:p w14:paraId="0EDDF97D">
            <w:pPr>
              <w:spacing w:line="600" w:lineRule="auto"/>
              <w:ind w:left="113" w:right="113"/>
              <w:jc w:val="distribute"/>
              <w:rPr>
                <w:rFonts w:hint="eastAsia"/>
              </w:rPr>
            </w:pPr>
            <w:r>
              <w:rPr>
                <w:rFonts w:hint="eastAsia"/>
                <w:szCs w:val="21"/>
              </w:rPr>
              <w:t>学院意见</w:t>
            </w:r>
          </w:p>
        </w:tc>
        <w:tc>
          <w:tcPr>
            <w:tcW w:w="7934" w:type="dxa"/>
            <w:gridSpan w:val="5"/>
            <w:noWrap w:val="0"/>
            <w:vAlign w:val="top"/>
          </w:tcPr>
          <w:p w14:paraId="20E038FC">
            <w:pPr>
              <w:rPr>
                <w:rFonts w:hint="eastAsia"/>
              </w:rPr>
            </w:pPr>
          </w:p>
          <w:p w14:paraId="0AE53DDF">
            <w:pPr>
              <w:rPr>
                <w:rFonts w:hint="eastAsia"/>
              </w:rPr>
            </w:pPr>
          </w:p>
          <w:p w14:paraId="24A6015F">
            <w:pPr>
              <w:rPr>
                <w:rFonts w:hint="eastAsia"/>
              </w:rPr>
            </w:pPr>
          </w:p>
          <w:p w14:paraId="62F53CE8">
            <w:pPr>
              <w:rPr>
                <w:rFonts w:hint="eastAsia"/>
              </w:rPr>
            </w:pPr>
          </w:p>
          <w:p w14:paraId="113D8DAC">
            <w:pPr>
              <w:rPr>
                <w:rFonts w:hint="eastAsia"/>
              </w:rPr>
            </w:pPr>
          </w:p>
          <w:p w14:paraId="46C905BB">
            <w:pPr>
              <w:rPr>
                <w:rFonts w:hint="eastAsia"/>
              </w:rPr>
            </w:pPr>
          </w:p>
          <w:p w14:paraId="02AC813F">
            <w:pPr>
              <w:ind w:firstLine="1365" w:firstLineChars="650"/>
              <w:rPr>
                <w:rFonts w:hint="eastAsia"/>
              </w:rPr>
            </w:pPr>
          </w:p>
          <w:p w14:paraId="5B625AB3">
            <w:pPr>
              <w:rPr>
                <w:rFonts w:hint="eastAsia"/>
              </w:rPr>
            </w:pPr>
            <w:r>
              <w:rPr>
                <w:rFonts w:hint="eastAsia"/>
              </w:rPr>
              <w:t xml:space="preserve">                   主管领导签章：          公章          年    月    日</w:t>
            </w:r>
          </w:p>
          <w:p w14:paraId="48BCEA5D">
            <w:pPr>
              <w:rPr>
                <w:rFonts w:hint="eastAsia"/>
              </w:rPr>
            </w:pPr>
          </w:p>
        </w:tc>
      </w:tr>
    </w:tbl>
    <w:p w14:paraId="7623DD63">
      <w:pPr>
        <w:adjustRightInd w:val="0"/>
        <w:snapToGrid w:val="0"/>
        <w:jc w:val="left"/>
        <w:rPr>
          <w:rFonts w:hint="eastAsia"/>
          <w:szCs w:val="21"/>
        </w:rPr>
      </w:pPr>
      <w:r>
        <w:rPr>
          <w:rFonts w:hint="eastAsia"/>
          <w:szCs w:val="21"/>
        </w:rPr>
        <w:t>注：1. 导师不得担任本人指导研究生的考核组组长。 2. 本表一式两份，学院留存归档。</w:t>
      </w:r>
    </w:p>
    <w:p w14:paraId="3323BC15"/>
    <w:sectPr>
      <w:footerReference r:id="rId9" w:type="default"/>
      <w:pgSz w:w="11906" w:h="16838"/>
      <w:pgMar w:top="1440" w:right="1531" w:bottom="1440" w:left="153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03D36">
    <w:pPr>
      <w:pStyle w:val="2"/>
    </w:pPr>
    <w:r>
      <w:rPr>
        <w:rFonts w:hint="eastAsia"/>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9058C">
    <w:pPr>
      <w:pStyle w:val="2"/>
      <w:framePr w:wrap="around" w:vAnchor="text" w:hAnchor="margin" w:xAlign="center" w:y="1"/>
      <w:rPr>
        <w:rStyle w:val="6"/>
      </w:rPr>
    </w:pPr>
    <w:r>
      <w:fldChar w:fldCharType="begin"/>
    </w:r>
    <w:r>
      <w:rPr>
        <w:rStyle w:val="6"/>
      </w:rPr>
      <w:instrText xml:space="preserve">PAGE  </w:instrText>
    </w:r>
    <w:r>
      <w:fldChar w:fldCharType="end"/>
    </w:r>
  </w:p>
  <w:p w14:paraId="11068A6D">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F0134">
    <w:pPr>
      <w:pStyle w:val="2"/>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926101232" name="文本框 1"/>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5D08A2D5">
                          <w:pPr>
                            <w:pStyle w:val="2"/>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vert="horz" wrap="none" lIns="0" tIns="0" rIns="0" bIns="0" anchor="t" anchorCtr="0" upright="1">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M6pebnPAAAABQEAAA8AAAAAAAAAAQAgAAAAIgAAAGRycy9k&#10;b3ducmV2LnhtbFBLAQIUABQAAAAIAIdO4kDkNw7yCwIAAA0EAAAOAAAAAAAAAAEAIAAAAB4BAABk&#10;cnMvZTJvRG9jLnhtbFBLBQYAAAAABgAGAFkBAACbBQAAAAA=&#10;">
              <v:fill on="f" focussize="0,0"/>
              <v:stroke on="f"/>
              <v:imagedata o:title=""/>
              <o:lock v:ext="edit" aspectratio="f"/>
              <v:textbox inset="0mm,0mm,0mm,0mm" style="mso-fit-shape-to-text:t;">
                <w:txbxContent>
                  <w:p w14:paraId="5D08A2D5">
                    <w:pPr>
                      <w:pStyle w:val="2"/>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r>
      <w:rPr>
        <w:rFonts w:hint="eastAsia"/>
      </w:rPr>
      <w:t>11</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A7593">
    <w:pPr>
      <w:pStyle w:val="2"/>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57785" cy="131445"/>
              <wp:effectExtent l="0" t="0" r="0" b="0"/>
              <wp:wrapNone/>
              <wp:docPr id="76247339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wps:spPr>
                    <wps:txbx>
                      <w:txbxContent>
                        <w:p w14:paraId="6C171510">
                          <w:pPr>
                            <w:pStyle w:val="2"/>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rot="0" vert="horz" wrap="none" lIns="0" tIns="0" rIns="0" bIns="0" anchor="t" anchorCtr="0" upright="1">
                      <a:spAutoFit/>
                    </wps:bodyPr>
                  </wps:wsp>
                </a:graphicData>
              </a:graphic>
            </wp:anchor>
          </w:drawing>
        </mc:Choice>
        <mc:Fallback>
          <w:pict>
            <v:shape id="文本框 2" o:spid="_x0000_s1026" o:spt="202" type="#_x0000_t202" style="position:absolute;left:0pt;margin-top:0pt;height:10.35pt;width:4.55pt;mso-position-horizontal:center;mso-position-horizontal-relative:margin;mso-wrap-style:none;z-index:251661312;mso-width-relative:page;mso-height-relative:page;" filled="f" stroked="f" coordsize="21600,21600" o:gfxdata="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z4vdRNAAAAACAQAADwAAAAAAAAABACAAAAAi&#10;AAAAZHJzL2Rvd25yZXYueG1sUEsBAhQAFAAAAAgAh07iQJXmvnESAgAACQQAAA4AAAAAAAAAAQAg&#10;AAAAHwEAAGRycy9lMm9Eb2MueG1sUEsFBgAAAAAGAAYAWQEAAKMFAAAAAA==&#10;">
              <v:fill on="f" focussize="0,0"/>
              <v:stroke on="f"/>
              <v:imagedata o:title=""/>
              <o:lock v:ext="edit" aspectratio="f"/>
              <v:textbox inset="0mm,0mm,0mm,0mm" style="mso-fit-shape-to-text:t;">
                <w:txbxContent>
                  <w:p w14:paraId="6C171510">
                    <w:pPr>
                      <w:pStyle w:val="2"/>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1F179A">
    <w:pPr>
      <w:pStyle w:val="2"/>
      <w:jc w:val="center"/>
    </w:pPr>
    <w:r>
      <mc:AlternateContent>
        <mc:Choice Requires="wps">
          <w:drawing>
            <wp:anchor distT="0" distB="0" distL="114300" distR="114300" simplePos="0" relativeHeight="251662336" behindDoc="0" locked="0" layoutInCell="1" allowOverlap="1">
              <wp:simplePos x="0" y="0"/>
              <wp:positionH relativeFrom="margin">
                <wp:posOffset>2505075</wp:posOffset>
              </wp:positionH>
              <wp:positionV relativeFrom="paragraph">
                <wp:posOffset>255905</wp:posOffset>
              </wp:positionV>
              <wp:extent cx="57785" cy="131445"/>
              <wp:effectExtent l="0" t="0" r="0" b="0"/>
              <wp:wrapNone/>
              <wp:docPr id="319191614" name="文本框 3"/>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wps:spPr>
                    <wps:txbx>
                      <w:txbxContent>
                        <w:p w14:paraId="47623023">
                          <w:pPr>
                            <w:pStyle w:val="2"/>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wps:txbx>
                    <wps:bodyPr rot="0" vert="horz" wrap="none" lIns="0" tIns="0" rIns="0" bIns="0" anchor="t" anchorCtr="0" upright="1">
                      <a:spAutoFit/>
                    </wps:bodyPr>
                  </wps:wsp>
                </a:graphicData>
              </a:graphic>
            </wp:anchor>
          </w:drawing>
        </mc:Choice>
        <mc:Fallback>
          <w:pict>
            <v:shape id="文本框 3" o:spid="_x0000_s1026" o:spt="202" type="#_x0000_t202" style="position:absolute;left:0pt;margin-left:197.25pt;margin-top:20.15pt;height:10.35pt;width:4.55pt;mso-position-horizontal-relative:margin;mso-wrap-style:none;z-index:251662336;mso-width-relative:page;mso-height-relative:page;" filled="f" stroked="f" coordsize="21600,21600" o:gfxdata="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NeOMO1gAAAAkBAAAPAAAAAAAAAAEA&#10;IAAAACIAAABkcnMvZG93bnJldi54bWxQSwECFAAUAAAACACHTuJAYXV0LRECAAAJBAAADgAAAAAA&#10;AAABACAAAAAlAQAAZHJzL2Uyb0RvYy54bWxQSwUGAAAAAAYABgBZAQAAqAUAAAAA&#10;">
              <v:fill on="f" focussize="0,0"/>
              <v:stroke on="f"/>
              <v:imagedata o:title=""/>
              <o:lock v:ext="edit" aspectratio="f"/>
              <v:textbox inset="0mm,0mm,0mm,0mm" style="mso-fit-shape-to-text:t;">
                <w:txbxContent>
                  <w:p w14:paraId="47623023">
                    <w:pPr>
                      <w:pStyle w:val="2"/>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0017D">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9915208" name="文本框 4"/>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7B7E8DBA">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rot="0" vert="horz" wrap="none" lIns="0" tIns="0" rIns="0" bIns="0" anchor="t" anchorCtr="0" upright="1">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OqXm5zwAAAAUBAAAPAAAAAAAAAAEAIAAAACIAAABkcnMv&#10;ZG93bnJldi54bWxQSwECFAAUAAAACACHTuJAtnzOFwwCAAALBAAADgAAAAAAAAABACAAAAAeAQAA&#10;ZHJzL2Uyb0RvYy54bWxQSwUGAAAAAAYABgBZAQAAnAUAAAAA&#10;">
              <v:fill on="f" focussize="0,0"/>
              <v:stroke on="f"/>
              <v:imagedata o:title=""/>
              <o:lock v:ext="edit" aspectratio="f"/>
              <v:textbox inset="0mm,0mm,0mm,0mm" style="mso-fit-shape-to-text:t;">
                <w:txbxContent>
                  <w:p w14:paraId="7B7E8DBA">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07A6D">
    <w:pPr>
      <w:pStyle w:val="2"/>
      <w:jc w:val="center"/>
    </w:pPr>
    <w:r>
      <mc:AlternateContent>
        <mc:Choice Requires="wps">
          <w:drawing>
            <wp:anchor distT="0" distB="0" distL="114300" distR="114300" simplePos="0" relativeHeight="251660288" behindDoc="0" locked="0" layoutInCell="1" allowOverlap="1">
              <wp:simplePos x="0" y="0"/>
              <wp:positionH relativeFrom="margin">
                <wp:posOffset>2719070</wp:posOffset>
              </wp:positionH>
              <wp:positionV relativeFrom="paragraph">
                <wp:posOffset>136525</wp:posOffset>
              </wp:positionV>
              <wp:extent cx="57785" cy="131445"/>
              <wp:effectExtent l="0" t="0" r="0" b="0"/>
              <wp:wrapNone/>
              <wp:docPr id="1530111036" name="文本框 5"/>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wps:spPr>
                    <wps:txbx>
                      <w:txbxContent>
                        <w:p w14:paraId="09C62D37">
                          <w:pPr>
                            <w:pStyle w:val="2"/>
                            <w:jc w:val="both"/>
                          </w:pPr>
                          <w:r>
                            <w:rPr>
                              <w:rFonts w:hint="eastAsia"/>
                            </w:rPr>
                            <w:fldChar w:fldCharType="begin"/>
                          </w:r>
                          <w:r>
                            <w:rPr>
                              <w:rFonts w:hint="eastAsia"/>
                            </w:rPr>
                            <w:instrText xml:space="preserve"> PAGE  \* MERGEFORMAT </w:instrText>
                          </w:r>
                          <w:r>
                            <w:rPr>
                              <w:rFonts w:hint="eastAsia"/>
                            </w:rPr>
                            <w:fldChar w:fldCharType="separate"/>
                          </w:r>
                          <w:r>
                            <w:t>3</w:t>
                          </w:r>
                          <w:r>
                            <w:rPr>
                              <w:rFonts w:hint="eastAsia"/>
                            </w:rPr>
                            <w:fldChar w:fldCharType="end"/>
                          </w:r>
                        </w:p>
                      </w:txbxContent>
                    </wps:txbx>
                    <wps:bodyPr rot="0" vert="horz" wrap="none" lIns="0" tIns="0" rIns="0" bIns="0" anchor="t" anchorCtr="0" upright="1">
                      <a:spAutoFit/>
                    </wps:bodyPr>
                  </wps:wsp>
                </a:graphicData>
              </a:graphic>
            </wp:anchor>
          </w:drawing>
        </mc:Choice>
        <mc:Fallback>
          <w:pict>
            <v:shape id="文本框 5" o:spid="_x0000_s1026" o:spt="202" type="#_x0000_t202" style="position:absolute;left:0pt;margin-left:214.1pt;margin-top:10.75pt;height:10.35pt;width:4.55pt;mso-position-horizontal-relative:margin;mso-wrap-style:none;z-index:251660288;mso-width-relative:page;mso-height-relative:page;" filled="f" stroked="f" coordsize="21600,21600" o:gfxdata="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JUk12vVAAAACQEAAA8AAAAAAAAAAQAg&#10;AAAAIgAAAGRycy9kb3ducmV2LnhtbFBLAQIUABQAAAAIAIdO4kAaapdYEQIAAAoEAAAOAAAAAAAA&#10;AAEAIAAAACQBAABkcnMvZTJvRG9jLnhtbFBLBQYAAAAABgAGAFkBAACnBQAAAAA=&#10;">
              <v:fill on="f" focussize="0,0"/>
              <v:stroke on="f"/>
              <v:imagedata o:title=""/>
              <o:lock v:ext="edit" aspectratio="f"/>
              <v:textbox inset="0mm,0mm,0mm,0mm" style="mso-fit-shape-to-text:t;">
                <w:txbxContent>
                  <w:p w14:paraId="09C62D37">
                    <w:pPr>
                      <w:pStyle w:val="2"/>
                      <w:jc w:val="both"/>
                    </w:pPr>
                    <w:r>
                      <w:rPr>
                        <w:rFonts w:hint="eastAsia"/>
                      </w:rPr>
                      <w:fldChar w:fldCharType="begin"/>
                    </w:r>
                    <w:r>
                      <w:rPr>
                        <w:rFonts w:hint="eastAsia"/>
                      </w:rPr>
                      <w:instrText xml:space="preserve"> PAGE  \* MERGEFORMAT </w:instrText>
                    </w:r>
                    <w:r>
                      <w:rPr>
                        <w:rFonts w:hint="eastAsia"/>
                      </w:rPr>
                      <w:fldChar w:fldCharType="separate"/>
                    </w:r>
                    <w:r>
                      <w:t>3</w:t>
                    </w:r>
                    <w:r>
                      <w:rPr>
                        <w:rFonts w:hint="eastAsia"/>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699DB4"/>
    <w:multiLevelType w:val="singleLevel"/>
    <w:tmpl w:val="26699DB4"/>
    <w:lvl w:ilvl="0" w:tentative="0">
      <w:start w:val="1"/>
      <w:numFmt w:val="chineseCounting"/>
      <w:suff w:val="nothing"/>
      <w:lvlText w:val="（%1）"/>
      <w:lvlJc w:val="left"/>
      <w:pPr>
        <w:ind w:left="0" w:firstLine="420"/>
      </w:pPr>
      <w:rPr>
        <w:rFonts w:hint="eastAsia"/>
        <w:lang w:val="en-US"/>
      </w:rPr>
    </w:lvl>
  </w:abstractNum>
  <w:abstractNum w:abstractNumId="1">
    <w:nsid w:val="41CEC0E9"/>
    <w:multiLevelType w:val="singleLevel"/>
    <w:tmpl w:val="41CEC0E9"/>
    <w:lvl w:ilvl="0" w:tentative="0">
      <w:start w:val="2"/>
      <w:numFmt w:val="decimal"/>
      <w:lvlText w:val="(%1)"/>
      <w:lvlJc w:val="left"/>
      <w:pPr>
        <w:tabs>
          <w:tab w:val="left" w:pos="312"/>
        </w:tabs>
      </w:pPr>
    </w:lvl>
  </w:abstractNum>
  <w:abstractNum w:abstractNumId="2">
    <w:nsid w:val="58E6F9F5"/>
    <w:multiLevelType w:val="singleLevel"/>
    <w:tmpl w:val="58E6F9F5"/>
    <w:lvl w:ilvl="0" w:tentative="0">
      <w:start w:val="1"/>
      <w:numFmt w:val="decimal"/>
      <w:suff w:val="nothing"/>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104"/>
    <w:rsid w:val="000221D5"/>
    <w:rsid w:val="000C7F4A"/>
    <w:rsid w:val="00105C78"/>
    <w:rsid w:val="00112104"/>
    <w:rsid w:val="001214E2"/>
    <w:rsid w:val="0016045D"/>
    <w:rsid w:val="001618C0"/>
    <w:rsid w:val="001B1AFE"/>
    <w:rsid w:val="00222CF1"/>
    <w:rsid w:val="002275DE"/>
    <w:rsid w:val="00233A1D"/>
    <w:rsid w:val="002C2BCA"/>
    <w:rsid w:val="003069A2"/>
    <w:rsid w:val="00322AF5"/>
    <w:rsid w:val="00372579"/>
    <w:rsid w:val="00382F93"/>
    <w:rsid w:val="003A2167"/>
    <w:rsid w:val="004118E2"/>
    <w:rsid w:val="004166F6"/>
    <w:rsid w:val="00452287"/>
    <w:rsid w:val="00475603"/>
    <w:rsid w:val="004935A4"/>
    <w:rsid w:val="0049739F"/>
    <w:rsid w:val="004D0CEF"/>
    <w:rsid w:val="004D1F6F"/>
    <w:rsid w:val="004F3899"/>
    <w:rsid w:val="00545700"/>
    <w:rsid w:val="00590B82"/>
    <w:rsid w:val="005B77DB"/>
    <w:rsid w:val="005D6703"/>
    <w:rsid w:val="005F6CFD"/>
    <w:rsid w:val="00603B64"/>
    <w:rsid w:val="00674F0E"/>
    <w:rsid w:val="00682334"/>
    <w:rsid w:val="006A1356"/>
    <w:rsid w:val="006C5B60"/>
    <w:rsid w:val="00751ADF"/>
    <w:rsid w:val="007634CC"/>
    <w:rsid w:val="00801230"/>
    <w:rsid w:val="00810EED"/>
    <w:rsid w:val="008618CD"/>
    <w:rsid w:val="00870FF8"/>
    <w:rsid w:val="0095327D"/>
    <w:rsid w:val="00977EBD"/>
    <w:rsid w:val="00982E5F"/>
    <w:rsid w:val="009B4F1E"/>
    <w:rsid w:val="00A37C91"/>
    <w:rsid w:val="00A9798D"/>
    <w:rsid w:val="00AD2345"/>
    <w:rsid w:val="00AD453F"/>
    <w:rsid w:val="00B57AC8"/>
    <w:rsid w:val="00B84A72"/>
    <w:rsid w:val="00B90233"/>
    <w:rsid w:val="00BA382F"/>
    <w:rsid w:val="00BE1AC7"/>
    <w:rsid w:val="00C15C83"/>
    <w:rsid w:val="00CA1963"/>
    <w:rsid w:val="00CF2798"/>
    <w:rsid w:val="00D174AE"/>
    <w:rsid w:val="00D658A1"/>
    <w:rsid w:val="00DB2724"/>
    <w:rsid w:val="00DE7716"/>
    <w:rsid w:val="00E010DB"/>
    <w:rsid w:val="00E35154"/>
    <w:rsid w:val="00E37669"/>
    <w:rsid w:val="00E40790"/>
    <w:rsid w:val="00E42E2F"/>
    <w:rsid w:val="00EF2DA9"/>
    <w:rsid w:val="00F25C79"/>
    <w:rsid w:val="00F87547"/>
    <w:rsid w:val="0B442C40"/>
    <w:rsid w:val="2BBA65F2"/>
    <w:rsid w:val="2BC96EC4"/>
    <w:rsid w:val="2C7E1F1A"/>
    <w:rsid w:val="33863895"/>
    <w:rsid w:val="36007C57"/>
    <w:rsid w:val="3F9B788F"/>
    <w:rsid w:val="5D5F6439"/>
    <w:rsid w:val="5EF77271"/>
    <w:rsid w:val="7BD951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14:ligatures w14:val="none"/>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0"/>
    <w:pPr>
      <w:tabs>
        <w:tab w:val="center" w:pos="4153"/>
        <w:tab w:val="right" w:pos="8306"/>
      </w:tabs>
      <w:snapToGrid w:val="0"/>
      <w:jc w:val="left"/>
    </w:pPr>
    <w:rPr>
      <w:sz w:val="18"/>
      <w:szCs w:val="18"/>
    </w:rPr>
  </w:style>
  <w:style w:type="paragraph" w:styleId="3">
    <w:name w:val="header"/>
    <w:basedOn w:val="1"/>
    <w:link w:val="8"/>
    <w:unhideWhenUsed/>
    <w:qFormat/>
    <w:uiPriority w:val="99"/>
    <w:pPr>
      <w:tabs>
        <w:tab w:val="center" w:pos="4153"/>
        <w:tab w:val="right" w:pos="8306"/>
      </w:tabs>
      <w:snapToGrid w:val="0"/>
      <w:jc w:val="center"/>
    </w:pPr>
    <w:rPr>
      <w:sz w:val="18"/>
      <w:szCs w:val="18"/>
    </w:rPr>
  </w:style>
  <w:style w:type="character" w:styleId="6">
    <w:name w:val="page number"/>
    <w:basedOn w:val="5"/>
    <w:qFormat/>
    <w:uiPriority w:val="0"/>
  </w:style>
  <w:style w:type="character" w:styleId="7">
    <w:name w:val="Emphasis"/>
    <w:basedOn w:val="5"/>
    <w:qFormat/>
    <w:uiPriority w:val="20"/>
    <w:rPr>
      <w:i/>
    </w:rPr>
  </w:style>
  <w:style w:type="character" w:customStyle="1" w:styleId="8">
    <w:name w:val="页眉 字符"/>
    <w:basedOn w:val="5"/>
    <w:link w:val="3"/>
    <w:qFormat/>
    <w:uiPriority w:val="99"/>
    <w:rPr>
      <w:sz w:val="18"/>
      <w:szCs w:val="18"/>
    </w:rPr>
  </w:style>
  <w:style w:type="character" w:customStyle="1" w:styleId="9">
    <w:name w:val="页脚 字符"/>
    <w:basedOn w:val="5"/>
    <w:link w:val="2"/>
    <w:qFormat/>
    <w:uiPriority w:val="99"/>
    <w:rPr>
      <w:sz w:val="18"/>
      <w:szCs w:val="18"/>
    </w:rPr>
  </w:style>
  <w:style w:type="paragraph" w:styleId="10">
    <w:name w:val="List Paragraph"/>
    <w:basedOn w:val="1"/>
    <w:qFormat/>
    <w:uiPriority w:val="34"/>
    <w:pPr>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2.wmf"/><Relationship Id="rId13" Type="http://schemas.openxmlformats.org/officeDocument/2006/relationships/oleObject" Target="embeddings/oleObject2.bin"/><Relationship Id="rId12" Type="http://schemas.openxmlformats.org/officeDocument/2006/relationships/image" Target="media/image1.wmf"/><Relationship Id="rId11" Type="http://schemas.openxmlformats.org/officeDocument/2006/relationships/oleObject" Target="embeddings/oleObject1.bin"/><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3988</Words>
  <Characters>7981</Characters>
  <Lines>391</Lines>
  <Paragraphs>434</Paragraphs>
  <TotalTime>0</TotalTime>
  <ScaleCrop>false</ScaleCrop>
  <LinksUpToDate>false</LinksUpToDate>
  <CharactersWithSpaces>8970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2024-11-07T02:42:00Z</dcterms:created>
  <dc:creator>培名 王</dc:creator>
  <cp:lastModifiedBy>Khalil</cp:lastModifiedBy>
  <dcterms:modified xsi:type="dcterms:W3CDTF">2026-03-06T09:42:34Z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eyJoZGlkIjoiNjYyYjczOTJhMGQzOWUzZWY3M2U3ZmE2Y2RjYjNiOWMifQ==</vt:lpwstr>
  </property>
  <property fmtid="{D5CDD505-2E9C-101B-9397-08002B2CF9AE}" pid="3" name="KSOProductBuildVer">
    <vt:lpwstr>2052-12.1.0.25225</vt:lpwstr>
  </property>
  <property fmtid="{D5CDD505-2E9C-101B-9397-08002B2CF9AE}" pid="4" name="ICV">
    <vt:lpwstr>0C419EC5FBD24379AFACC2D322739CA1_13</vt:lpwstr>
  </property>
</Properties>
</file>