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widowControl/>
        <w:jc w:val="center"/>
      </w:pPr>
      <w:r>
        <w:rPr>
          <w:rFonts w:ascii="Aptos Display" w:hAnsi="Aptos Display"/>
          <w:b/>
          <w:color w:val="123E5E"/>
          <w:sz w:val="60"/>
        </w:rPr>
        <w:t>BIBLE DE RÉFÉRENCE</w:t>
      </w:r>
    </w:p>
    <w:p>
      <w:pPr>
        <w:widowControl/>
        <w:jc w:val="center"/>
      </w:pPr>
      <w:r>
        <w:rPr>
          <w:rFonts w:ascii="Aptos Display" w:hAnsi="Aptos Display"/>
          <w:b/>
          <w:color w:val="166378"/>
          <w:sz w:val="42"/>
        </w:rPr>
        <w:t>NIGERIA — OPCVM / COLLECTIVE INVESTMENT SCHEMES</w:t>
      </w:r>
    </w:p>
    <w:p>
      <w:pPr>
        <w:widowControl/>
        <w:jc w:val="center"/>
      </w:pPr>
      <w:r>
        <w:rPr>
          <w:rFonts w:ascii="Aptos" w:hAnsi="Aptos"/>
          <w:color w:val="464646"/>
          <w:sz w:val="24"/>
        </w:rPr>
        <w:t>SEC Nigeria · Extraction historique · Reconstruction juridique · Recherche documentaire · Harmonisation · Intégration ProAfricaFund</w:t>
      </w:r>
    </w:p>
    <w:p>
      <w:pPr>
        <w:widowControl/>
      </w:pPr>
    </w:p>
    <w:tbl>
      <w:tblPr>
        <w:tblW w:type="auto" w:w="0"/>
        <w:jc w:val="center"/>
        <w:tblLayout w:type="autofit"/>
        <w:tblLook w:firstColumn="1" w:firstRow="1" w:lastColumn="0" w:lastRow="0" w:noHBand="0" w:noVBand="1" w:val="04A0"/>
      </w:tblPr>
      <w:tblGrid>
        <w:gridCol w:w="10200"/>
      </w:tblGrid>
      <w:tr>
        <w:tc>
          <w:tcPr>
            <w:tcW w:type="dxa" w:w="10200"/>
            <w:shd w:fill="E8F5E9"/>
            <w:tcMar>
              <w:top w:w="140" w:type="dxa"/>
              <w:start w:w="150" w:type="dxa"/>
              <w:bottom w:w="140" w:type="dxa"/>
              <w:end w:w="150" w:type="dxa"/>
            </w:tcMar>
          </w:tcPr>
          <w:p>
            <w:r>
              <w:rPr>
                <w:rFonts w:ascii="Aptos" w:hAnsi="Aptos"/>
                <w:b/>
                <w:color w:val="123E5E"/>
                <w:sz w:val="18"/>
              </w:rPr>
              <w:t xml:space="preserve">Finalité — </w:t>
            </w:r>
            <w:r>
              <w:rPr>
                <w:rFonts w:ascii="Aptos" w:hAnsi="Aptos"/>
                <w:sz w:val="18"/>
              </w:rPr>
              <w:t>Fournir une source de vérité méthodologique permettant à un analyste, un développeur ou un agent IA de reconstruire l'histoire complète des fonds nigérians, de préserver toutes les mesures publiées, d'expliquer chaque décision et d'intégrer les résultats sans régression.</w:t>
            </w:r>
          </w:p>
        </w:tc>
      </w:tr>
    </w:tbl>
    <w:p>
      <w:pPr>
        <w:widowControl/>
        <w:spacing w:after="0"/>
      </w:pP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268"/>
            <w:shd w:fill="D9EAF2"/>
            <w:tcMar>
              <w:top w:w="70" w:type="dxa"/>
              <w:start w:w="70" w:type="dxa"/>
              <w:bottom w:w="70" w:type="dxa"/>
              <w:end w:w="70" w:type="dxa"/>
            </w:tcMar>
            <w:vAlign w:val="center"/>
          </w:tcPr>
          <w:p>
            <w:r/>
            <w:r>
              <w:rPr>
                <w:rFonts w:ascii="Aptos" w:hAnsi="Aptos"/>
                <w:b/>
                <w:color w:val="123E5E"/>
                <w:sz w:val="16"/>
              </w:rPr>
              <w:t>Métadonnée</w:t>
            </w:r>
          </w:p>
        </w:tc>
        <w:tc>
          <w:tcPr>
            <w:tcW w:type="dxa" w:w="7087"/>
            <w:shd w:fill="D9EAF2"/>
            <w:tcMar>
              <w:top w:w="70" w:type="dxa"/>
              <w:start w:w="70" w:type="dxa"/>
              <w:bottom w:w="70" w:type="dxa"/>
              <w:end w:w="70" w:type="dxa"/>
            </w:tcMar>
            <w:vAlign w:val="center"/>
          </w:tcPr>
          <w:p>
            <w:r/>
            <w:r>
              <w:rPr>
                <w:rFonts w:ascii="Aptos" w:hAnsi="Aptos"/>
                <w:b/>
                <w:color w:val="123E5E"/>
                <w:sz w:val="16"/>
              </w:rPr>
              <w:t>Valeur</w:t>
            </w:r>
          </w:p>
        </w:tc>
      </w:tr>
      <w:tr>
        <w:tc>
          <w:tcPr>
            <w:tcW w:type="dxa" w:w="2268"/>
            <w:tcMar>
              <w:top w:w="60" w:type="dxa"/>
              <w:start w:w="60" w:type="dxa"/>
              <w:bottom w:w="60" w:type="dxa"/>
              <w:end w:w="60" w:type="dxa"/>
            </w:tcMar>
            <w:vAlign w:val="top"/>
          </w:tcPr>
          <w:p>
            <w:r/>
            <w:r>
              <w:rPr>
                <w:rFonts w:ascii="Aptos" w:hAnsi="Aptos"/>
                <w:sz w:val="16"/>
              </w:rPr>
              <w:t>Version</w:t>
            </w:r>
          </w:p>
        </w:tc>
        <w:tc>
          <w:tcPr>
            <w:tcW w:type="dxa" w:w="7087"/>
            <w:tcMar>
              <w:top w:w="60" w:type="dxa"/>
              <w:start w:w="60" w:type="dxa"/>
              <w:bottom w:w="60" w:type="dxa"/>
              <w:end w:w="60" w:type="dxa"/>
            </w:tcMar>
            <w:vAlign w:val="top"/>
          </w:tcPr>
          <w:p>
            <w:r>
              <w:t>2.0 — édition de recherche web approfondie</w:t>
            </w:r>
          </w:p>
        </w:tc>
      </w:tr>
      <w:tr>
        <w:tc>
          <w:tcPr>
            <w:tcW w:type="dxa" w:w="2268"/>
            <w:tcMar>
              <w:top w:w="60" w:type="dxa"/>
              <w:start w:w="60" w:type="dxa"/>
              <w:bottom w:w="60" w:type="dxa"/>
              <w:end w:w="60" w:type="dxa"/>
            </w:tcMar>
            <w:vAlign w:val="top"/>
          </w:tcPr>
          <w:p>
            <w:r/>
            <w:r>
              <w:rPr>
                <w:rFonts w:ascii="Aptos" w:hAnsi="Aptos"/>
                <w:sz w:val="16"/>
              </w:rPr>
              <w:t>Date</w:t>
            </w:r>
          </w:p>
        </w:tc>
        <w:tc>
          <w:tcPr>
            <w:tcW w:type="dxa" w:w="7087"/>
            <w:tcMar>
              <w:top w:w="60" w:type="dxa"/>
              <w:start w:w="60" w:type="dxa"/>
              <w:bottom w:w="60" w:type="dxa"/>
              <w:end w:w="60" w:type="dxa"/>
            </w:tcMar>
            <w:vAlign w:val="top"/>
          </w:tcPr>
          <w:p>
            <w:r/>
            <w:r>
              <w:rPr>
                <w:rFonts w:ascii="Aptos" w:hAnsi="Aptos"/>
                <w:sz w:val="16"/>
              </w:rPr>
              <w:t>28 juillet 2026</w:t>
            </w:r>
          </w:p>
        </w:tc>
      </w:tr>
      <w:tr>
        <w:tc>
          <w:tcPr>
            <w:tcW w:type="dxa" w:w="2268"/>
            <w:tcMar>
              <w:top w:w="60" w:type="dxa"/>
              <w:start w:w="60" w:type="dxa"/>
              <w:bottom w:w="60" w:type="dxa"/>
              <w:end w:w="60" w:type="dxa"/>
            </w:tcMar>
            <w:vAlign w:val="top"/>
          </w:tcPr>
          <w:p>
            <w:r/>
            <w:r>
              <w:rPr>
                <w:rFonts w:ascii="Aptos" w:hAnsi="Aptos"/>
                <w:sz w:val="16"/>
              </w:rPr>
              <w:t>Périmètre</w:t>
            </w:r>
          </w:p>
        </w:tc>
        <w:tc>
          <w:tcPr>
            <w:tcW w:type="dxa" w:w="7087"/>
            <w:tcMar>
              <w:top w:w="60" w:type="dxa"/>
              <w:start w:w="60" w:type="dxa"/>
              <w:bottom w:w="60" w:type="dxa"/>
              <w:end w:w="60" w:type="dxa"/>
            </w:tcMar>
            <w:vAlign w:val="top"/>
          </w:tcPr>
          <w:p>
            <w:r/>
            <w:r>
              <w:rPr>
                <w:rFonts w:ascii="Aptos" w:hAnsi="Aptos"/>
                <w:sz w:val="16"/>
              </w:rPr>
              <w:t>Nigeria uniquement — OPCVM / CIS / unit trusts / mutual funds / ETF / REIT / closed-end funds lorsque concernés</w:t>
            </w:r>
          </w:p>
        </w:tc>
      </w:tr>
      <w:tr>
        <w:tc>
          <w:tcPr>
            <w:tcW w:type="dxa" w:w="2268"/>
            <w:tcMar>
              <w:top w:w="60" w:type="dxa"/>
              <w:start w:w="60" w:type="dxa"/>
              <w:bottom w:w="60" w:type="dxa"/>
              <w:end w:w="60" w:type="dxa"/>
            </w:tcMar>
            <w:vAlign w:val="top"/>
          </w:tcPr>
          <w:p>
            <w:r/>
            <w:r>
              <w:rPr>
                <w:rFonts w:ascii="Aptos" w:hAnsi="Aptos"/>
                <w:sz w:val="16"/>
              </w:rPr>
              <w:t>Systèmes cibles</w:t>
            </w:r>
          </w:p>
        </w:tc>
        <w:tc>
          <w:tcPr>
            <w:tcW w:type="dxa" w:w="7087"/>
            <w:tcMar>
              <w:top w:w="60" w:type="dxa"/>
              <w:start w:w="60" w:type="dxa"/>
              <w:bottom w:w="60" w:type="dxa"/>
              <w:end w:w="60" w:type="dxa"/>
            </w:tcMar>
            <w:vAlign w:val="top"/>
          </w:tcPr>
          <w:p>
            <w:r/>
            <w:r>
              <w:rPr>
                <w:rFonts w:ascii="Aptos" w:hAnsi="Aptos"/>
                <w:sz w:val="16"/>
              </w:rPr>
              <w:t>ProAfricaFund / FundAfrica — archive SEC Nigeria — service d’extraction Excel/SharePoint</w:t>
            </w:r>
          </w:p>
        </w:tc>
      </w:tr>
      <w:tr>
        <w:tc>
          <w:tcPr>
            <w:tcW w:type="dxa" w:w="2268"/>
            <w:tcMar>
              <w:top w:w="60" w:type="dxa"/>
              <w:start w:w="60" w:type="dxa"/>
              <w:bottom w:w="60" w:type="dxa"/>
              <w:end w:w="60" w:type="dxa"/>
            </w:tcMar>
            <w:vAlign w:val="top"/>
          </w:tcPr>
          <w:p>
            <w:r/>
            <w:r>
              <w:rPr>
                <w:rFonts w:ascii="Aptos" w:hAnsi="Aptos"/>
                <w:sz w:val="16"/>
              </w:rPr>
              <w:t>Statut</w:t>
            </w:r>
          </w:p>
        </w:tc>
        <w:tc>
          <w:tcPr>
            <w:tcW w:type="dxa" w:w="7087"/>
            <w:tcMar>
              <w:top w:w="60" w:type="dxa"/>
              <w:start w:w="60" w:type="dxa"/>
              <w:bottom w:w="60" w:type="dxa"/>
              <w:end w:w="60" w:type="dxa"/>
            </w:tcMar>
            <w:vAlign w:val="top"/>
          </w:tcPr>
          <w:p>
            <w:r/>
            <w:r>
              <w:rPr>
                <w:rFonts w:ascii="Aptos" w:hAnsi="Aptos"/>
                <w:sz w:val="16"/>
              </w:rPr>
              <w:t>Référence technique ; les chiffres d’audit restent des états de travail à revalider avant toute écriture en production</w:t>
            </w:r>
          </w:p>
        </w:tc>
      </w:tr>
    </w:tbl>
    <w:p>
      <w:pPr>
        <w:widowControl/>
        <w:spacing w:after="0"/>
      </w:pPr>
    </w:p>
    <w:p>
      <w:pPr>
        <w:widowControl/>
        <w:jc w:val="center"/>
      </w:pPr>
      <w:r>
        <w:rPr>
          <w:rFonts w:ascii="Aptos Display" w:hAnsi="Aptos Display"/>
          <w:b/>
          <w:color w:val="123E5E"/>
          <w:sz w:val="24"/>
        </w:rPr>
        <w:t>DATA NIGERIA</w:t>
      </w:r>
      <w:r>
        <w:rPr>
          <w:b/>
        </w:rPr>
        <w:t xml:space="preserve"> — ÉDITION 2.0</w:t>
      </w:r>
    </w:p>
    <w:p>
      <w:pPr>
        <w:pStyle w:val="Heading1"/>
        <w:widowControl/>
      </w:pPr>
      <w:r>
        <w:t>Mode d’emploi de cette bible</w:t>
      </w:r>
    </w:p>
    <w:p>
      <w:pPr>
        <w:widowControl/>
      </w:pPr>
      <w:r>
        <w:rPr>
          <w:rFonts w:ascii="Aptos" w:hAnsi="Aptos"/>
          <w:sz w:val="19"/>
        </w:rPr>
        <w:t>Ce document doit être lu comme un contrat méthodologique. Il ne remplace ni le classeur source, ni les documents officiels, ni les contrôles de production. En cas de conflit, conserver l'information contradictoire, identifier les sources, classer le point en revue et ne jamais forcer une valeur pour atteindre un volume attendu.</w:t>
      </w:r>
    </w:p>
    <w:p>
      <w:pPr>
        <w:pStyle w:val="ListBullet"/>
        <w:widowControl/>
        <w:ind w:left="397" w:hanging="142"/>
      </w:pPr>
      <w:r>
        <w:rPr>
          <w:rFonts w:ascii="Aptos" w:hAnsi="Aptos"/>
          <w:sz w:val="18"/>
        </w:rPr>
        <w:t>Le nom historique du fonds publié dans les archives est le point de départ absolu de la recherche.</w:t>
      </w:r>
    </w:p>
    <w:p>
      <w:pPr>
        <w:pStyle w:val="ListBullet"/>
        <w:widowControl/>
        <w:ind w:left="397" w:hanging="142"/>
      </w:pPr>
      <w:r>
        <w:rPr>
          <w:rFonts w:ascii="Aptos" w:hAnsi="Aptos"/>
          <w:sz w:val="18"/>
        </w:rPr>
        <w:t>Le nom actuel du fonds et le gestionnaire actuel sont des indices, jamais des preuves suffisantes.</w:t>
      </w:r>
    </w:p>
    <w:p>
      <w:pPr>
        <w:pStyle w:val="ListBullet"/>
        <w:widowControl/>
        <w:ind w:left="397" w:hanging="142"/>
      </w:pPr>
      <w:r>
        <w:rPr>
          <w:rFonts w:ascii="Aptos" w:hAnsi="Aptos"/>
          <w:sz w:val="18"/>
        </w:rPr>
        <w:t>Un fichier est un conteneur : la structure réelle de la feuille et des en-têtes détermine la méthode.</w:t>
      </w:r>
    </w:p>
    <w:p>
      <w:pPr>
        <w:pStyle w:val="ListBullet"/>
        <w:widowControl/>
        <w:ind w:left="397" w:hanging="142"/>
      </w:pPr>
      <w:r>
        <w:rPr>
          <w:rFonts w:ascii="Aptos" w:hAnsi="Aptos"/>
          <w:sz w:val="18"/>
        </w:rPr>
        <w:t>NAV total, Unit Price, Bid Price et Offer Price sont des mesures distinctes.</w:t>
      </w:r>
    </w:p>
    <w:p>
      <w:pPr>
        <w:pStyle w:val="ListBullet"/>
        <w:widowControl/>
        <w:ind w:left="397" w:hanging="142"/>
      </w:pPr>
      <w:r>
        <w:rPr>
          <w:rFonts w:ascii="Aptos" w:hAnsi="Aptos"/>
          <w:sz w:val="18"/>
        </w:rPr>
        <w:t>Une donnée n'est fiable que si sa provenance permet de répondre : pourquoi cette valeur, pour ce fonds, à cette date ?</w:t>
      </w:r>
    </w:p>
    <w:p>
      <w:pPr>
        <w:pStyle w:val="ListBullet"/>
        <w:widowControl/>
        <w:ind w:left="397" w:hanging="142"/>
      </w:pPr>
      <w:r>
        <w:rPr>
          <w:rFonts w:ascii="Aptos" w:hAnsi="Aptos"/>
          <w:sz w:val="18"/>
        </w:rPr>
        <w:t>Aucune correction en production sans audit en lecture seule, sauvegarde ciblée, dry-run, rapport avant/après et rollback vérifié.</w:t>
      </w:r>
    </w:p>
    <w:p>
      <w:pPr>
        <w:pStyle w:val="Heading2"/>
        <w:widowControl/>
      </w:pPr>
      <w:r>
        <w:t>Historique des versions</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1134"/>
            <w:shd w:fill="D9EAF2"/>
            <w:tcMar>
              <w:top w:w="70" w:type="dxa"/>
              <w:start w:w="70" w:type="dxa"/>
              <w:bottom w:w="70" w:type="dxa"/>
              <w:end w:w="70" w:type="dxa"/>
            </w:tcMar>
            <w:vAlign w:val="center"/>
          </w:tcPr>
          <w:p>
            <w:r/>
            <w:r>
              <w:rPr>
                <w:rFonts w:ascii="Aptos" w:hAnsi="Aptos"/>
                <w:b/>
                <w:color w:val="123E5E"/>
                <w:sz w:val="16"/>
              </w:rPr>
              <w:t>Version</w:t>
            </w:r>
          </w:p>
        </w:tc>
        <w:tc>
          <w:tcPr>
            <w:tcW w:type="dxa" w:w="1417"/>
            <w:shd w:fill="D9EAF2"/>
            <w:tcMar>
              <w:top w:w="70" w:type="dxa"/>
              <w:start w:w="70" w:type="dxa"/>
              <w:bottom w:w="70" w:type="dxa"/>
              <w:end w:w="70" w:type="dxa"/>
            </w:tcMar>
            <w:vAlign w:val="center"/>
          </w:tcPr>
          <w:p>
            <w:r/>
            <w:r>
              <w:rPr>
                <w:rFonts w:ascii="Aptos" w:hAnsi="Aptos"/>
                <w:b/>
                <w:color w:val="123E5E"/>
                <w:sz w:val="16"/>
              </w:rPr>
              <w:t>Date</w:t>
            </w:r>
          </w:p>
        </w:tc>
        <w:tc>
          <w:tcPr>
            <w:tcW w:type="dxa" w:w="5386"/>
            <w:shd w:fill="D9EAF2"/>
            <w:tcMar>
              <w:top w:w="70" w:type="dxa"/>
              <w:start w:w="70" w:type="dxa"/>
              <w:bottom w:w="70" w:type="dxa"/>
              <w:end w:w="70" w:type="dxa"/>
            </w:tcMar>
            <w:vAlign w:val="center"/>
          </w:tcPr>
          <w:p>
            <w:r/>
            <w:r>
              <w:rPr>
                <w:rFonts w:ascii="Aptos" w:hAnsi="Aptos"/>
                <w:b/>
                <w:color w:val="123E5E"/>
                <w:sz w:val="16"/>
              </w:rPr>
              <w:t>Objet</w:t>
            </w:r>
          </w:p>
        </w:tc>
        <w:tc>
          <w:tcPr>
            <w:tcW w:type="dxa" w:w="1417"/>
            <w:shd w:fill="D9EAF2"/>
            <w:tcMar>
              <w:top w:w="70" w:type="dxa"/>
              <w:start w:w="70" w:type="dxa"/>
              <w:bottom w:w="70" w:type="dxa"/>
              <w:end w:w="70" w:type="dxa"/>
            </w:tcMar>
            <w:vAlign w:val="center"/>
          </w:tcPr>
          <w:p>
            <w:r/>
            <w:r>
              <w:rPr>
                <w:rFonts w:ascii="Aptos" w:hAnsi="Aptos"/>
                <w:b/>
                <w:color w:val="123E5E"/>
                <w:sz w:val="16"/>
              </w:rPr>
              <w:t>Statut</w:t>
            </w:r>
          </w:p>
        </w:tc>
      </w:tr>
      <w:tr>
        <w:tc>
          <w:tcPr>
            <w:tcW w:type="dxa" w:w="1134"/>
            <w:tcMar>
              <w:top w:w="60" w:type="dxa"/>
              <w:start w:w="60" w:type="dxa"/>
              <w:bottom w:w="60" w:type="dxa"/>
              <w:end w:w="60" w:type="dxa"/>
            </w:tcMar>
            <w:vAlign w:val="top"/>
          </w:tcPr>
          <w:p>
            <w:r/>
            <w:r>
              <w:rPr>
                <w:rFonts w:ascii="Aptos" w:hAnsi="Aptos"/>
                <w:sz w:val="16"/>
              </w:rPr>
              <w:t>1.0</w:t>
            </w:r>
          </w:p>
        </w:tc>
        <w:tc>
          <w:tcPr>
            <w:tcW w:type="dxa" w:w="1417"/>
            <w:tcMar>
              <w:top w:w="60" w:type="dxa"/>
              <w:start w:w="60" w:type="dxa"/>
              <w:bottom w:w="60" w:type="dxa"/>
              <w:end w:w="60" w:type="dxa"/>
            </w:tcMar>
            <w:vAlign w:val="top"/>
          </w:tcPr>
          <w:p>
            <w:r/>
            <w:r>
              <w:rPr>
                <w:rFonts w:ascii="Aptos" w:hAnsi="Aptos"/>
                <w:sz w:val="16"/>
              </w:rPr>
              <w:t>28/07/2026</w:t>
            </w:r>
          </w:p>
        </w:tc>
        <w:tc>
          <w:tcPr>
            <w:tcW w:type="dxa" w:w="5386"/>
            <w:tcMar>
              <w:top w:w="60" w:type="dxa"/>
              <w:start w:w="60" w:type="dxa"/>
              <w:bottom w:w="60" w:type="dxa"/>
              <w:end w:w="60" w:type="dxa"/>
            </w:tcMar>
            <w:vAlign w:val="top"/>
          </w:tcPr>
          <w:p>
            <w:r/>
            <w:r>
              <w:rPr>
                <w:rFonts w:ascii="Aptos" w:hAnsi="Aptos"/>
                <w:sz w:val="16"/>
              </w:rPr>
              <w:t>Consolidation intégrale des connaissances : extraction SEC, recherche historique, dictionnaire 90 champs, sources complémentaires, modèle de données, qualité et production.</w:t>
            </w:r>
          </w:p>
        </w:tc>
        <w:tc>
          <w:tcPr>
            <w:tcW w:type="dxa" w:w="1417"/>
            <w:tcMar>
              <w:top w:w="60" w:type="dxa"/>
              <w:start w:w="60" w:type="dxa"/>
              <w:bottom w:w="60" w:type="dxa"/>
              <w:end w:w="60" w:type="dxa"/>
            </w:tcMar>
            <w:vAlign w:val="top"/>
          </w:tcPr>
          <w:p>
            <w:r/>
            <w:r>
              <w:rPr>
                <w:rFonts w:ascii="Aptos" w:hAnsi="Aptos"/>
                <w:sz w:val="16"/>
              </w:rPr>
              <w:t>Référence initiale</w:t>
            </w:r>
          </w:p>
        </w:tc>
      </w:tr>
      <w:tr>
        <w:tc>
          <w:tcPr>
            <w:tcW w:type="dxa" w:w="2550"/>
            <w:vAlign w:val="top"/>
          </w:tcPr>
          <w:p>
            <w:r/>
            <w:r>
              <w:rPr>
                <w:b w:val="0"/>
                <w:sz w:val="17"/>
              </w:rPr>
              <w:t>2.0</w:t>
            </w:r>
          </w:p>
        </w:tc>
        <w:tc>
          <w:tcPr>
            <w:tcW w:type="dxa" w:w="2550"/>
            <w:vAlign w:val="top"/>
          </w:tcPr>
          <w:p>
            <w:r/>
            <w:r>
              <w:rPr>
                <w:b w:val="0"/>
                <w:sz w:val="17"/>
              </w:rPr>
              <w:t>28/07/2026</w:t>
            </w:r>
          </w:p>
        </w:tc>
        <w:tc>
          <w:tcPr>
            <w:tcW w:type="dxa" w:w="2550"/>
            <w:vAlign w:val="top"/>
          </w:tcPr>
          <w:p>
            <w:r/>
            <w:r>
              <w:rPr>
                <w:b w:val="0"/>
                <w:sz w:val="17"/>
              </w:rPr>
              <w:t>Recherche web approfondie, registre étendu des URL, univers SEC mars 2026, protocoles de découverte documentaire, matrice d’enrichissement des 90 champs, veille et preuves cliquables.</w:t>
            </w:r>
          </w:p>
        </w:tc>
        <w:tc>
          <w:tcPr>
            <w:tcW w:type="dxa" w:w="2550"/>
            <w:vAlign w:val="top"/>
          </w:tcPr>
          <w:p>
            <w:r/>
            <w:r>
              <w:rPr>
                <w:b w:val="0"/>
                <w:sz w:val="17"/>
              </w:rPr>
              <w:t>Référence révisée</w:t>
            </w:r>
          </w:p>
        </w:tc>
      </w:tr>
    </w:tbl>
    <w:p>
      <w:pPr>
        <w:widowControl/>
        <w:spacing w:after="0"/>
      </w:pPr>
    </w:p>
    <w:p>
      <w:pPr>
        <w:widowControl/>
      </w:pPr>
      <w:r>
        <w:br w:type="page"/>
      </w:r>
    </w:p>
    <w:p>
      <w:pPr>
        <w:pStyle w:val="Heading1"/>
        <w:widowControl/>
      </w:pPr>
      <w:r>
        <w:t>Résumé exécutif</w:t>
      </w:r>
    </w:p>
    <w:p>
      <w:pPr>
        <w:widowControl/>
      </w:pPr>
      <w:r>
        <w:rPr>
          <w:rFonts w:ascii="Aptos" w:hAnsi="Aptos"/>
          <w:sz w:val="19"/>
        </w:rPr>
        <w:t>Le projet Nigeria ne consiste pas à copier des valeurs depuis des fichiers Excel. Il consiste à construire un système de données historiques, juridiques et documentaires capable de relier chaque observation à un fonds réel, à une date de valeur, à une mesure financière, à une devise et à une preuve officielle.</w:t>
      </w:r>
    </w:p>
    <w:tbl>
      <w:tblPr>
        <w:tblW w:type="auto" w:w="0"/>
        <w:jc w:val="center"/>
        <w:tblLayout w:type="autofit"/>
        <w:tblLook w:firstColumn="1" w:firstRow="1" w:lastColumn="0" w:lastRow="0" w:noHBand="0" w:noVBand="1" w:val="04A0"/>
      </w:tblPr>
      <w:tblGrid>
        <w:gridCol w:w="10200"/>
      </w:tblGrid>
      <w:tr>
        <w:tc>
          <w:tcPr>
            <w:tcW w:type="dxa" w:w="10200"/>
            <w:shd w:fill="FCE8E6"/>
            <w:tcMar>
              <w:top w:w="140" w:type="dxa"/>
              <w:start w:w="150" w:type="dxa"/>
              <w:bottom w:w="140" w:type="dxa"/>
              <w:end w:w="150" w:type="dxa"/>
            </w:tcMar>
          </w:tcPr>
          <w:p>
            <w:r>
              <w:rPr>
                <w:rFonts w:ascii="Aptos" w:hAnsi="Aptos"/>
                <w:b/>
                <w:color w:val="123E5E"/>
                <w:sz w:val="18"/>
              </w:rPr>
              <w:t xml:space="preserve">Règle cardinale — </w:t>
            </w:r>
            <w:r>
              <w:rPr>
                <w:rFonts w:ascii="Aptos" w:hAnsi="Aptos"/>
                <w:sz w:val="18"/>
              </w:rPr>
              <w:t>Dans les publications SEC Nigeria, NAV désigne généralement l'actif net total du fonds. Il ne doit pas être confondu avec une valeur par part. Unit Price, Bid Price et Offer Price doivent rester séparés, même lorsqu'une seule valeur doit être exposée dans un champ historique de compatibilité.</w:t>
            </w:r>
          </w:p>
        </w:tc>
      </w:tr>
    </w:tbl>
    <w:p>
      <w:pPr>
        <w:widowControl/>
        <w:spacing w:after="0"/>
      </w:pPr>
    </w:p>
    <w:p>
      <w:pPr>
        <w:pStyle w:val="Heading2"/>
        <w:widowControl/>
      </w:pPr>
      <w:r>
        <w:t>État de travail consolidé à la date de référence</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438"/>
            <w:shd w:fill="D9EAF2"/>
            <w:tcMar>
              <w:top w:w="70" w:type="dxa"/>
              <w:start w:w="70" w:type="dxa"/>
              <w:bottom w:w="70" w:type="dxa"/>
              <w:end w:w="70" w:type="dxa"/>
            </w:tcMar>
            <w:vAlign w:val="center"/>
          </w:tcPr>
          <w:p>
            <w:r/>
            <w:r>
              <w:rPr>
                <w:rFonts w:ascii="Aptos" w:hAnsi="Aptos"/>
                <w:b/>
                <w:color w:val="123E5E"/>
                <w:sz w:val="15"/>
              </w:rPr>
              <w:t>Indicateur</w:t>
            </w:r>
          </w:p>
        </w:tc>
        <w:tc>
          <w:tcPr>
            <w:tcW w:type="dxa" w:w="1814"/>
            <w:shd w:fill="D9EAF2"/>
            <w:tcMar>
              <w:top w:w="70" w:type="dxa"/>
              <w:start w:w="70" w:type="dxa"/>
              <w:bottom w:w="70" w:type="dxa"/>
              <w:end w:w="70" w:type="dxa"/>
            </w:tcMar>
            <w:vAlign w:val="center"/>
          </w:tcPr>
          <w:p>
            <w:r/>
            <w:r>
              <w:rPr>
                <w:rFonts w:ascii="Aptos" w:hAnsi="Aptos"/>
                <w:b/>
                <w:color w:val="123E5E"/>
                <w:sz w:val="15"/>
              </w:rPr>
              <w:t>État de travail</w:t>
            </w:r>
          </w:p>
        </w:tc>
        <w:tc>
          <w:tcPr>
            <w:tcW w:type="dxa" w:w="5102"/>
            <w:shd w:fill="D9EAF2"/>
            <w:tcMar>
              <w:top w:w="70" w:type="dxa"/>
              <w:start w:w="70" w:type="dxa"/>
              <w:bottom w:w="70" w:type="dxa"/>
              <w:end w:w="70" w:type="dxa"/>
            </w:tcMar>
            <w:vAlign w:val="center"/>
          </w:tcPr>
          <w:p>
            <w:r/>
            <w:r>
              <w:rPr>
                <w:rFonts w:ascii="Aptos" w:hAnsi="Aptos"/>
                <w:b/>
                <w:color w:val="123E5E"/>
                <w:sz w:val="15"/>
              </w:rPr>
              <w:t>Interprétation obligatoire</w:t>
            </w:r>
          </w:p>
        </w:tc>
      </w:tr>
      <w:tr>
        <w:tc>
          <w:tcPr>
            <w:tcW w:type="dxa" w:w="2438"/>
            <w:tcMar>
              <w:top w:w="60" w:type="dxa"/>
              <w:start w:w="60" w:type="dxa"/>
              <w:bottom w:w="60" w:type="dxa"/>
              <w:end w:w="60" w:type="dxa"/>
            </w:tcMar>
            <w:vAlign w:val="top"/>
          </w:tcPr>
          <w:p>
            <w:r/>
            <w:r>
              <w:rPr>
                <w:rFonts w:ascii="Aptos" w:hAnsi="Aptos"/>
                <w:sz w:val="15"/>
              </w:rPr>
              <w:t>Publications officielles inventoriées</w:t>
            </w:r>
          </w:p>
        </w:tc>
        <w:tc>
          <w:tcPr>
            <w:tcW w:type="dxa" w:w="1814"/>
            <w:tcMar>
              <w:top w:w="60" w:type="dxa"/>
              <w:start w:w="60" w:type="dxa"/>
              <w:bottom w:w="60" w:type="dxa"/>
              <w:end w:w="60" w:type="dxa"/>
            </w:tcMar>
            <w:vAlign w:val="top"/>
          </w:tcPr>
          <w:p>
            <w:r/>
            <w:r>
              <w:rPr>
                <w:rFonts w:ascii="Aptos" w:hAnsi="Aptos"/>
                <w:sz w:val="15"/>
              </w:rPr>
              <w:t>686</w:t>
            </w:r>
          </w:p>
        </w:tc>
        <w:tc>
          <w:tcPr>
            <w:tcW w:type="dxa" w:w="5102"/>
            <w:tcMar>
              <w:top w:w="60" w:type="dxa"/>
              <w:start w:w="60" w:type="dxa"/>
              <w:bottom w:w="60" w:type="dxa"/>
              <w:end w:w="60" w:type="dxa"/>
            </w:tcMar>
            <w:vAlign w:val="top"/>
          </w:tcPr>
          <w:p>
            <w:r/>
            <w:r>
              <w:rPr>
                <w:rFonts w:ascii="Aptos" w:hAnsi="Aptos"/>
                <w:sz w:val="15"/>
              </w:rPr>
              <w:t>Volume de manifeste, non garantie définitive de complétude canonique.</w:t>
            </w:r>
          </w:p>
        </w:tc>
      </w:tr>
      <w:tr>
        <w:tc>
          <w:tcPr>
            <w:tcW w:type="dxa" w:w="2438"/>
            <w:tcMar>
              <w:top w:w="60" w:type="dxa"/>
              <w:start w:w="60" w:type="dxa"/>
              <w:bottom w:w="60" w:type="dxa"/>
              <w:end w:w="60" w:type="dxa"/>
            </w:tcMar>
            <w:vAlign w:val="top"/>
          </w:tcPr>
          <w:p>
            <w:r/>
            <w:r>
              <w:rPr>
                <w:rFonts w:ascii="Aptos" w:hAnsi="Aptos"/>
                <w:sz w:val="15"/>
              </w:rPr>
              <w:t>Fichiers directement lisibles</w:t>
            </w:r>
          </w:p>
        </w:tc>
        <w:tc>
          <w:tcPr>
            <w:tcW w:type="dxa" w:w="1814"/>
            <w:tcMar>
              <w:top w:w="60" w:type="dxa"/>
              <w:start w:w="60" w:type="dxa"/>
              <w:bottom w:w="60" w:type="dxa"/>
              <w:end w:w="60" w:type="dxa"/>
            </w:tcMar>
            <w:vAlign w:val="top"/>
          </w:tcPr>
          <w:p>
            <w:r/>
            <w:r>
              <w:rPr>
                <w:rFonts w:ascii="Aptos" w:hAnsi="Aptos"/>
                <w:sz w:val="15"/>
              </w:rPr>
              <w:t>683</w:t>
            </w:r>
          </w:p>
        </w:tc>
        <w:tc>
          <w:tcPr>
            <w:tcW w:type="dxa" w:w="5102"/>
            <w:tcMar>
              <w:top w:w="60" w:type="dxa"/>
              <w:start w:w="60" w:type="dxa"/>
              <w:bottom w:w="60" w:type="dxa"/>
              <w:end w:w="60" w:type="dxa"/>
            </w:tcMar>
            <w:vAlign w:val="top"/>
          </w:tcPr>
          <w:p>
            <w:r/>
            <w:r>
              <w:rPr>
                <w:rFonts w:ascii="Aptos" w:hAnsi="Aptos"/>
                <w:sz w:val="15"/>
              </w:rPr>
              <w:t>Trois fichiers officiels signalés comme tronqués ou corrompus.</w:t>
            </w:r>
          </w:p>
        </w:tc>
      </w:tr>
      <w:tr>
        <w:tc>
          <w:tcPr>
            <w:tcW w:type="dxa" w:w="2438"/>
            <w:tcMar>
              <w:top w:w="60" w:type="dxa"/>
              <w:start w:w="60" w:type="dxa"/>
              <w:bottom w:w="60" w:type="dxa"/>
              <w:end w:w="60" w:type="dxa"/>
            </w:tcMar>
            <w:vAlign w:val="top"/>
          </w:tcPr>
          <w:p>
            <w:r/>
            <w:r>
              <w:rPr>
                <w:rFonts w:ascii="Aptos" w:hAnsi="Aptos"/>
                <w:sz w:val="15"/>
              </w:rPr>
              <w:t>Observations normalisées provisoires</w:t>
            </w:r>
          </w:p>
        </w:tc>
        <w:tc>
          <w:tcPr>
            <w:tcW w:type="dxa" w:w="1814"/>
            <w:tcMar>
              <w:top w:w="60" w:type="dxa"/>
              <w:start w:w="60" w:type="dxa"/>
              <w:bottom w:w="60" w:type="dxa"/>
              <w:end w:w="60" w:type="dxa"/>
            </w:tcMar>
            <w:vAlign w:val="top"/>
          </w:tcPr>
          <w:p>
            <w:r/>
            <w:r>
              <w:rPr>
                <w:rFonts w:ascii="Aptos" w:hAnsi="Aptos"/>
                <w:sz w:val="15"/>
              </w:rPr>
              <w:t>77 863</w:t>
            </w:r>
          </w:p>
        </w:tc>
        <w:tc>
          <w:tcPr>
            <w:tcW w:type="dxa" w:w="5102"/>
            <w:tcMar>
              <w:top w:w="60" w:type="dxa"/>
              <w:start w:w="60" w:type="dxa"/>
              <w:bottom w:w="60" w:type="dxa"/>
              <w:end w:w="60" w:type="dxa"/>
            </w:tcMar>
            <w:vAlign w:val="top"/>
          </w:tcPr>
          <w:p>
            <w:r/>
            <w:r>
              <w:rPr>
                <w:rFonts w:ascii="Aptos" w:hAnsi="Aptos"/>
                <w:sz w:val="15"/>
              </w:rPr>
              <w:t>Grain de travail : fonds × date ; à revalider après harmonisation juridique.</w:t>
            </w:r>
          </w:p>
        </w:tc>
      </w:tr>
      <w:tr>
        <w:tc>
          <w:tcPr>
            <w:tcW w:type="dxa" w:w="2438"/>
            <w:tcMar>
              <w:top w:w="60" w:type="dxa"/>
              <w:start w:w="60" w:type="dxa"/>
              <w:bottom w:w="60" w:type="dxa"/>
              <w:end w:w="60" w:type="dxa"/>
            </w:tcMar>
            <w:vAlign w:val="top"/>
          </w:tcPr>
          <w:p>
            <w:r/>
            <w:r>
              <w:rPr>
                <w:rFonts w:ascii="Aptos" w:hAnsi="Aptos"/>
                <w:sz w:val="15"/>
              </w:rPr>
              <w:t>Clés textuelles de fonds</w:t>
            </w:r>
          </w:p>
        </w:tc>
        <w:tc>
          <w:tcPr>
            <w:tcW w:type="dxa" w:w="1814"/>
            <w:tcMar>
              <w:top w:w="60" w:type="dxa"/>
              <w:start w:w="60" w:type="dxa"/>
              <w:bottom w:w="60" w:type="dxa"/>
              <w:end w:w="60" w:type="dxa"/>
            </w:tcMar>
            <w:vAlign w:val="top"/>
          </w:tcPr>
          <w:p>
            <w:r/>
            <w:r>
              <w:rPr>
                <w:rFonts w:ascii="Aptos" w:hAnsi="Aptos"/>
                <w:sz w:val="15"/>
              </w:rPr>
              <w:t>352</w:t>
            </w:r>
          </w:p>
        </w:tc>
        <w:tc>
          <w:tcPr>
            <w:tcW w:type="dxa" w:w="5102"/>
            <w:tcMar>
              <w:top w:w="60" w:type="dxa"/>
              <w:start w:w="60" w:type="dxa"/>
              <w:bottom w:w="60" w:type="dxa"/>
              <w:end w:w="60" w:type="dxa"/>
            </w:tcMar>
            <w:vAlign w:val="top"/>
          </w:tcPr>
          <w:p>
            <w:r/>
            <w:r>
              <w:rPr>
                <w:rFonts w:ascii="Aptos" w:hAnsi="Aptos"/>
                <w:sz w:val="15"/>
              </w:rPr>
              <w:t>Ce ne sont pas 352 fonds juridiques certains : alias, fautes, classes ou événements possibles.</w:t>
            </w:r>
          </w:p>
        </w:tc>
      </w:tr>
      <w:tr>
        <w:tc>
          <w:tcPr>
            <w:tcW w:type="dxa" w:w="2438"/>
            <w:tcMar>
              <w:top w:w="60" w:type="dxa"/>
              <w:start w:w="60" w:type="dxa"/>
              <w:bottom w:w="60" w:type="dxa"/>
              <w:end w:w="60" w:type="dxa"/>
            </w:tcMar>
            <w:vAlign w:val="top"/>
          </w:tcPr>
          <w:p>
            <w:r/>
            <w:r>
              <w:rPr>
                <w:rFonts w:ascii="Aptos" w:hAnsi="Aptos"/>
                <w:sz w:val="15"/>
              </w:rPr>
              <w:t>Dates distinctes</w:t>
            </w:r>
          </w:p>
        </w:tc>
        <w:tc>
          <w:tcPr>
            <w:tcW w:type="dxa" w:w="1814"/>
            <w:tcMar>
              <w:top w:w="60" w:type="dxa"/>
              <w:start w:w="60" w:type="dxa"/>
              <w:bottom w:w="60" w:type="dxa"/>
              <w:end w:w="60" w:type="dxa"/>
            </w:tcMar>
            <w:vAlign w:val="top"/>
          </w:tcPr>
          <w:p>
            <w:r/>
            <w:r>
              <w:rPr>
                <w:rFonts w:ascii="Aptos" w:hAnsi="Aptos"/>
                <w:sz w:val="15"/>
              </w:rPr>
              <w:t>725</w:t>
            </w:r>
          </w:p>
        </w:tc>
        <w:tc>
          <w:tcPr>
            <w:tcW w:type="dxa" w:w="5102"/>
            <w:tcMar>
              <w:top w:w="60" w:type="dxa"/>
              <w:start w:w="60" w:type="dxa"/>
              <w:bottom w:w="60" w:type="dxa"/>
              <w:end w:w="60" w:type="dxa"/>
            </w:tcMar>
            <w:vAlign w:val="top"/>
          </w:tcPr>
          <w:p>
            <w:r/>
            <w:r>
              <w:rPr>
                <w:rFonts w:ascii="Aptos" w:hAnsi="Aptos"/>
                <w:sz w:val="15"/>
              </w:rPr>
              <w:t>Couverture annoncée du 12/08/2011 au 10/07/2026.</w:t>
            </w:r>
          </w:p>
        </w:tc>
      </w:tr>
      <w:tr>
        <w:tc>
          <w:tcPr>
            <w:tcW w:type="dxa" w:w="2438"/>
            <w:tcMar>
              <w:top w:w="60" w:type="dxa"/>
              <w:start w:w="60" w:type="dxa"/>
              <w:bottom w:w="60" w:type="dxa"/>
              <w:end w:w="60" w:type="dxa"/>
            </w:tcMar>
            <w:vAlign w:val="top"/>
          </w:tcPr>
          <w:p>
            <w:r/>
            <w:r>
              <w:rPr>
                <w:rFonts w:ascii="Aptos" w:hAnsi="Aptos"/>
                <w:sz w:val="15"/>
              </w:rPr>
              <w:t>Conflits fonds/date</w:t>
            </w:r>
          </w:p>
        </w:tc>
        <w:tc>
          <w:tcPr>
            <w:tcW w:type="dxa" w:w="1814"/>
            <w:tcMar>
              <w:top w:w="60" w:type="dxa"/>
              <w:start w:w="60" w:type="dxa"/>
              <w:bottom w:w="60" w:type="dxa"/>
              <w:end w:w="60" w:type="dxa"/>
            </w:tcMar>
            <w:vAlign w:val="top"/>
          </w:tcPr>
          <w:p>
            <w:r/>
            <w:r>
              <w:rPr>
                <w:rFonts w:ascii="Aptos" w:hAnsi="Aptos"/>
                <w:sz w:val="15"/>
              </w:rPr>
              <w:t>1 186</w:t>
            </w:r>
          </w:p>
        </w:tc>
        <w:tc>
          <w:tcPr>
            <w:tcW w:type="dxa" w:w="5102"/>
            <w:tcMar>
              <w:top w:w="60" w:type="dxa"/>
              <w:start w:w="60" w:type="dxa"/>
              <w:bottom w:w="60" w:type="dxa"/>
              <w:end w:w="60" w:type="dxa"/>
            </w:tcMar>
            <w:vAlign w:val="top"/>
          </w:tcPr>
          <w:p>
            <w:r/>
            <w:r>
              <w:rPr>
                <w:rFonts w:ascii="Aptos" w:hAnsi="Aptos"/>
                <w:sz w:val="15"/>
              </w:rPr>
              <w:t>Révisions ou divergences à conserver et arbitrer, pas à effacer.</w:t>
            </w:r>
          </w:p>
        </w:tc>
      </w:tr>
      <w:tr>
        <w:tc>
          <w:tcPr>
            <w:tcW w:type="dxa" w:w="2438"/>
            <w:tcMar>
              <w:top w:w="60" w:type="dxa"/>
              <w:start w:w="60" w:type="dxa"/>
              <w:bottom w:w="60" w:type="dxa"/>
              <w:end w:w="60" w:type="dxa"/>
            </w:tcMar>
            <w:vAlign w:val="top"/>
          </w:tcPr>
          <w:p>
            <w:r/>
            <w:r>
              <w:rPr>
                <w:rFonts w:ascii="Aptos" w:hAnsi="Aptos"/>
                <w:sz w:val="15"/>
              </w:rPr>
              <w:t>Période non récupérable</w:t>
            </w:r>
          </w:p>
        </w:tc>
        <w:tc>
          <w:tcPr>
            <w:tcW w:type="dxa" w:w="1814"/>
            <w:tcMar>
              <w:top w:w="60" w:type="dxa"/>
              <w:start w:w="60" w:type="dxa"/>
              <w:bottom w:w="60" w:type="dxa"/>
              <w:end w:w="60" w:type="dxa"/>
            </w:tcMar>
            <w:vAlign w:val="top"/>
          </w:tcPr>
          <w:p>
            <w:r/>
            <w:r>
              <w:rPr>
                <w:rFonts w:ascii="Aptos" w:hAnsi="Aptos"/>
                <w:sz w:val="15"/>
              </w:rPr>
              <w:t>17/08/2012</w:t>
            </w:r>
          </w:p>
        </w:tc>
        <w:tc>
          <w:tcPr>
            <w:tcW w:type="dxa" w:w="5102"/>
            <w:tcMar>
              <w:top w:w="60" w:type="dxa"/>
              <w:start w:w="60" w:type="dxa"/>
              <w:bottom w:w="60" w:type="dxa"/>
              <w:end w:w="60" w:type="dxa"/>
            </w:tcMar>
            <w:vAlign w:val="top"/>
          </w:tcPr>
          <w:p>
            <w:r/>
            <w:r>
              <w:rPr>
                <w:rFonts w:ascii="Aptos" w:hAnsi="Aptos"/>
                <w:sz w:val="15"/>
              </w:rPr>
              <w:t>Aucune imputation automatique ; lacune explicitement documentée.</w:t>
            </w:r>
          </w:p>
        </w:tc>
      </w:tr>
    </w:tbl>
    <w:p>
      <w:pPr>
        <w:widowControl/>
        <w:spacing w:after="0"/>
      </w:pPr>
    </w:p>
    <w:p>
      <w:pPr>
        <w:pStyle w:val="SmallNote"/>
        <w:widowControl/>
      </w:pPr>
      <w:r>
        <w:rPr>
          <w:rFonts w:ascii="Aptos" w:hAnsi="Aptos"/>
          <w:sz w:val="16"/>
        </w:rPr>
        <w:t>Ces chiffres proviennent des livrables internes du projet et doivent rester annotés « état de travail ». Ils ne doivent jamais être forcés dans un nouveau traitement si l'inventaire officiel ou la base évoluent.</w:t>
      </w:r>
    </w:p>
    <w:p>
      <w:pPr>
        <w:pStyle w:val="Heading2"/>
        <w:widowControl/>
      </w:pPr>
      <w:r>
        <w:t>Les deux moteurs du projet</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984"/>
            <w:shd w:fill="D9EAF2"/>
            <w:tcMar>
              <w:top w:w="70" w:type="dxa"/>
              <w:start w:w="70" w:type="dxa"/>
              <w:bottom w:w="70" w:type="dxa"/>
              <w:end w:w="70" w:type="dxa"/>
            </w:tcMar>
            <w:vAlign w:val="center"/>
          </w:tcPr>
          <w:p>
            <w:r/>
            <w:r>
              <w:rPr>
                <w:rFonts w:ascii="Aptos" w:hAnsi="Aptos"/>
                <w:b/>
                <w:color w:val="123E5E"/>
                <w:sz w:val="16"/>
              </w:rPr>
              <w:t>Moteur</w:t>
            </w:r>
          </w:p>
        </w:tc>
        <w:tc>
          <w:tcPr>
            <w:tcW w:type="dxa" w:w="3685"/>
            <w:shd w:fill="D9EAF2"/>
            <w:tcMar>
              <w:top w:w="70" w:type="dxa"/>
              <w:start w:w="70" w:type="dxa"/>
              <w:bottom w:w="70" w:type="dxa"/>
              <w:end w:w="70" w:type="dxa"/>
            </w:tcMar>
            <w:vAlign w:val="center"/>
          </w:tcPr>
          <w:p>
            <w:r/>
            <w:r>
              <w:rPr>
                <w:rFonts w:ascii="Aptos" w:hAnsi="Aptos"/>
                <w:b/>
                <w:color w:val="123E5E"/>
                <w:sz w:val="16"/>
              </w:rPr>
              <w:t>Objet</w:t>
            </w:r>
          </w:p>
        </w:tc>
        <w:tc>
          <w:tcPr>
            <w:tcW w:type="dxa" w:w="3685"/>
            <w:shd w:fill="D9EAF2"/>
            <w:tcMar>
              <w:top w:w="70" w:type="dxa"/>
              <w:start w:w="70" w:type="dxa"/>
              <w:bottom w:w="70" w:type="dxa"/>
              <w:end w:w="70" w:type="dxa"/>
            </w:tcMar>
            <w:vAlign w:val="center"/>
          </w:tcPr>
          <w:p>
            <w:r/>
            <w:r>
              <w:rPr>
                <w:rFonts w:ascii="Aptos" w:hAnsi="Aptos"/>
                <w:b/>
                <w:color w:val="123E5E"/>
                <w:sz w:val="16"/>
              </w:rPr>
              <w:t>Résultat</w:t>
            </w:r>
          </w:p>
        </w:tc>
      </w:tr>
      <w:tr>
        <w:tc>
          <w:tcPr>
            <w:tcW w:type="dxa" w:w="1984"/>
            <w:tcMar>
              <w:top w:w="60" w:type="dxa"/>
              <w:start w:w="60" w:type="dxa"/>
              <w:bottom w:w="60" w:type="dxa"/>
              <w:end w:w="60" w:type="dxa"/>
            </w:tcMar>
            <w:vAlign w:val="top"/>
          </w:tcPr>
          <w:p>
            <w:r/>
            <w:r>
              <w:rPr>
                <w:rFonts w:ascii="Aptos" w:hAnsi="Aptos"/>
                <w:sz w:val="16"/>
              </w:rPr>
              <w:t>Moteur financier</w:t>
            </w:r>
          </w:p>
        </w:tc>
        <w:tc>
          <w:tcPr>
            <w:tcW w:type="dxa" w:w="3685"/>
            <w:tcMar>
              <w:top w:w="60" w:type="dxa"/>
              <w:start w:w="60" w:type="dxa"/>
              <w:bottom w:w="60" w:type="dxa"/>
              <w:end w:w="60" w:type="dxa"/>
            </w:tcMar>
            <w:vAlign w:val="top"/>
          </w:tcPr>
          <w:p>
            <w:r/>
            <w:r>
              <w:rPr>
                <w:rFonts w:ascii="Aptos" w:hAnsi="Aptos"/>
                <w:sz w:val="16"/>
              </w:rPr>
              <w:t>Extraire les mesures officielles par date, feuille, bloc, devise et source.</w:t>
            </w:r>
          </w:p>
        </w:tc>
        <w:tc>
          <w:tcPr>
            <w:tcW w:type="dxa" w:w="3685"/>
            <w:tcMar>
              <w:top w:w="60" w:type="dxa"/>
              <w:start w:w="60" w:type="dxa"/>
              <w:bottom w:w="60" w:type="dxa"/>
              <w:end w:w="60" w:type="dxa"/>
            </w:tcMar>
            <w:vAlign w:val="top"/>
          </w:tcPr>
          <w:p>
            <w:r/>
            <w:r>
              <w:rPr>
                <w:rFonts w:ascii="Aptos" w:hAnsi="Aptos"/>
                <w:sz w:val="16"/>
              </w:rPr>
              <w:t>Séries canoniques auditables : actifs nets, Unit Price, Bid, Offer, porteurs, rendements et autres mesures publiées.</w:t>
            </w:r>
          </w:p>
        </w:tc>
      </w:tr>
      <w:tr>
        <w:tc>
          <w:tcPr>
            <w:tcW w:type="dxa" w:w="1984"/>
            <w:tcMar>
              <w:top w:w="60" w:type="dxa"/>
              <w:start w:w="60" w:type="dxa"/>
              <w:bottom w:w="60" w:type="dxa"/>
              <w:end w:w="60" w:type="dxa"/>
            </w:tcMar>
            <w:vAlign w:val="top"/>
          </w:tcPr>
          <w:p>
            <w:r/>
            <w:r>
              <w:rPr>
                <w:rFonts w:ascii="Aptos" w:hAnsi="Aptos"/>
                <w:sz w:val="16"/>
              </w:rPr>
              <w:t>Moteur d’identité juridique</w:t>
            </w:r>
          </w:p>
        </w:tc>
        <w:tc>
          <w:tcPr>
            <w:tcW w:type="dxa" w:w="3685"/>
            <w:tcMar>
              <w:top w:w="60" w:type="dxa"/>
              <w:start w:w="60" w:type="dxa"/>
              <w:bottom w:w="60" w:type="dxa"/>
              <w:end w:w="60" w:type="dxa"/>
            </w:tcMar>
            <w:vAlign w:val="top"/>
          </w:tcPr>
          <w:p>
            <w:r/>
            <w:r>
              <w:rPr>
                <w:rFonts w:ascii="Aptos" w:hAnsi="Aptos"/>
                <w:sz w:val="16"/>
              </w:rPr>
              <w:t>Reconstituer la trajectoire du fonds à partir du nom historique.</w:t>
            </w:r>
          </w:p>
        </w:tc>
        <w:tc>
          <w:tcPr>
            <w:tcW w:type="dxa" w:w="3685"/>
            <w:tcMar>
              <w:top w:w="60" w:type="dxa"/>
              <w:start w:w="60" w:type="dxa"/>
              <w:bottom w:w="60" w:type="dxa"/>
              <w:end w:w="60" w:type="dxa"/>
            </w:tcMar>
            <w:vAlign w:val="top"/>
          </w:tcPr>
          <w:p>
            <w:r/>
            <w:r>
              <w:rPr>
                <w:rFonts w:ascii="Aptos" w:hAnsi="Aptos"/>
                <w:sz w:val="16"/>
              </w:rPr>
              <w:t>Entités canoniques, alias datés, changements de gestionnaire, fusions, transferts, liquidations, documents et statut actuel.</w:t>
            </w:r>
          </w:p>
        </w:tc>
      </w:tr>
    </w:tbl>
    <w:p>
      <w:pPr>
        <w:widowControl/>
        <w:spacing w:after="0"/>
      </w:pPr>
    </w:p>
    <w:p>
      <w:pPr>
        <w:pStyle w:val="Heading2"/>
        <w:widowControl/>
      </w:pPr>
      <w:r>
        <w:t>Résultat cible</w:t>
      </w:r>
    </w:p>
    <w:p>
      <w:pPr>
        <w:pStyle w:val="ListBullet"/>
        <w:widowControl/>
        <w:ind w:left="397" w:hanging="142"/>
      </w:pPr>
      <w:r>
        <w:rPr>
          <w:rFonts w:ascii="Aptos" w:hAnsi="Aptos"/>
          <w:sz w:val="18"/>
        </w:rPr>
        <w:t>Un registre immuable des publications officielles et de leurs empreintes.</w:t>
      </w:r>
    </w:p>
    <w:p>
      <w:pPr>
        <w:pStyle w:val="ListBullet"/>
        <w:widowControl/>
        <w:ind w:left="397" w:hanging="142"/>
      </w:pPr>
      <w:r>
        <w:rPr>
          <w:rFonts w:ascii="Aptos" w:hAnsi="Aptos"/>
          <w:sz w:val="18"/>
        </w:rPr>
        <w:t>Une couche brute préservant les valeurs, textes, formules et coordonnées de cellule.</w:t>
      </w:r>
    </w:p>
    <w:p>
      <w:pPr>
        <w:pStyle w:val="ListBullet"/>
        <w:widowControl/>
        <w:ind w:left="397" w:hanging="142"/>
      </w:pPr>
      <w:r>
        <w:rPr>
          <w:rFonts w:ascii="Aptos" w:hAnsi="Aptos"/>
          <w:sz w:val="18"/>
        </w:rPr>
        <w:t>Une couche normalisée longue : fonds × date × mesure × devise × source.</w:t>
      </w:r>
    </w:p>
    <w:p>
      <w:pPr>
        <w:pStyle w:val="ListBullet"/>
        <w:widowControl/>
        <w:ind w:left="397" w:hanging="142"/>
      </w:pPr>
      <w:r>
        <w:rPr>
          <w:rFonts w:ascii="Aptos" w:hAnsi="Aptos"/>
          <w:sz w:val="18"/>
        </w:rPr>
        <w:t>Une couche canonique dédupliquée sans perte de provenance.</w:t>
      </w:r>
    </w:p>
    <w:p>
      <w:pPr>
        <w:pStyle w:val="ListBullet"/>
        <w:widowControl/>
        <w:ind w:left="397" w:hanging="142"/>
      </w:pPr>
      <w:r>
        <w:rPr>
          <w:rFonts w:ascii="Aptos" w:hAnsi="Aptos"/>
          <w:sz w:val="18"/>
        </w:rPr>
        <w:t>Un graphe d'identité reliant noms historiques, noms actuels, sociétés de gestion, classes et événements.</w:t>
      </w:r>
    </w:p>
    <w:p>
      <w:pPr>
        <w:pStyle w:val="ListBullet"/>
        <w:widowControl/>
        <w:ind w:left="397" w:hanging="142"/>
      </w:pPr>
      <w:r>
        <w:rPr>
          <w:rFonts w:ascii="Aptos" w:hAnsi="Aptos"/>
          <w:sz w:val="18"/>
        </w:rPr>
        <w:t>Un référentiel documentaire relié aux affirmations et aux cellules du DataFrame.</w:t>
      </w:r>
    </w:p>
    <w:p>
      <w:pPr>
        <w:pStyle w:val="ListBullet"/>
        <w:widowControl/>
        <w:ind w:left="397" w:hanging="142"/>
      </w:pPr>
      <w:r>
        <w:rPr>
          <w:rFonts w:ascii="Aptos" w:hAnsi="Aptos"/>
          <w:sz w:val="18"/>
        </w:rPr>
        <w:t>Une intégration Nigeria idempotente, réversible et isolée des autres pays.</w:t>
      </w:r>
    </w:p>
    <w:p>
      <w:pPr>
        <w:widowControl/>
      </w:pPr>
      <w:r>
        <w:br w:type="page"/>
      </w:r>
    </w:p>
    <w:p>
      <w:pPr>
        <w:pStyle w:val="Heading1"/>
        <w:widowControl/>
      </w:pPr>
      <w:r>
        <w:t>Sommaire détaillé</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1928"/>
            <w:shd w:fill="D9EAF2"/>
            <w:tcMar>
              <w:top w:w="70" w:type="dxa"/>
              <w:start w:w="70" w:type="dxa"/>
              <w:bottom w:w="70" w:type="dxa"/>
              <w:end w:w="70" w:type="dxa"/>
            </w:tcMar>
            <w:vAlign w:val="center"/>
          </w:tcPr>
          <w:p>
            <w:r/>
            <w:r>
              <w:rPr>
                <w:rFonts w:ascii="Aptos" w:hAnsi="Aptos"/>
                <w:b/>
                <w:color w:val="123E5E"/>
                <w:sz w:val="17"/>
              </w:rPr>
              <w:t>Section</w:t>
            </w:r>
          </w:p>
        </w:tc>
        <w:tc>
          <w:tcPr>
            <w:tcW w:type="dxa" w:w="7483"/>
            <w:shd w:fill="D9EAF2"/>
            <w:tcMar>
              <w:top w:w="70" w:type="dxa"/>
              <w:start w:w="70" w:type="dxa"/>
              <w:bottom w:w="70" w:type="dxa"/>
              <w:end w:w="70" w:type="dxa"/>
            </w:tcMar>
            <w:vAlign w:val="center"/>
          </w:tcPr>
          <w:p>
            <w:r/>
            <w:r>
              <w:rPr>
                <w:rFonts w:ascii="Aptos" w:hAnsi="Aptos"/>
                <w:b/>
                <w:color w:val="123E5E"/>
                <w:sz w:val="17"/>
              </w:rPr>
              <w:t>Contenu</w:t>
            </w:r>
          </w:p>
        </w:tc>
      </w:tr>
      <w:tr>
        <w:tc>
          <w:tcPr>
            <w:tcW w:type="dxa" w:w="1928"/>
            <w:tcMar>
              <w:top w:w="60" w:type="dxa"/>
              <w:start w:w="60" w:type="dxa"/>
              <w:bottom w:w="60" w:type="dxa"/>
              <w:end w:w="60" w:type="dxa"/>
            </w:tcMar>
            <w:vAlign w:val="top"/>
          </w:tcPr>
          <w:p>
            <w:r/>
            <w:r>
              <w:rPr>
                <w:rFonts w:ascii="Aptos" w:hAnsi="Aptos"/>
                <w:sz w:val="17"/>
              </w:rPr>
              <w:t>Partie I</w:t>
            </w:r>
          </w:p>
        </w:tc>
        <w:tc>
          <w:tcPr>
            <w:tcW w:type="dxa" w:w="7483"/>
            <w:tcMar>
              <w:top w:w="60" w:type="dxa"/>
              <w:start w:w="60" w:type="dxa"/>
              <w:bottom w:w="60" w:type="dxa"/>
              <w:end w:w="60" w:type="dxa"/>
            </w:tcMar>
            <w:vAlign w:val="top"/>
          </w:tcPr>
          <w:p>
            <w:r/>
            <w:r>
              <w:rPr>
                <w:rFonts w:ascii="Aptos" w:hAnsi="Aptos"/>
                <w:sz w:val="17"/>
              </w:rPr>
              <w:t>Mission, doctrine et périmètre</w:t>
            </w:r>
          </w:p>
        </w:tc>
      </w:tr>
      <w:tr>
        <w:tc>
          <w:tcPr>
            <w:tcW w:type="dxa" w:w="1928"/>
            <w:tcMar>
              <w:top w:w="60" w:type="dxa"/>
              <w:start w:w="60" w:type="dxa"/>
              <w:bottom w:w="60" w:type="dxa"/>
              <w:end w:w="60" w:type="dxa"/>
            </w:tcMar>
            <w:vAlign w:val="top"/>
          </w:tcPr>
          <w:p>
            <w:r/>
            <w:r>
              <w:rPr>
                <w:rFonts w:ascii="Aptos" w:hAnsi="Aptos"/>
                <w:sz w:val="17"/>
              </w:rPr>
              <w:t>Partie II</w:t>
            </w:r>
          </w:p>
        </w:tc>
        <w:tc>
          <w:tcPr>
            <w:tcW w:type="dxa" w:w="7483"/>
            <w:tcMar>
              <w:top w:w="60" w:type="dxa"/>
              <w:start w:w="60" w:type="dxa"/>
              <w:bottom w:w="60" w:type="dxa"/>
              <w:end w:w="60" w:type="dxa"/>
            </w:tcMar>
            <w:vAlign w:val="top"/>
          </w:tcPr>
          <w:p>
            <w:r/>
            <w:r>
              <w:rPr>
                <w:rFonts w:ascii="Aptos" w:hAnsi="Aptos"/>
                <w:sz w:val="17"/>
              </w:rPr>
              <w:t>Cadre institutionnel et typologie des CIS</w:t>
            </w:r>
          </w:p>
        </w:tc>
      </w:tr>
      <w:tr>
        <w:tc>
          <w:tcPr>
            <w:tcW w:type="dxa" w:w="1928"/>
            <w:tcMar>
              <w:top w:w="60" w:type="dxa"/>
              <w:start w:w="60" w:type="dxa"/>
              <w:bottom w:w="60" w:type="dxa"/>
              <w:end w:w="60" w:type="dxa"/>
            </w:tcMar>
            <w:vAlign w:val="top"/>
          </w:tcPr>
          <w:p>
            <w:r/>
            <w:r>
              <w:rPr>
                <w:rFonts w:ascii="Aptos" w:hAnsi="Aptos"/>
                <w:sz w:val="17"/>
              </w:rPr>
              <w:t>Partie III</w:t>
            </w:r>
          </w:p>
        </w:tc>
        <w:tc>
          <w:tcPr>
            <w:tcW w:type="dxa" w:w="7483"/>
            <w:tcMar>
              <w:top w:w="60" w:type="dxa"/>
              <w:start w:w="60" w:type="dxa"/>
              <w:bottom w:w="60" w:type="dxa"/>
              <w:end w:w="60" w:type="dxa"/>
            </w:tcMar>
            <w:vAlign w:val="top"/>
          </w:tcPr>
          <w:p>
            <w:r/>
            <w:r>
              <w:rPr>
                <w:rFonts w:ascii="Aptos" w:hAnsi="Aptos"/>
                <w:sz w:val="17"/>
              </w:rPr>
              <w:t>Cartographie complète des sources</w:t>
            </w:r>
          </w:p>
        </w:tc>
      </w:tr>
      <w:tr>
        <w:tc>
          <w:tcPr>
            <w:tcW w:type="dxa" w:w="1928"/>
            <w:tcMar>
              <w:top w:w="60" w:type="dxa"/>
              <w:start w:w="60" w:type="dxa"/>
              <w:bottom w:w="60" w:type="dxa"/>
              <w:end w:w="60" w:type="dxa"/>
            </w:tcMar>
            <w:vAlign w:val="top"/>
          </w:tcPr>
          <w:p>
            <w:r/>
            <w:r>
              <w:rPr>
                <w:rFonts w:ascii="Aptos" w:hAnsi="Aptos"/>
                <w:sz w:val="17"/>
              </w:rPr>
              <w:t>Partie IV</w:t>
            </w:r>
          </w:p>
        </w:tc>
        <w:tc>
          <w:tcPr>
            <w:tcW w:type="dxa" w:w="7483"/>
            <w:tcMar>
              <w:top w:w="60" w:type="dxa"/>
              <w:start w:w="60" w:type="dxa"/>
              <w:bottom w:w="60" w:type="dxa"/>
              <w:end w:w="60" w:type="dxa"/>
            </w:tcMar>
            <w:vAlign w:val="top"/>
          </w:tcPr>
          <w:p>
            <w:r/>
            <w:r>
              <w:rPr>
                <w:rFonts w:ascii="Aptos" w:hAnsi="Aptos"/>
                <w:sz w:val="17"/>
              </w:rPr>
              <w:t>Inventaire, téléchargement et archivage probant</w:t>
            </w:r>
          </w:p>
        </w:tc>
      </w:tr>
      <w:tr>
        <w:tc>
          <w:tcPr>
            <w:tcW w:type="dxa" w:w="1928"/>
            <w:tcMar>
              <w:top w:w="60" w:type="dxa"/>
              <w:start w:w="60" w:type="dxa"/>
              <w:bottom w:w="60" w:type="dxa"/>
              <w:end w:w="60" w:type="dxa"/>
            </w:tcMar>
            <w:vAlign w:val="top"/>
          </w:tcPr>
          <w:p>
            <w:r/>
            <w:r>
              <w:rPr>
                <w:rFonts w:ascii="Aptos" w:hAnsi="Aptos"/>
                <w:sz w:val="17"/>
              </w:rPr>
              <w:t>Partie V</w:t>
            </w:r>
          </w:p>
        </w:tc>
        <w:tc>
          <w:tcPr>
            <w:tcW w:type="dxa" w:w="7483"/>
            <w:tcMar>
              <w:top w:w="60" w:type="dxa"/>
              <w:start w:w="60" w:type="dxa"/>
              <w:bottom w:w="60" w:type="dxa"/>
              <w:end w:w="60" w:type="dxa"/>
            </w:tcMar>
            <w:vAlign w:val="top"/>
          </w:tcPr>
          <w:p>
            <w:r/>
            <w:r>
              <w:rPr>
                <w:rFonts w:ascii="Aptos" w:hAnsi="Aptos"/>
                <w:sz w:val="17"/>
              </w:rPr>
              <w:t>Compréhension des classeurs SEC Nigeria</w:t>
            </w:r>
          </w:p>
        </w:tc>
      </w:tr>
      <w:tr>
        <w:tc>
          <w:tcPr>
            <w:tcW w:type="dxa" w:w="1928"/>
            <w:tcMar>
              <w:top w:w="60" w:type="dxa"/>
              <w:start w:w="60" w:type="dxa"/>
              <w:bottom w:w="60" w:type="dxa"/>
              <w:end w:w="60" w:type="dxa"/>
            </w:tcMar>
            <w:vAlign w:val="top"/>
          </w:tcPr>
          <w:p>
            <w:r/>
            <w:r>
              <w:rPr>
                <w:rFonts w:ascii="Aptos" w:hAnsi="Aptos"/>
                <w:sz w:val="17"/>
              </w:rPr>
              <w:t>Partie VI</w:t>
            </w:r>
          </w:p>
        </w:tc>
        <w:tc>
          <w:tcPr>
            <w:tcW w:type="dxa" w:w="7483"/>
            <w:tcMar>
              <w:top w:w="60" w:type="dxa"/>
              <w:start w:w="60" w:type="dxa"/>
              <w:bottom w:w="60" w:type="dxa"/>
              <w:end w:w="60" w:type="dxa"/>
            </w:tcMar>
            <w:vAlign w:val="top"/>
          </w:tcPr>
          <w:p>
            <w:r/>
            <w:r>
              <w:rPr>
                <w:rFonts w:ascii="Aptos" w:hAnsi="Aptos"/>
                <w:sz w:val="17"/>
              </w:rPr>
              <w:t>Sémantique financière et parsing des valeurs</w:t>
            </w:r>
          </w:p>
        </w:tc>
      </w:tr>
      <w:tr>
        <w:tc>
          <w:tcPr>
            <w:tcW w:type="dxa" w:w="1928"/>
            <w:tcMar>
              <w:top w:w="60" w:type="dxa"/>
              <w:start w:w="60" w:type="dxa"/>
              <w:bottom w:w="60" w:type="dxa"/>
              <w:end w:w="60" w:type="dxa"/>
            </w:tcMar>
            <w:vAlign w:val="top"/>
          </w:tcPr>
          <w:p>
            <w:r/>
            <w:r>
              <w:rPr>
                <w:rFonts w:ascii="Aptos" w:hAnsi="Aptos"/>
                <w:sz w:val="17"/>
              </w:rPr>
              <w:t>Partie VII</w:t>
            </w:r>
          </w:p>
        </w:tc>
        <w:tc>
          <w:tcPr>
            <w:tcW w:type="dxa" w:w="7483"/>
            <w:tcMar>
              <w:top w:w="60" w:type="dxa"/>
              <w:start w:w="60" w:type="dxa"/>
              <w:bottom w:w="60" w:type="dxa"/>
              <w:end w:w="60" w:type="dxa"/>
            </w:tcMar>
            <w:vAlign w:val="top"/>
          </w:tcPr>
          <w:p>
            <w:r/>
            <w:r>
              <w:rPr>
                <w:rFonts w:ascii="Aptos" w:hAnsi="Aptos"/>
                <w:sz w:val="17"/>
              </w:rPr>
              <w:t>Modèle de données canonique et traçabilité</w:t>
            </w:r>
          </w:p>
        </w:tc>
      </w:tr>
      <w:tr>
        <w:tc>
          <w:tcPr>
            <w:tcW w:type="dxa" w:w="1928"/>
            <w:tcMar>
              <w:top w:w="60" w:type="dxa"/>
              <w:start w:w="60" w:type="dxa"/>
              <w:bottom w:w="60" w:type="dxa"/>
              <w:end w:w="60" w:type="dxa"/>
            </w:tcMar>
            <w:vAlign w:val="top"/>
          </w:tcPr>
          <w:p>
            <w:r/>
            <w:r>
              <w:rPr>
                <w:rFonts w:ascii="Aptos" w:hAnsi="Aptos"/>
                <w:sz w:val="17"/>
              </w:rPr>
              <w:t>Partie VIII</w:t>
            </w:r>
          </w:p>
        </w:tc>
        <w:tc>
          <w:tcPr>
            <w:tcW w:type="dxa" w:w="7483"/>
            <w:tcMar>
              <w:top w:w="60" w:type="dxa"/>
              <w:start w:w="60" w:type="dxa"/>
              <w:bottom w:w="60" w:type="dxa"/>
              <w:end w:w="60" w:type="dxa"/>
            </w:tcMar>
            <w:vAlign w:val="top"/>
          </w:tcPr>
          <w:p>
            <w:r/>
            <w:r>
              <w:rPr>
                <w:rFonts w:ascii="Aptos" w:hAnsi="Aptos"/>
                <w:sz w:val="17"/>
              </w:rPr>
              <w:t>Harmonisation des fonds, gestionnaires et classes</w:t>
            </w:r>
          </w:p>
        </w:tc>
      </w:tr>
      <w:tr>
        <w:tc>
          <w:tcPr>
            <w:tcW w:type="dxa" w:w="1928"/>
            <w:tcMar>
              <w:top w:w="60" w:type="dxa"/>
              <w:start w:w="60" w:type="dxa"/>
              <w:bottom w:w="60" w:type="dxa"/>
              <w:end w:w="60" w:type="dxa"/>
            </w:tcMar>
            <w:vAlign w:val="top"/>
          </w:tcPr>
          <w:p>
            <w:r/>
            <w:r>
              <w:rPr>
                <w:rFonts w:ascii="Aptos" w:hAnsi="Aptos"/>
                <w:sz w:val="17"/>
              </w:rPr>
              <w:t>Partie IX</w:t>
            </w:r>
          </w:p>
        </w:tc>
        <w:tc>
          <w:tcPr>
            <w:tcW w:type="dxa" w:w="7483"/>
            <w:tcMar>
              <w:top w:w="60" w:type="dxa"/>
              <w:start w:w="60" w:type="dxa"/>
              <w:bottom w:w="60" w:type="dxa"/>
              <w:end w:w="60" w:type="dxa"/>
            </w:tcMar>
            <w:vAlign w:val="top"/>
          </w:tcPr>
          <w:p>
            <w:r/>
            <w:r>
              <w:rPr>
                <w:rFonts w:ascii="Aptos" w:hAnsi="Aptos"/>
                <w:sz w:val="17"/>
              </w:rPr>
              <w:t>Reconstruction juridique et ontologie des événements</w:t>
            </w:r>
          </w:p>
        </w:tc>
      </w:tr>
      <w:tr>
        <w:tc>
          <w:tcPr>
            <w:tcW w:type="dxa" w:w="1928"/>
            <w:tcMar>
              <w:top w:w="60" w:type="dxa"/>
              <w:start w:w="60" w:type="dxa"/>
              <w:bottom w:w="60" w:type="dxa"/>
              <w:end w:w="60" w:type="dxa"/>
            </w:tcMar>
            <w:vAlign w:val="top"/>
          </w:tcPr>
          <w:p>
            <w:r/>
            <w:r>
              <w:rPr>
                <w:rFonts w:ascii="Aptos" w:hAnsi="Aptos"/>
                <w:sz w:val="17"/>
              </w:rPr>
              <w:t>Partie X</w:t>
            </w:r>
          </w:p>
        </w:tc>
        <w:tc>
          <w:tcPr>
            <w:tcW w:type="dxa" w:w="7483"/>
            <w:tcMar>
              <w:top w:w="60" w:type="dxa"/>
              <w:start w:w="60" w:type="dxa"/>
              <w:bottom w:w="60" w:type="dxa"/>
              <w:end w:w="60" w:type="dxa"/>
            </w:tcMar>
            <w:vAlign w:val="top"/>
          </w:tcPr>
          <w:p>
            <w:r/>
            <w:r>
              <w:rPr>
                <w:rFonts w:ascii="Aptos" w:hAnsi="Aptos"/>
                <w:sz w:val="17"/>
              </w:rPr>
              <w:t>Méthode de recherche documentaire et Google</w:t>
            </w:r>
          </w:p>
        </w:tc>
      </w:tr>
      <w:tr>
        <w:tc>
          <w:tcPr>
            <w:tcW w:type="dxa" w:w="1928"/>
            <w:tcMar>
              <w:top w:w="60" w:type="dxa"/>
              <w:start w:w="60" w:type="dxa"/>
              <w:bottom w:w="60" w:type="dxa"/>
              <w:end w:w="60" w:type="dxa"/>
            </w:tcMar>
            <w:vAlign w:val="top"/>
          </w:tcPr>
          <w:p>
            <w:r/>
            <w:r>
              <w:rPr>
                <w:rFonts w:ascii="Aptos" w:hAnsi="Aptos"/>
                <w:sz w:val="17"/>
              </w:rPr>
              <w:t>Partie XI</w:t>
            </w:r>
          </w:p>
        </w:tc>
        <w:tc>
          <w:tcPr>
            <w:tcW w:type="dxa" w:w="7483"/>
            <w:tcMar>
              <w:top w:w="60" w:type="dxa"/>
              <w:start w:w="60" w:type="dxa"/>
              <w:bottom w:w="60" w:type="dxa"/>
              <w:end w:w="60" w:type="dxa"/>
            </w:tcMar>
            <w:vAlign w:val="top"/>
          </w:tcPr>
          <w:p>
            <w:r/>
            <w:r>
              <w:rPr>
                <w:rFonts w:ascii="Aptos" w:hAnsi="Aptos"/>
                <w:sz w:val="17"/>
              </w:rPr>
              <w:t>Complétion du DataFrame à 90 champs</w:t>
            </w:r>
          </w:p>
        </w:tc>
      </w:tr>
      <w:tr>
        <w:tc>
          <w:tcPr>
            <w:tcW w:type="dxa" w:w="1928"/>
            <w:tcMar>
              <w:top w:w="60" w:type="dxa"/>
              <w:start w:w="60" w:type="dxa"/>
              <w:bottom w:w="60" w:type="dxa"/>
              <w:end w:w="60" w:type="dxa"/>
            </w:tcMar>
            <w:vAlign w:val="top"/>
          </w:tcPr>
          <w:p>
            <w:r/>
            <w:r>
              <w:rPr>
                <w:rFonts w:ascii="Aptos" w:hAnsi="Aptos"/>
                <w:sz w:val="17"/>
              </w:rPr>
              <w:t>Partie XII</w:t>
            </w:r>
          </w:p>
        </w:tc>
        <w:tc>
          <w:tcPr>
            <w:tcW w:type="dxa" w:w="7483"/>
            <w:tcMar>
              <w:top w:w="60" w:type="dxa"/>
              <w:start w:w="60" w:type="dxa"/>
              <w:bottom w:w="60" w:type="dxa"/>
              <w:end w:w="60" w:type="dxa"/>
            </w:tcMar>
            <w:vAlign w:val="top"/>
          </w:tcPr>
          <w:p>
            <w:r/>
            <w:r>
              <w:rPr>
                <w:rFonts w:ascii="Aptos" w:hAnsi="Aptos"/>
                <w:sz w:val="17"/>
              </w:rPr>
              <w:t>Scoring de preuve, conflits et revue humaine</w:t>
            </w:r>
          </w:p>
        </w:tc>
      </w:tr>
      <w:tr>
        <w:tc>
          <w:tcPr>
            <w:tcW w:type="dxa" w:w="1928"/>
            <w:tcMar>
              <w:top w:w="60" w:type="dxa"/>
              <w:start w:w="60" w:type="dxa"/>
              <w:bottom w:w="60" w:type="dxa"/>
              <w:end w:w="60" w:type="dxa"/>
            </w:tcMar>
            <w:vAlign w:val="top"/>
          </w:tcPr>
          <w:p>
            <w:r/>
            <w:r>
              <w:rPr>
                <w:rFonts w:ascii="Aptos" w:hAnsi="Aptos"/>
                <w:sz w:val="17"/>
              </w:rPr>
              <w:t>Partie XIII</w:t>
            </w:r>
          </w:p>
        </w:tc>
        <w:tc>
          <w:tcPr>
            <w:tcW w:type="dxa" w:w="7483"/>
            <w:tcMar>
              <w:top w:w="60" w:type="dxa"/>
              <w:start w:w="60" w:type="dxa"/>
              <w:bottom w:w="60" w:type="dxa"/>
              <w:end w:w="60" w:type="dxa"/>
            </w:tcMar>
            <w:vAlign w:val="top"/>
          </w:tcPr>
          <w:p>
            <w:r/>
            <w:r>
              <w:rPr>
                <w:rFonts w:ascii="Aptos" w:hAnsi="Aptos"/>
                <w:sz w:val="17"/>
              </w:rPr>
              <w:t>Contrôles qualité et tests de non-régression</w:t>
            </w:r>
          </w:p>
        </w:tc>
      </w:tr>
      <w:tr>
        <w:tc>
          <w:tcPr>
            <w:tcW w:type="dxa" w:w="1928"/>
            <w:tcMar>
              <w:top w:w="60" w:type="dxa"/>
              <w:start w:w="60" w:type="dxa"/>
              <w:bottom w:w="60" w:type="dxa"/>
              <w:end w:w="60" w:type="dxa"/>
            </w:tcMar>
            <w:vAlign w:val="top"/>
          </w:tcPr>
          <w:p>
            <w:r/>
            <w:r>
              <w:rPr>
                <w:rFonts w:ascii="Aptos" w:hAnsi="Aptos"/>
                <w:sz w:val="17"/>
              </w:rPr>
              <w:t>Partie XIV</w:t>
            </w:r>
          </w:p>
        </w:tc>
        <w:tc>
          <w:tcPr>
            <w:tcW w:type="dxa" w:w="7483"/>
            <w:tcMar>
              <w:top w:w="60" w:type="dxa"/>
              <w:start w:w="60" w:type="dxa"/>
              <w:bottom w:w="60" w:type="dxa"/>
              <w:end w:w="60" w:type="dxa"/>
            </w:tcMar>
            <w:vAlign w:val="top"/>
          </w:tcPr>
          <w:p>
            <w:r/>
            <w:r>
              <w:rPr>
                <w:rFonts w:ascii="Aptos" w:hAnsi="Aptos"/>
                <w:sz w:val="17"/>
              </w:rPr>
              <w:t>Intégration ProAfricaFund et service Excel</w:t>
            </w:r>
          </w:p>
        </w:tc>
      </w:tr>
      <w:tr>
        <w:tc>
          <w:tcPr>
            <w:tcW w:type="dxa" w:w="1928"/>
            <w:tcMar>
              <w:top w:w="60" w:type="dxa"/>
              <w:start w:w="60" w:type="dxa"/>
              <w:bottom w:w="60" w:type="dxa"/>
              <w:end w:w="60" w:type="dxa"/>
            </w:tcMar>
            <w:vAlign w:val="top"/>
          </w:tcPr>
          <w:p>
            <w:r/>
            <w:r>
              <w:rPr>
                <w:rFonts w:ascii="Aptos" w:hAnsi="Aptos"/>
                <w:sz w:val="17"/>
              </w:rPr>
              <w:t>Partie XV</w:t>
            </w:r>
          </w:p>
        </w:tc>
        <w:tc>
          <w:tcPr>
            <w:tcW w:type="dxa" w:w="7483"/>
            <w:tcMar>
              <w:top w:w="60" w:type="dxa"/>
              <w:start w:w="60" w:type="dxa"/>
              <w:bottom w:w="60" w:type="dxa"/>
              <w:end w:w="60" w:type="dxa"/>
            </w:tcMar>
            <w:vAlign w:val="top"/>
          </w:tcPr>
          <w:p>
            <w:r/>
            <w:r>
              <w:rPr>
                <w:rFonts w:ascii="Aptos" w:hAnsi="Aptos"/>
                <w:sz w:val="17"/>
              </w:rPr>
              <w:t>Benchmarks, devises et données analytiques auxiliaires</w:t>
            </w:r>
          </w:p>
        </w:tc>
      </w:tr>
      <w:tr>
        <w:tc>
          <w:tcPr>
            <w:tcW w:type="dxa" w:w="1928"/>
            <w:tcMar>
              <w:top w:w="60" w:type="dxa"/>
              <w:start w:w="60" w:type="dxa"/>
              <w:bottom w:w="60" w:type="dxa"/>
              <w:end w:w="60" w:type="dxa"/>
            </w:tcMar>
            <w:vAlign w:val="top"/>
          </w:tcPr>
          <w:p>
            <w:r/>
            <w:r>
              <w:rPr>
                <w:rFonts w:ascii="Aptos" w:hAnsi="Aptos"/>
                <w:sz w:val="17"/>
              </w:rPr>
              <w:t>Partie XVI</w:t>
            </w:r>
          </w:p>
        </w:tc>
        <w:tc>
          <w:tcPr>
            <w:tcW w:type="dxa" w:w="7483"/>
            <w:tcMar>
              <w:top w:w="60" w:type="dxa"/>
              <w:start w:w="60" w:type="dxa"/>
              <w:bottom w:w="60" w:type="dxa"/>
              <w:end w:w="60" w:type="dxa"/>
            </w:tcMar>
            <w:vAlign w:val="top"/>
          </w:tcPr>
          <w:p>
            <w:r/>
            <w:r>
              <w:rPr>
                <w:rFonts w:ascii="Aptos" w:hAnsi="Aptos"/>
                <w:sz w:val="17"/>
              </w:rPr>
              <w:t>Runbooks opérationnels et critères d’acceptation</w:t>
            </w:r>
          </w:p>
        </w:tc>
      </w:tr>
      <w:tr>
        <w:tc>
          <w:tcPr>
            <w:tcW w:type="dxa" w:w="1928"/>
            <w:tcMar>
              <w:top w:w="60" w:type="dxa"/>
              <w:start w:w="60" w:type="dxa"/>
              <w:bottom w:w="60" w:type="dxa"/>
              <w:end w:w="60" w:type="dxa"/>
            </w:tcMar>
            <w:vAlign w:val="top"/>
          </w:tcPr>
          <w:p>
            <w:r/>
            <w:r>
              <w:rPr>
                <w:rFonts w:ascii="Aptos" w:hAnsi="Aptos"/>
                <w:sz w:val="17"/>
              </w:rPr>
              <w:t>Annexes</w:t>
            </w:r>
          </w:p>
        </w:tc>
        <w:tc>
          <w:tcPr>
            <w:tcW w:type="dxa" w:w="7483"/>
            <w:tcMar>
              <w:top w:w="60" w:type="dxa"/>
              <w:start w:w="60" w:type="dxa"/>
              <w:bottom w:w="60" w:type="dxa"/>
              <w:end w:w="60" w:type="dxa"/>
            </w:tcMar>
            <w:vAlign w:val="top"/>
          </w:tcPr>
          <w:p>
            <w:r/>
            <w:r>
              <w:rPr>
                <w:rFonts w:ascii="Aptos" w:hAnsi="Aptos"/>
                <w:sz w:val="17"/>
              </w:rPr>
              <w:t>Requêtes, codes qualité, schémas, narrations, check-lists et registre de sources</w:t>
            </w:r>
          </w:p>
        </w:tc>
      </w:tr>
    </w:tbl>
    <w:p>
      <w:pPr>
        <w:widowControl/>
        <w:spacing w:after="0"/>
      </w:pPr>
    </w:p>
    <w:p>
      <w:pPr>
        <w:widowControl/>
      </w:pPr>
      <w:r>
        <w:br w:type="page"/>
      </w:r>
    </w:p>
    <w:p>
      <w:pPr>
        <w:widowControl/>
        <w:jc w:val="center"/>
      </w:pPr>
      <w:r>
        <w:rPr>
          <w:rFonts w:ascii="Aptos Display" w:hAnsi="Aptos Display"/>
          <w:b/>
          <w:color w:val="123E5E"/>
          <w:sz w:val="44"/>
        </w:rPr>
        <w:t>PARTIE I — MISSION, DOCTRINE ET PÉRIMÈTRE</w:t>
      </w:r>
    </w:p>
    <w:p>
      <w:pPr>
        <w:widowControl/>
        <w:jc w:val="center"/>
      </w:pPr>
      <w:r>
        <w:rPr>
          <w:rFonts w:ascii="Aptos" w:hAnsi="Aptos"/>
          <w:i/>
          <w:color w:val="505050"/>
          <w:sz w:val="22"/>
        </w:rPr>
        <w:t>Ce que le système doit savoir faire, et ce qu’il ne doit jamais faire</w:t>
      </w:r>
    </w:p>
    <w:p>
      <w:pPr>
        <w:widowControl/>
      </w:pPr>
    </w:p>
    <w:p>
      <w:pPr>
        <w:pStyle w:val="Heading1"/>
        <w:widowControl/>
      </w:pPr>
      <w:r>
        <w:t>1. Mission de référence</w:t>
      </w:r>
    </w:p>
    <w:p>
      <w:pPr>
        <w:widowControl/>
      </w:pPr>
      <w:r>
        <w:rPr>
          <w:rFonts w:ascii="Aptos" w:hAnsi="Aptos"/>
          <w:sz w:val="19"/>
        </w:rPr>
        <w:t>Reconstituer l'historique officiel complet des fonds nigérians à partir des publications SEC Nigeria et des documents réglementaires, harmoniser les fonds et les sociétés de gestion dans le temps, conserver toutes les mesures sans confusion, compléter le DataFrame de recherche ligne par ligne, puis intégrer les résultats dans ProAfricaFund sans régression.</w:t>
      </w:r>
    </w:p>
    <w:p>
      <w:pPr>
        <w:pStyle w:val="Heading2"/>
        <w:widowControl/>
      </w:pPr>
      <w:r>
        <w:t>1.1 Les quatre niveaux obligatoires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701"/>
            <w:shd w:fill="D9EAF2"/>
            <w:tcMar>
              <w:top w:w="70" w:type="dxa"/>
              <w:start w:w="70" w:type="dxa"/>
              <w:bottom w:w="70" w:type="dxa"/>
              <w:end w:w="70" w:type="dxa"/>
            </w:tcMar>
            <w:vAlign w:val="center"/>
          </w:tcPr>
          <w:p>
            <w:r/>
            <w:r>
              <w:rPr>
                <w:rFonts w:ascii="Aptos" w:hAnsi="Aptos"/>
                <w:b/>
                <w:color w:val="123E5E"/>
                <w:sz w:val="16"/>
              </w:rPr>
              <w:t>Niveau</w:t>
            </w:r>
          </w:p>
        </w:tc>
        <w:tc>
          <w:tcPr>
            <w:tcW w:type="dxa" w:w="3798"/>
            <w:shd w:fill="D9EAF2"/>
            <w:tcMar>
              <w:top w:w="70" w:type="dxa"/>
              <w:start w:w="70" w:type="dxa"/>
              <w:bottom w:w="70" w:type="dxa"/>
              <w:end w:w="70" w:type="dxa"/>
            </w:tcMar>
            <w:vAlign w:val="center"/>
          </w:tcPr>
          <w:p>
            <w:r/>
            <w:r>
              <w:rPr>
                <w:rFonts w:ascii="Aptos" w:hAnsi="Aptos"/>
                <w:b/>
                <w:color w:val="123E5E"/>
                <w:sz w:val="16"/>
              </w:rPr>
              <w:t>Objectif</w:t>
            </w:r>
          </w:p>
        </w:tc>
        <w:tc>
          <w:tcPr>
            <w:tcW w:type="dxa" w:w="3798"/>
            <w:shd w:fill="D9EAF2"/>
            <w:tcMar>
              <w:top w:w="70" w:type="dxa"/>
              <w:start w:w="70" w:type="dxa"/>
              <w:bottom w:w="70" w:type="dxa"/>
              <w:end w:w="70" w:type="dxa"/>
            </w:tcMar>
            <w:vAlign w:val="center"/>
          </w:tcPr>
          <w:p>
            <w:r/>
            <w:r>
              <w:rPr>
                <w:rFonts w:ascii="Aptos" w:hAnsi="Aptos"/>
                <w:b/>
                <w:color w:val="123E5E"/>
                <w:sz w:val="16"/>
              </w:rPr>
              <w:t>Livrable</w:t>
            </w:r>
          </w:p>
        </w:tc>
      </w:tr>
      <w:tr>
        <w:tc>
          <w:tcPr>
            <w:tcW w:type="dxa" w:w="1701"/>
            <w:tcMar>
              <w:top w:w="60" w:type="dxa"/>
              <w:start w:w="60" w:type="dxa"/>
              <w:bottom w:w="60" w:type="dxa"/>
              <w:end w:w="60" w:type="dxa"/>
            </w:tcMar>
            <w:vAlign w:val="top"/>
          </w:tcPr>
          <w:p>
            <w:r/>
            <w:r>
              <w:rPr>
                <w:rFonts w:ascii="Aptos" w:hAnsi="Aptos"/>
                <w:sz w:val="16"/>
              </w:rPr>
              <w:t>1 — Sources</w:t>
            </w:r>
          </w:p>
        </w:tc>
        <w:tc>
          <w:tcPr>
            <w:tcW w:type="dxa" w:w="3798"/>
            <w:tcMar>
              <w:top w:w="60" w:type="dxa"/>
              <w:start w:w="60" w:type="dxa"/>
              <w:bottom w:w="60" w:type="dxa"/>
              <w:end w:w="60" w:type="dxa"/>
            </w:tcMar>
            <w:vAlign w:val="top"/>
          </w:tcPr>
          <w:p>
            <w:r/>
            <w:r>
              <w:rPr>
                <w:rFonts w:ascii="Aptos" w:hAnsi="Aptos"/>
                <w:sz w:val="16"/>
              </w:rPr>
              <w:t>Conserver toutes les publications, fichiers et versions.</w:t>
            </w:r>
          </w:p>
        </w:tc>
        <w:tc>
          <w:tcPr>
            <w:tcW w:type="dxa" w:w="3798"/>
            <w:tcMar>
              <w:top w:w="60" w:type="dxa"/>
              <w:start w:w="60" w:type="dxa"/>
              <w:bottom w:w="60" w:type="dxa"/>
              <w:end w:w="60" w:type="dxa"/>
            </w:tcMar>
            <w:vAlign w:val="top"/>
          </w:tcPr>
          <w:p>
            <w:r/>
            <w:r>
              <w:rPr>
                <w:rFonts w:ascii="Aptos" w:hAnsi="Aptos"/>
                <w:sz w:val="16"/>
              </w:rPr>
              <w:t>Manifeste, fichiers originaux, SHA-256, journal d’accès, statut de lisibilité.</w:t>
            </w:r>
          </w:p>
        </w:tc>
      </w:tr>
      <w:tr>
        <w:tc>
          <w:tcPr>
            <w:tcW w:type="dxa" w:w="1701"/>
            <w:tcMar>
              <w:top w:w="60" w:type="dxa"/>
              <w:start w:w="60" w:type="dxa"/>
              <w:bottom w:w="60" w:type="dxa"/>
              <w:end w:w="60" w:type="dxa"/>
            </w:tcMar>
            <w:vAlign w:val="top"/>
          </w:tcPr>
          <w:p>
            <w:r/>
            <w:r>
              <w:rPr>
                <w:rFonts w:ascii="Aptos" w:hAnsi="Aptos"/>
                <w:sz w:val="16"/>
              </w:rPr>
              <w:t>2 — Compréhension</w:t>
            </w:r>
          </w:p>
        </w:tc>
        <w:tc>
          <w:tcPr>
            <w:tcW w:type="dxa" w:w="3798"/>
            <w:tcMar>
              <w:top w:w="60" w:type="dxa"/>
              <w:start w:w="60" w:type="dxa"/>
              <w:bottom w:w="60" w:type="dxa"/>
              <w:end w:w="60" w:type="dxa"/>
            </w:tcMar>
            <w:vAlign w:val="top"/>
          </w:tcPr>
          <w:p>
            <w:r/>
            <w:r>
              <w:rPr>
                <w:rFonts w:ascii="Aptos" w:hAnsi="Aptos"/>
                <w:sz w:val="16"/>
              </w:rPr>
              <w:t>Identifier la vraie structure de chaque feuille et la sémantique de chaque colonne.</w:t>
            </w:r>
          </w:p>
        </w:tc>
        <w:tc>
          <w:tcPr>
            <w:tcW w:type="dxa" w:w="3798"/>
            <w:tcMar>
              <w:top w:w="60" w:type="dxa"/>
              <w:start w:w="60" w:type="dxa"/>
              <w:bottom w:w="60" w:type="dxa"/>
              <w:end w:w="60" w:type="dxa"/>
            </w:tcMar>
            <w:vAlign w:val="top"/>
          </w:tcPr>
          <w:p>
            <w:r/>
            <w:r>
              <w:rPr>
                <w:rFonts w:ascii="Aptos" w:hAnsi="Aptos"/>
                <w:sz w:val="16"/>
              </w:rPr>
              <w:t>Classification de feuille, carte des blocs, coordonnées et règles de parsing.</w:t>
            </w:r>
          </w:p>
        </w:tc>
      </w:tr>
      <w:tr>
        <w:tc>
          <w:tcPr>
            <w:tcW w:type="dxa" w:w="1701"/>
            <w:tcMar>
              <w:top w:w="60" w:type="dxa"/>
              <w:start w:w="60" w:type="dxa"/>
              <w:bottom w:w="60" w:type="dxa"/>
              <w:end w:w="60" w:type="dxa"/>
            </w:tcMar>
            <w:vAlign w:val="top"/>
          </w:tcPr>
          <w:p>
            <w:r/>
            <w:r>
              <w:rPr>
                <w:rFonts w:ascii="Aptos" w:hAnsi="Aptos"/>
                <w:sz w:val="16"/>
              </w:rPr>
              <w:t>3 — Canonisation</w:t>
            </w:r>
          </w:p>
        </w:tc>
        <w:tc>
          <w:tcPr>
            <w:tcW w:type="dxa" w:w="3798"/>
            <w:tcMar>
              <w:top w:w="60" w:type="dxa"/>
              <w:start w:w="60" w:type="dxa"/>
              <w:bottom w:w="60" w:type="dxa"/>
              <w:end w:w="60" w:type="dxa"/>
            </w:tcMar>
            <w:vAlign w:val="top"/>
          </w:tcPr>
          <w:p>
            <w:r/>
            <w:r>
              <w:rPr>
                <w:rFonts w:ascii="Aptos" w:hAnsi="Aptos"/>
                <w:sz w:val="16"/>
              </w:rPr>
              <w:t>Produire des observations et entités cohérentes sans perdre la source.</w:t>
            </w:r>
          </w:p>
        </w:tc>
        <w:tc>
          <w:tcPr>
            <w:tcW w:type="dxa" w:w="3798"/>
            <w:tcMar>
              <w:top w:w="60" w:type="dxa"/>
              <w:start w:w="60" w:type="dxa"/>
              <w:bottom w:w="60" w:type="dxa"/>
              <w:end w:w="60" w:type="dxa"/>
            </w:tcMar>
            <w:vAlign w:val="top"/>
          </w:tcPr>
          <w:p>
            <w:r/>
            <w:r>
              <w:rPr>
                <w:rFonts w:ascii="Aptos" w:hAnsi="Aptos"/>
                <w:sz w:val="16"/>
              </w:rPr>
              <w:t>Mesures longues, fonds canoniques, alias, événements, conflits, niveaux de confiance.</w:t>
            </w:r>
          </w:p>
        </w:tc>
      </w:tr>
      <w:tr>
        <w:tc>
          <w:tcPr>
            <w:tcW w:type="dxa" w:w="1701"/>
            <w:tcMar>
              <w:top w:w="60" w:type="dxa"/>
              <w:start w:w="60" w:type="dxa"/>
              <w:bottom w:w="60" w:type="dxa"/>
              <w:end w:w="60" w:type="dxa"/>
            </w:tcMar>
            <w:vAlign w:val="top"/>
          </w:tcPr>
          <w:p>
            <w:r/>
            <w:r>
              <w:rPr>
                <w:rFonts w:ascii="Aptos" w:hAnsi="Aptos"/>
                <w:sz w:val="16"/>
              </w:rPr>
              <w:t>4 — Production</w:t>
            </w:r>
          </w:p>
        </w:tc>
        <w:tc>
          <w:tcPr>
            <w:tcW w:type="dxa" w:w="3798"/>
            <w:tcMar>
              <w:top w:w="60" w:type="dxa"/>
              <w:start w:w="60" w:type="dxa"/>
              <w:bottom w:w="60" w:type="dxa"/>
              <w:end w:w="60" w:type="dxa"/>
            </w:tcMar>
            <w:vAlign w:val="top"/>
          </w:tcPr>
          <w:p>
            <w:r/>
            <w:r>
              <w:rPr>
                <w:rFonts w:ascii="Aptos" w:hAnsi="Aptos"/>
                <w:sz w:val="16"/>
              </w:rPr>
              <w:t>Mettre à niveau la base et automatiser les nouvelles publications.</w:t>
            </w:r>
          </w:p>
        </w:tc>
        <w:tc>
          <w:tcPr>
            <w:tcW w:type="dxa" w:w="3798"/>
            <w:tcMar>
              <w:top w:w="60" w:type="dxa"/>
              <w:start w:w="60" w:type="dxa"/>
              <w:bottom w:w="60" w:type="dxa"/>
              <w:end w:w="60" w:type="dxa"/>
            </w:tcMar>
            <w:vAlign w:val="top"/>
          </w:tcPr>
          <w:p>
            <w:r/>
            <w:r>
              <w:rPr>
                <w:rFonts w:ascii="Aptos" w:hAnsi="Aptos"/>
                <w:sz w:val="16"/>
              </w:rPr>
              <w:t>Import idempotent, tests, audit, rollback, monitoring et rapprochement hebdomadaire.</w:t>
            </w:r>
          </w:p>
        </w:tc>
      </w:tr>
    </w:tbl>
    <w:p>
      <w:pPr>
        <w:widowControl/>
        <w:spacing w:after="0"/>
      </w:pPr>
    </w:p>
    <w:p>
      <w:pPr>
        <w:pStyle w:val="Heading2"/>
        <w:widowControl/>
      </w:pPr>
      <w:r>
        <w:t>1.2 Doctrine de non-invention</w:t>
      </w:r>
    </w:p>
    <w:p>
      <w:pPr>
        <w:pStyle w:val="ListBullet"/>
        <w:widowControl/>
        <w:ind w:left="397" w:hanging="142"/>
      </w:pPr>
      <w:r>
        <w:rPr>
          <w:rFonts w:ascii="Aptos" w:hAnsi="Aptos"/>
          <w:sz w:val="18"/>
        </w:rPr>
        <w:t>Une cellule vide reste vide tant qu'une source ne permet pas de la renseigner.</w:t>
      </w:r>
    </w:p>
    <w:p>
      <w:pPr>
        <w:pStyle w:val="ListBullet"/>
        <w:widowControl/>
        <w:ind w:left="397" w:hanging="142"/>
      </w:pPr>
      <w:r>
        <w:rPr>
          <w:rFonts w:ascii="Aptos" w:hAnsi="Aptos"/>
          <w:sz w:val="18"/>
        </w:rPr>
        <w:t>Un zéro publié est conservé comme zéro source ; il ne devient pas automatiquement une valeur manquante.</w:t>
      </w:r>
    </w:p>
    <w:p>
      <w:pPr>
        <w:pStyle w:val="ListBullet"/>
        <w:widowControl/>
        <w:ind w:left="397" w:hanging="142"/>
      </w:pPr>
      <w:r>
        <w:rPr>
          <w:rFonts w:ascii="Aptos" w:hAnsi="Aptos"/>
          <w:sz w:val="18"/>
        </w:rPr>
        <w:t>Une valeur manquante ne devient jamais zéro.</w:t>
      </w:r>
    </w:p>
    <w:p>
      <w:pPr>
        <w:pStyle w:val="ListBullet"/>
        <w:widowControl/>
        <w:ind w:left="397" w:hanging="142"/>
      </w:pPr>
      <w:r>
        <w:rPr>
          <w:rFonts w:ascii="Aptos" w:hAnsi="Aptos"/>
          <w:sz w:val="18"/>
        </w:rPr>
        <w:t>Une date partielle ou une année seule n'est pas transformée en jour/mois/année arbitraire.</w:t>
      </w:r>
    </w:p>
    <w:p>
      <w:pPr>
        <w:pStyle w:val="ListBullet"/>
        <w:widowControl/>
        <w:ind w:left="397" w:hanging="142"/>
      </w:pPr>
      <w:r>
        <w:rPr>
          <w:rFonts w:ascii="Aptos" w:hAnsi="Aptos"/>
          <w:sz w:val="18"/>
        </w:rPr>
        <w:t>Une similarité de nom ne crée pas une identité juridique.</w:t>
      </w:r>
    </w:p>
    <w:p>
      <w:pPr>
        <w:pStyle w:val="ListBullet"/>
        <w:widowControl/>
        <w:ind w:left="397" w:hanging="142"/>
      </w:pPr>
      <w:r>
        <w:rPr>
          <w:rFonts w:ascii="Aptos" w:hAnsi="Aptos"/>
          <w:sz w:val="18"/>
        </w:rPr>
        <w:t>Une absence récente de publication ne prouve pas une liquidation.</w:t>
      </w:r>
    </w:p>
    <w:p>
      <w:pPr>
        <w:pStyle w:val="ListBullet"/>
        <w:widowControl/>
        <w:ind w:left="397" w:hanging="142"/>
      </w:pPr>
      <w:r>
        <w:rPr>
          <w:rFonts w:ascii="Aptos" w:hAnsi="Aptos"/>
          <w:sz w:val="18"/>
        </w:rPr>
        <w:t>Une fiche commerciale ne remplace pas un avis officiel pour une fusion ou une dissolution.</w:t>
      </w:r>
    </w:p>
    <w:p>
      <w:pPr>
        <w:pStyle w:val="ListBullet"/>
        <w:widowControl/>
        <w:ind w:left="397" w:hanging="142"/>
      </w:pPr>
      <w:r>
        <w:rPr>
          <w:rFonts w:ascii="Aptos" w:hAnsi="Aptos"/>
          <w:sz w:val="18"/>
        </w:rPr>
        <w:t>Une valeur calculée doit être marquée comme calculée, avec formule et entrées ; elle ne doit pas être présentée comme publiée.</w:t>
      </w:r>
    </w:p>
    <w:p>
      <w:pPr>
        <w:pStyle w:val="Heading2"/>
        <w:widowControl/>
      </w:pPr>
      <w:r>
        <w:t>1.3 Périmètre des instruments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381"/>
            <w:shd w:fill="D9EAF2"/>
            <w:tcMar>
              <w:top w:w="70" w:type="dxa"/>
              <w:start w:w="70" w:type="dxa"/>
              <w:bottom w:w="70" w:type="dxa"/>
              <w:end w:w="70" w:type="dxa"/>
            </w:tcMar>
            <w:vAlign w:val="center"/>
          </w:tcPr>
          <w:p>
            <w:r/>
            <w:r>
              <w:rPr>
                <w:rFonts w:ascii="Aptos" w:hAnsi="Aptos"/>
                <w:b/>
                <w:color w:val="123E5E"/>
                <w:sz w:val="16"/>
              </w:rPr>
              <w:t>Famille</w:t>
            </w:r>
          </w:p>
        </w:tc>
        <w:tc>
          <w:tcPr>
            <w:tcW w:type="dxa" w:w="1304"/>
            <w:shd w:fill="D9EAF2"/>
            <w:tcMar>
              <w:top w:w="70" w:type="dxa"/>
              <w:start w:w="70" w:type="dxa"/>
              <w:bottom w:w="70" w:type="dxa"/>
              <w:end w:w="70" w:type="dxa"/>
            </w:tcMar>
            <w:vAlign w:val="center"/>
          </w:tcPr>
          <w:p>
            <w:r/>
            <w:r>
              <w:rPr>
                <w:rFonts w:ascii="Aptos" w:hAnsi="Aptos"/>
                <w:b/>
                <w:color w:val="123E5E"/>
                <w:sz w:val="16"/>
              </w:rPr>
              <w:t>Incluse</w:t>
            </w:r>
          </w:p>
        </w:tc>
        <w:tc>
          <w:tcPr>
            <w:tcW w:type="dxa" w:w="5613"/>
            <w:shd w:fill="D9EAF2"/>
            <w:tcMar>
              <w:top w:w="70" w:type="dxa"/>
              <w:start w:w="70" w:type="dxa"/>
              <w:bottom w:w="70" w:type="dxa"/>
              <w:end w:w="70" w:type="dxa"/>
            </w:tcMar>
            <w:vAlign w:val="center"/>
          </w:tcPr>
          <w:p>
            <w:r/>
            <w:r>
              <w:rPr>
                <w:rFonts w:ascii="Aptos" w:hAnsi="Aptos"/>
                <w:b/>
                <w:color w:val="123E5E"/>
                <w:sz w:val="16"/>
              </w:rPr>
              <w:t>Précaution</w:t>
            </w:r>
          </w:p>
        </w:tc>
      </w:tr>
      <w:tr>
        <w:tc>
          <w:tcPr>
            <w:tcW w:type="dxa" w:w="2381"/>
            <w:tcMar>
              <w:top w:w="60" w:type="dxa"/>
              <w:start w:w="60" w:type="dxa"/>
              <w:bottom w:w="60" w:type="dxa"/>
              <w:end w:w="60" w:type="dxa"/>
            </w:tcMar>
            <w:vAlign w:val="top"/>
          </w:tcPr>
          <w:p>
            <w:r/>
            <w:r>
              <w:rPr>
                <w:rFonts w:ascii="Aptos" w:hAnsi="Aptos"/>
                <w:sz w:val="16"/>
              </w:rPr>
              <w:t>Unit trusts / mutual funds</w:t>
            </w:r>
          </w:p>
        </w:tc>
        <w:tc>
          <w:tcPr>
            <w:tcW w:type="dxa" w:w="1304"/>
            <w:tcMar>
              <w:top w:w="60" w:type="dxa"/>
              <w:start w:w="60" w:type="dxa"/>
              <w:bottom w:w="60" w:type="dxa"/>
              <w:end w:w="60" w:type="dxa"/>
            </w:tcMar>
            <w:vAlign w:val="top"/>
          </w:tcPr>
          <w:p>
            <w:r/>
            <w:r>
              <w:rPr>
                <w:rFonts w:ascii="Aptos" w:hAnsi="Aptos"/>
                <w:sz w:val="16"/>
              </w:rPr>
              <w:t>Oui</w:t>
            </w:r>
          </w:p>
        </w:tc>
        <w:tc>
          <w:tcPr>
            <w:tcW w:type="dxa" w:w="5613"/>
            <w:tcMar>
              <w:top w:w="60" w:type="dxa"/>
              <w:start w:w="60" w:type="dxa"/>
              <w:bottom w:w="60" w:type="dxa"/>
              <w:end w:w="60" w:type="dxa"/>
            </w:tcMar>
            <w:vAlign w:val="top"/>
          </w:tcPr>
          <w:p>
            <w:r/>
            <w:r>
              <w:rPr>
                <w:rFonts w:ascii="Aptos" w:hAnsi="Aptos"/>
                <w:sz w:val="16"/>
              </w:rPr>
              <w:t>Distinguer fonds, sous-fonds et classes lorsque les documents le permettent.</w:t>
            </w:r>
          </w:p>
        </w:tc>
      </w:tr>
      <w:tr>
        <w:tc>
          <w:tcPr>
            <w:tcW w:type="dxa" w:w="2381"/>
            <w:tcMar>
              <w:top w:w="60" w:type="dxa"/>
              <w:start w:w="60" w:type="dxa"/>
              <w:bottom w:w="60" w:type="dxa"/>
              <w:end w:w="60" w:type="dxa"/>
            </w:tcMar>
            <w:vAlign w:val="top"/>
          </w:tcPr>
          <w:p>
            <w:r/>
            <w:r>
              <w:rPr>
                <w:rFonts w:ascii="Aptos" w:hAnsi="Aptos"/>
                <w:sz w:val="16"/>
              </w:rPr>
              <w:t>Open-ended investment companies</w:t>
            </w:r>
          </w:p>
        </w:tc>
        <w:tc>
          <w:tcPr>
            <w:tcW w:type="dxa" w:w="1304"/>
            <w:tcMar>
              <w:top w:w="60" w:type="dxa"/>
              <w:start w:w="60" w:type="dxa"/>
              <w:bottom w:w="60" w:type="dxa"/>
              <w:end w:w="60" w:type="dxa"/>
            </w:tcMar>
            <w:vAlign w:val="top"/>
          </w:tcPr>
          <w:p>
            <w:r/>
            <w:r>
              <w:rPr>
                <w:rFonts w:ascii="Aptos" w:hAnsi="Aptos"/>
                <w:sz w:val="16"/>
              </w:rPr>
              <w:t>Oui</w:t>
            </w:r>
          </w:p>
        </w:tc>
        <w:tc>
          <w:tcPr>
            <w:tcW w:type="dxa" w:w="5613"/>
            <w:tcMar>
              <w:top w:w="60" w:type="dxa"/>
              <w:start w:w="60" w:type="dxa"/>
              <w:bottom w:w="60" w:type="dxa"/>
              <w:end w:w="60" w:type="dxa"/>
            </w:tcMar>
            <w:vAlign w:val="top"/>
          </w:tcPr>
          <w:p>
            <w:r/>
            <w:r>
              <w:rPr>
                <w:rFonts w:ascii="Aptos" w:hAnsi="Aptos"/>
                <w:sz w:val="16"/>
              </w:rPr>
              <w:t>Conserver la forme juridique et la structure de capital.</w:t>
            </w:r>
          </w:p>
        </w:tc>
      </w:tr>
      <w:tr>
        <w:tc>
          <w:tcPr>
            <w:tcW w:type="dxa" w:w="2381"/>
            <w:tcMar>
              <w:top w:w="60" w:type="dxa"/>
              <w:start w:w="60" w:type="dxa"/>
              <w:bottom w:w="60" w:type="dxa"/>
              <w:end w:w="60" w:type="dxa"/>
            </w:tcMar>
            <w:vAlign w:val="top"/>
          </w:tcPr>
          <w:p>
            <w:r/>
            <w:r>
              <w:rPr>
                <w:rFonts w:ascii="Aptos" w:hAnsi="Aptos"/>
                <w:sz w:val="16"/>
              </w:rPr>
              <w:t>ETF</w:t>
            </w:r>
          </w:p>
        </w:tc>
        <w:tc>
          <w:tcPr>
            <w:tcW w:type="dxa" w:w="1304"/>
            <w:tcMar>
              <w:top w:w="60" w:type="dxa"/>
              <w:start w:w="60" w:type="dxa"/>
              <w:bottom w:w="60" w:type="dxa"/>
              <w:end w:w="60" w:type="dxa"/>
            </w:tcMar>
            <w:vAlign w:val="top"/>
          </w:tcPr>
          <w:p>
            <w:r/>
            <w:r>
              <w:rPr>
                <w:rFonts w:ascii="Aptos" w:hAnsi="Aptos"/>
                <w:sz w:val="16"/>
              </w:rPr>
              <w:t>Oui</w:t>
            </w:r>
          </w:p>
        </w:tc>
        <w:tc>
          <w:tcPr>
            <w:tcW w:type="dxa" w:w="5613"/>
            <w:tcMar>
              <w:top w:w="60" w:type="dxa"/>
              <w:start w:w="60" w:type="dxa"/>
              <w:bottom w:w="60" w:type="dxa"/>
              <w:end w:w="60" w:type="dxa"/>
            </w:tcMar>
            <w:vAlign w:val="top"/>
          </w:tcPr>
          <w:p>
            <w:r/>
            <w:r>
              <w:rPr>
                <w:rFonts w:ascii="Aptos" w:hAnsi="Aptos"/>
                <w:sz w:val="16"/>
              </w:rPr>
              <w:t>Croiser SEC et NGX ; distinguer NAV du fonds et cours de marché.</w:t>
            </w:r>
          </w:p>
        </w:tc>
      </w:tr>
      <w:tr>
        <w:tc>
          <w:tcPr>
            <w:tcW w:type="dxa" w:w="2381"/>
            <w:tcMar>
              <w:top w:w="60" w:type="dxa"/>
              <w:start w:w="60" w:type="dxa"/>
              <w:bottom w:w="60" w:type="dxa"/>
              <w:end w:w="60" w:type="dxa"/>
            </w:tcMar>
            <w:vAlign w:val="top"/>
          </w:tcPr>
          <w:p>
            <w:r/>
            <w:r>
              <w:rPr>
                <w:rFonts w:ascii="Aptos" w:hAnsi="Aptos"/>
                <w:sz w:val="16"/>
              </w:rPr>
              <w:t>REIT</w:t>
            </w:r>
          </w:p>
        </w:tc>
        <w:tc>
          <w:tcPr>
            <w:tcW w:type="dxa" w:w="1304"/>
            <w:tcMar>
              <w:top w:w="60" w:type="dxa"/>
              <w:start w:w="60" w:type="dxa"/>
              <w:bottom w:w="60" w:type="dxa"/>
              <w:end w:w="60" w:type="dxa"/>
            </w:tcMar>
            <w:vAlign w:val="top"/>
          </w:tcPr>
          <w:p>
            <w:r/>
            <w:r>
              <w:rPr>
                <w:rFonts w:ascii="Aptos" w:hAnsi="Aptos"/>
                <w:sz w:val="16"/>
              </w:rPr>
              <w:t>Oui</w:t>
            </w:r>
          </w:p>
        </w:tc>
        <w:tc>
          <w:tcPr>
            <w:tcW w:type="dxa" w:w="5613"/>
            <w:tcMar>
              <w:top w:w="60" w:type="dxa"/>
              <w:start w:w="60" w:type="dxa"/>
              <w:bottom w:w="60" w:type="dxa"/>
              <w:end w:w="60" w:type="dxa"/>
            </w:tcMar>
            <w:vAlign w:val="top"/>
          </w:tcPr>
          <w:p>
            <w:r/>
            <w:r>
              <w:rPr>
                <w:rFonts w:ascii="Aptos" w:hAnsi="Aptos"/>
                <w:sz w:val="16"/>
              </w:rPr>
              <w:t>Croiser SEC et NGX ; séparer actif net, NAV par unité, prix coté et distributions.</w:t>
            </w:r>
          </w:p>
        </w:tc>
      </w:tr>
      <w:tr>
        <w:tc>
          <w:tcPr>
            <w:tcW w:type="dxa" w:w="2381"/>
            <w:tcMar>
              <w:top w:w="60" w:type="dxa"/>
              <w:start w:w="60" w:type="dxa"/>
              <w:bottom w:w="60" w:type="dxa"/>
              <w:end w:w="60" w:type="dxa"/>
            </w:tcMar>
            <w:vAlign w:val="top"/>
          </w:tcPr>
          <w:p>
            <w:r/>
            <w:r>
              <w:rPr>
                <w:rFonts w:ascii="Aptos" w:hAnsi="Aptos"/>
                <w:sz w:val="16"/>
              </w:rPr>
              <w:t>Closed-end funds</w:t>
            </w:r>
          </w:p>
        </w:tc>
        <w:tc>
          <w:tcPr>
            <w:tcW w:type="dxa" w:w="1304"/>
            <w:tcMar>
              <w:top w:w="60" w:type="dxa"/>
              <w:start w:w="60" w:type="dxa"/>
              <w:bottom w:w="60" w:type="dxa"/>
              <w:end w:w="60" w:type="dxa"/>
            </w:tcMar>
            <w:vAlign w:val="top"/>
          </w:tcPr>
          <w:p>
            <w:r/>
            <w:r>
              <w:rPr>
                <w:rFonts w:ascii="Aptos" w:hAnsi="Aptos"/>
                <w:sz w:val="16"/>
              </w:rPr>
              <w:t>Oui</w:t>
            </w:r>
          </w:p>
        </w:tc>
        <w:tc>
          <w:tcPr>
            <w:tcW w:type="dxa" w:w="5613"/>
            <w:tcMar>
              <w:top w:w="60" w:type="dxa"/>
              <w:start w:w="60" w:type="dxa"/>
              <w:bottom w:w="60" w:type="dxa"/>
              <w:end w:w="60" w:type="dxa"/>
            </w:tcMar>
            <w:vAlign w:val="top"/>
          </w:tcPr>
          <w:p>
            <w:r/>
            <w:r>
              <w:rPr>
                <w:rFonts w:ascii="Aptos" w:hAnsi="Aptos"/>
                <w:sz w:val="16"/>
              </w:rPr>
              <w:t>Conserver le statut fermé et les données de marché distinctes des données de fonds.</w:t>
            </w:r>
          </w:p>
        </w:tc>
      </w:tr>
      <w:tr>
        <w:tc>
          <w:tcPr>
            <w:tcW w:type="dxa" w:w="2381"/>
            <w:tcMar>
              <w:top w:w="60" w:type="dxa"/>
              <w:start w:w="60" w:type="dxa"/>
              <w:bottom w:w="60" w:type="dxa"/>
              <w:end w:w="60" w:type="dxa"/>
            </w:tcMar>
            <w:vAlign w:val="top"/>
          </w:tcPr>
          <w:p>
            <w:r/>
            <w:r>
              <w:rPr>
                <w:rFonts w:ascii="Aptos" w:hAnsi="Aptos"/>
                <w:sz w:val="16"/>
              </w:rPr>
              <w:t>Private equity / venture capital</w:t>
            </w:r>
          </w:p>
        </w:tc>
        <w:tc>
          <w:tcPr>
            <w:tcW w:type="dxa" w:w="1304"/>
            <w:tcMar>
              <w:top w:w="60" w:type="dxa"/>
              <w:start w:w="60" w:type="dxa"/>
              <w:bottom w:w="60" w:type="dxa"/>
              <w:end w:w="60" w:type="dxa"/>
            </w:tcMar>
            <w:vAlign w:val="top"/>
          </w:tcPr>
          <w:p>
            <w:r/>
            <w:r>
              <w:rPr>
                <w:rFonts w:ascii="Aptos" w:hAnsi="Aptos"/>
                <w:sz w:val="16"/>
              </w:rPr>
              <w:t>Selon périmètre du classeur</w:t>
            </w:r>
          </w:p>
        </w:tc>
        <w:tc>
          <w:tcPr>
            <w:tcW w:type="dxa" w:w="5613"/>
            <w:tcMar>
              <w:top w:w="60" w:type="dxa"/>
              <w:start w:w="60" w:type="dxa"/>
              <w:bottom w:w="60" w:type="dxa"/>
              <w:end w:w="60" w:type="dxa"/>
            </w:tcMar>
            <w:vAlign w:val="top"/>
          </w:tcPr>
          <w:p>
            <w:r/>
            <w:r>
              <w:rPr>
                <w:rFonts w:ascii="Aptos" w:hAnsi="Aptos"/>
                <w:sz w:val="16"/>
              </w:rPr>
              <w:t>Ne pas mélanger avec les fonds ouverts de la série Weekly NAV sans relation explicite.</w:t>
            </w:r>
          </w:p>
        </w:tc>
      </w:tr>
      <w:tr>
        <w:tc>
          <w:tcPr>
            <w:tcW w:type="dxa" w:w="2381"/>
            <w:tcMar>
              <w:top w:w="60" w:type="dxa"/>
              <w:start w:w="60" w:type="dxa"/>
              <w:bottom w:w="60" w:type="dxa"/>
              <w:end w:w="60" w:type="dxa"/>
            </w:tcMar>
            <w:vAlign w:val="top"/>
          </w:tcPr>
          <w:p>
            <w:r/>
            <w:r>
              <w:rPr>
                <w:rFonts w:ascii="Aptos" w:hAnsi="Aptos"/>
                <w:sz w:val="16"/>
              </w:rPr>
              <w:t>Pension funds</w:t>
            </w:r>
          </w:p>
        </w:tc>
        <w:tc>
          <w:tcPr>
            <w:tcW w:type="dxa" w:w="1304"/>
            <w:tcMar>
              <w:top w:w="60" w:type="dxa"/>
              <w:start w:w="60" w:type="dxa"/>
              <w:bottom w:w="60" w:type="dxa"/>
              <w:end w:w="60" w:type="dxa"/>
            </w:tcMar>
            <w:vAlign w:val="top"/>
          </w:tcPr>
          <w:p>
            <w:r/>
            <w:r>
              <w:rPr>
                <w:rFonts w:ascii="Aptos" w:hAnsi="Aptos"/>
                <w:sz w:val="16"/>
              </w:rPr>
              <w:t>Non par défaut</w:t>
            </w:r>
          </w:p>
        </w:tc>
        <w:tc>
          <w:tcPr>
            <w:tcW w:type="dxa" w:w="5613"/>
            <w:tcMar>
              <w:top w:w="60" w:type="dxa"/>
              <w:start w:w="60" w:type="dxa"/>
              <w:bottom w:w="60" w:type="dxa"/>
              <w:end w:w="60" w:type="dxa"/>
            </w:tcMar>
            <w:vAlign w:val="top"/>
          </w:tcPr>
          <w:p>
            <w:r/>
            <w:r>
              <w:rPr>
                <w:rFonts w:ascii="Aptos" w:hAnsi="Aptos"/>
                <w:sz w:val="16"/>
              </w:rPr>
              <w:t>Régulation et données distinctes ; intégrer seulement dans un module séparé.</w:t>
            </w:r>
          </w:p>
        </w:tc>
      </w:tr>
    </w:tbl>
    <w:p>
      <w:pPr>
        <w:widowControl/>
        <w:spacing w:after="0"/>
      </w:pPr>
    </w:p>
    <w:p>
      <w:pPr>
        <w:pStyle w:val="Heading2"/>
        <w:widowControl/>
      </w:pPr>
      <w:r>
        <w:t>1.4 Vocabulaire contrôlé</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835"/>
            <w:shd w:fill="D9EAF2"/>
            <w:tcMar>
              <w:top w:w="70" w:type="dxa"/>
              <w:start w:w="70" w:type="dxa"/>
              <w:bottom w:w="70" w:type="dxa"/>
              <w:end w:w="70" w:type="dxa"/>
            </w:tcMar>
            <w:vAlign w:val="center"/>
          </w:tcPr>
          <w:p>
            <w:r/>
            <w:r>
              <w:rPr>
                <w:rFonts w:ascii="Aptos" w:hAnsi="Aptos"/>
                <w:b/>
                <w:color w:val="123E5E"/>
                <w:sz w:val="16"/>
              </w:rPr>
              <w:t>Terme</w:t>
            </w:r>
          </w:p>
        </w:tc>
        <w:tc>
          <w:tcPr>
            <w:tcW w:type="dxa" w:w="6463"/>
            <w:shd w:fill="D9EAF2"/>
            <w:tcMar>
              <w:top w:w="70" w:type="dxa"/>
              <w:start w:w="70" w:type="dxa"/>
              <w:bottom w:w="70" w:type="dxa"/>
              <w:end w:w="70" w:type="dxa"/>
            </w:tcMar>
            <w:vAlign w:val="center"/>
          </w:tcPr>
          <w:p>
            <w:r/>
            <w:r>
              <w:rPr>
                <w:rFonts w:ascii="Aptos" w:hAnsi="Aptos"/>
                <w:b/>
                <w:color w:val="123E5E"/>
                <w:sz w:val="16"/>
              </w:rPr>
              <w:t>Définition normative</w:t>
            </w:r>
          </w:p>
        </w:tc>
      </w:tr>
      <w:tr>
        <w:tc>
          <w:tcPr>
            <w:tcW w:type="dxa" w:w="2835"/>
            <w:tcMar>
              <w:top w:w="60" w:type="dxa"/>
              <w:start w:w="60" w:type="dxa"/>
              <w:bottom w:w="60" w:type="dxa"/>
              <w:end w:w="60" w:type="dxa"/>
            </w:tcMar>
            <w:vAlign w:val="top"/>
          </w:tcPr>
          <w:p>
            <w:r/>
            <w:r>
              <w:rPr>
                <w:rFonts w:ascii="Aptos" w:hAnsi="Aptos"/>
                <w:sz w:val="16"/>
              </w:rPr>
              <w:t>fund_name_raw</w:t>
            </w:r>
          </w:p>
        </w:tc>
        <w:tc>
          <w:tcPr>
            <w:tcW w:type="dxa" w:w="6463"/>
            <w:tcMar>
              <w:top w:w="60" w:type="dxa"/>
              <w:start w:w="60" w:type="dxa"/>
              <w:bottom w:w="60" w:type="dxa"/>
              <w:end w:w="60" w:type="dxa"/>
            </w:tcMar>
            <w:vAlign w:val="top"/>
          </w:tcPr>
          <w:p>
            <w:r/>
            <w:r>
              <w:rPr>
                <w:rFonts w:ascii="Aptos" w:hAnsi="Aptos"/>
                <w:sz w:val="16"/>
              </w:rPr>
              <w:t>Nom exact tel que publié dans la source.</w:t>
            </w:r>
          </w:p>
        </w:tc>
      </w:tr>
      <w:tr>
        <w:tc>
          <w:tcPr>
            <w:tcW w:type="dxa" w:w="2835"/>
            <w:tcMar>
              <w:top w:w="60" w:type="dxa"/>
              <w:start w:w="60" w:type="dxa"/>
              <w:bottom w:w="60" w:type="dxa"/>
              <w:end w:w="60" w:type="dxa"/>
            </w:tcMar>
            <w:vAlign w:val="top"/>
          </w:tcPr>
          <w:p>
            <w:r/>
            <w:r>
              <w:rPr>
                <w:rFonts w:ascii="Aptos" w:hAnsi="Aptos"/>
                <w:sz w:val="16"/>
              </w:rPr>
              <w:t>fund_name_normalized</w:t>
            </w:r>
          </w:p>
        </w:tc>
        <w:tc>
          <w:tcPr>
            <w:tcW w:type="dxa" w:w="6463"/>
            <w:tcMar>
              <w:top w:w="60" w:type="dxa"/>
              <w:start w:w="60" w:type="dxa"/>
              <w:bottom w:w="60" w:type="dxa"/>
              <w:end w:w="60" w:type="dxa"/>
            </w:tcMar>
            <w:vAlign w:val="top"/>
          </w:tcPr>
          <w:p>
            <w:r/>
            <w:r>
              <w:rPr>
                <w:rFonts w:ascii="Aptos" w:hAnsi="Aptos"/>
                <w:sz w:val="16"/>
              </w:rPr>
              <w:t>Nettoyage typographique sans décision juridique.</w:t>
            </w:r>
          </w:p>
        </w:tc>
      </w:tr>
      <w:tr>
        <w:tc>
          <w:tcPr>
            <w:tcW w:type="dxa" w:w="2835"/>
            <w:tcMar>
              <w:top w:w="60" w:type="dxa"/>
              <w:start w:w="60" w:type="dxa"/>
              <w:bottom w:w="60" w:type="dxa"/>
              <w:end w:w="60" w:type="dxa"/>
            </w:tcMar>
            <w:vAlign w:val="top"/>
          </w:tcPr>
          <w:p>
            <w:r/>
            <w:r>
              <w:rPr>
                <w:rFonts w:ascii="Aptos" w:hAnsi="Aptos"/>
                <w:sz w:val="16"/>
              </w:rPr>
              <w:t>canonical_fund_id</w:t>
            </w:r>
          </w:p>
        </w:tc>
        <w:tc>
          <w:tcPr>
            <w:tcW w:type="dxa" w:w="6463"/>
            <w:tcMar>
              <w:top w:w="60" w:type="dxa"/>
              <w:start w:w="60" w:type="dxa"/>
              <w:bottom w:w="60" w:type="dxa"/>
              <w:end w:w="60" w:type="dxa"/>
            </w:tcMar>
            <w:vAlign w:val="top"/>
          </w:tcPr>
          <w:p>
            <w:r/>
            <w:r>
              <w:rPr>
                <w:rFonts w:ascii="Aptos" w:hAnsi="Aptos"/>
                <w:sz w:val="16"/>
              </w:rPr>
              <w:t>Identifiant de l’entité juridique ou de la classe confirmée.</w:t>
            </w:r>
          </w:p>
        </w:tc>
      </w:tr>
      <w:tr>
        <w:tc>
          <w:tcPr>
            <w:tcW w:type="dxa" w:w="2835"/>
            <w:tcMar>
              <w:top w:w="60" w:type="dxa"/>
              <w:start w:w="60" w:type="dxa"/>
              <w:bottom w:w="60" w:type="dxa"/>
              <w:end w:w="60" w:type="dxa"/>
            </w:tcMar>
            <w:vAlign w:val="top"/>
          </w:tcPr>
          <w:p>
            <w:r/>
            <w:r>
              <w:rPr>
                <w:rFonts w:ascii="Aptos" w:hAnsi="Aptos"/>
                <w:sz w:val="16"/>
              </w:rPr>
              <w:t>manager_name_raw</w:t>
            </w:r>
          </w:p>
        </w:tc>
        <w:tc>
          <w:tcPr>
            <w:tcW w:type="dxa" w:w="6463"/>
            <w:tcMar>
              <w:top w:w="60" w:type="dxa"/>
              <w:start w:w="60" w:type="dxa"/>
              <w:bottom w:w="60" w:type="dxa"/>
              <w:end w:w="60" w:type="dxa"/>
            </w:tcMar>
            <w:vAlign w:val="top"/>
          </w:tcPr>
          <w:p>
            <w:r/>
            <w:r>
              <w:rPr>
                <w:rFonts w:ascii="Aptos" w:hAnsi="Aptos"/>
                <w:sz w:val="16"/>
              </w:rPr>
              <w:t>Nom du gestionnaire tel que publié.</w:t>
            </w:r>
          </w:p>
        </w:tc>
      </w:tr>
      <w:tr>
        <w:tc>
          <w:tcPr>
            <w:tcW w:type="dxa" w:w="2835"/>
            <w:tcMar>
              <w:top w:w="60" w:type="dxa"/>
              <w:start w:w="60" w:type="dxa"/>
              <w:bottom w:w="60" w:type="dxa"/>
              <w:end w:w="60" w:type="dxa"/>
            </w:tcMar>
            <w:vAlign w:val="top"/>
          </w:tcPr>
          <w:p>
            <w:r/>
            <w:r>
              <w:rPr>
                <w:rFonts w:ascii="Aptos" w:hAnsi="Aptos"/>
                <w:sz w:val="16"/>
              </w:rPr>
              <w:t>canonical_manager_id</w:t>
            </w:r>
          </w:p>
        </w:tc>
        <w:tc>
          <w:tcPr>
            <w:tcW w:type="dxa" w:w="6463"/>
            <w:tcMar>
              <w:top w:w="60" w:type="dxa"/>
              <w:start w:w="60" w:type="dxa"/>
              <w:bottom w:w="60" w:type="dxa"/>
              <w:end w:w="60" w:type="dxa"/>
            </w:tcMar>
            <w:vAlign w:val="top"/>
          </w:tcPr>
          <w:p>
            <w:r/>
            <w:r>
              <w:rPr>
                <w:rFonts w:ascii="Aptos" w:hAnsi="Aptos"/>
                <w:sz w:val="16"/>
              </w:rPr>
              <w:t>Identifiant de la société juridique confirmée.</w:t>
            </w:r>
          </w:p>
        </w:tc>
      </w:tr>
      <w:tr>
        <w:tc>
          <w:tcPr>
            <w:tcW w:type="dxa" w:w="2835"/>
            <w:tcMar>
              <w:top w:w="60" w:type="dxa"/>
              <w:start w:w="60" w:type="dxa"/>
              <w:bottom w:w="60" w:type="dxa"/>
              <w:end w:w="60" w:type="dxa"/>
            </w:tcMar>
            <w:vAlign w:val="top"/>
          </w:tcPr>
          <w:p>
            <w:r/>
            <w:r>
              <w:rPr>
                <w:rFonts w:ascii="Aptos" w:hAnsi="Aptos"/>
                <w:sz w:val="16"/>
              </w:rPr>
              <w:t>valuation_date</w:t>
            </w:r>
          </w:p>
        </w:tc>
        <w:tc>
          <w:tcPr>
            <w:tcW w:type="dxa" w:w="6463"/>
            <w:tcMar>
              <w:top w:w="60" w:type="dxa"/>
              <w:start w:w="60" w:type="dxa"/>
              <w:bottom w:w="60" w:type="dxa"/>
              <w:end w:w="60" w:type="dxa"/>
            </w:tcMar>
            <w:vAlign w:val="top"/>
          </w:tcPr>
          <w:p>
            <w:r/>
            <w:r>
              <w:rPr>
                <w:rFonts w:ascii="Aptos" w:hAnsi="Aptos"/>
                <w:sz w:val="16"/>
              </w:rPr>
              <w:t>Date de valeur portée par le bloc de mesures.</w:t>
            </w:r>
          </w:p>
        </w:tc>
      </w:tr>
      <w:tr>
        <w:tc>
          <w:tcPr>
            <w:tcW w:type="dxa" w:w="2835"/>
            <w:tcMar>
              <w:top w:w="60" w:type="dxa"/>
              <w:start w:w="60" w:type="dxa"/>
              <w:bottom w:w="60" w:type="dxa"/>
              <w:end w:w="60" w:type="dxa"/>
            </w:tcMar>
            <w:vAlign w:val="top"/>
          </w:tcPr>
          <w:p>
            <w:r/>
            <w:r>
              <w:rPr>
                <w:rFonts w:ascii="Aptos" w:hAnsi="Aptos"/>
                <w:sz w:val="16"/>
              </w:rPr>
              <w:t>publication_date</w:t>
            </w:r>
          </w:p>
        </w:tc>
        <w:tc>
          <w:tcPr>
            <w:tcW w:type="dxa" w:w="6463"/>
            <w:tcMar>
              <w:top w:w="60" w:type="dxa"/>
              <w:start w:w="60" w:type="dxa"/>
              <w:bottom w:w="60" w:type="dxa"/>
              <w:end w:w="60" w:type="dxa"/>
            </w:tcMar>
            <w:vAlign w:val="top"/>
          </w:tcPr>
          <w:p>
            <w:r/>
            <w:r>
              <w:rPr>
                <w:rFonts w:ascii="Aptos" w:hAnsi="Aptos"/>
                <w:sz w:val="16"/>
              </w:rPr>
              <w:t>Date de publication sur le site ou dans le document.</w:t>
            </w:r>
          </w:p>
        </w:tc>
      </w:tr>
      <w:tr>
        <w:tc>
          <w:tcPr>
            <w:tcW w:type="dxa" w:w="2835"/>
            <w:tcMar>
              <w:top w:w="60" w:type="dxa"/>
              <w:start w:w="60" w:type="dxa"/>
              <w:bottom w:w="60" w:type="dxa"/>
              <w:end w:w="60" w:type="dxa"/>
            </w:tcMar>
            <w:vAlign w:val="top"/>
          </w:tcPr>
          <w:p>
            <w:r/>
            <w:r>
              <w:rPr>
                <w:rFonts w:ascii="Aptos" w:hAnsi="Aptos"/>
                <w:sz w:val="16"/>
              </w:rPr>
              <w:t>net_assets_total</w:t>
            </w:r>
          </w:p>
        </w:tc>
        <w:tc>
          <w:tcPr>
            <w:tcW w:type="dxa" w:w="6463"/>
            <w:tcMar>
              <w:top w:w="60" w:type="dxa"/>
              <w:start w:w="60" w:type="dxa"/>
              <w:bottom w:w="60" w:type="dxa"/>
              <w:end w:w="60" w:type="dxa"/>
            </w:tcMar>
            <w:vAlign w:val="top"/>
          </w:tcPr>
          <w:p>
            <w:r/>
            <w:r>
              <w:rPr>
                <w:rFonts w:ascii="Aptos" w:hAnsi="Aptos"/>
                <w:sz w:val="16"/>
              </w:rPr>
              <w:t>Actif net total, jamais prix par part.</w:t>
            </w:r>
          </w:p>
        </w:tc>
      </w:tr>
      <w:tr>
        <w:tc>
          <w:tcPr>
            <w:tcW w:type="dxa" w:w="2835"/>
            <w:tcMar>
              <w:top w:w="60" w:type="dxa"/>
              <w:start w:w="60" w:type="dxa"/>
              <w:bottom w:w="60" w:type="dxa"/>
              <w:end w:w="60" w:type="dxa"/>
            </w:tcMar>
            <w:vAlign w:val="top"/>
          </w:tcPr>
          <w:p>
            <w:r/>
            <w:r>
              <w:rPr>
                <w:rFonts w:ascii="Aptos" w:hAnsi="Aptos"/>
                <w:sz w:val="16"/>
              </w:rPr>
              <w:t>unit_price</w:t>
            </w:r>
          </w:p>
        </w:tc>
        <w:tc>
          <w:tcPr>
            <w:tcW w:type="dxa" w:w="6463"/>
            <w:tcMar>
              <w:top w:w="60" w:type="dxa"/>
              <w:start w:w="60" w:type="dxa"/>
              <w:bottom w:w="60" w:type="dxa"/>
              <w:end w:w="60" w:type="dxa"/>
            </w:tcMar>
            <w:vAlign w:val="top"/>
          </w:tcPr>
          <w:p>
            <w:r/>
            <w:r>
              <w:rPr>
                <w:rFonts w:ascii="Aptos" w:hAnsi="Aptos"/>
                <w:sz w:val="16"/>
              </w:rPr>
              <w:t>Valeur par unité explicitement publiée.</w:t>
            </w:r>
          </w:p>
        </w:tc>
      </w:tr>
      <w:tr>
        <w:tc>
          <w:tcPr>
            <w:tcW w:type="dxa" w:w="2835"/>
            <w:tcMar>
              <w:top w:w="60" w:type="dxa"/>
              <w:start w:w="60" w:type="dxa"/>
              <w:bottom w:w="60" w:type="dxa"/>
              <w:end w:w="60" w:type="dxa"/>
            </w:tcMar>
            <w:vAlign w:val="top"/>
          </w:tcPr>
          <w:p>
            <w:r/>
            <w:r>
              <w:rPr>
                <w:rFonts w:ascii="Aptos" w:hAnsi="Aptos"/>
                <w:sz w:val="16"/>
              </w:rPr>
              <w:t>bid_price</w:t>
            </w:r>
          </w:p>
        </w:tc>
        <w:tc>
          <w:tcPr>
            <w:tcW w:type="dxa" w:w="6463"/>
            <w:tcMar>
              <w:top w:w="60" w:type="dxa"/>
              <w:start w:w="60" w:type="dxa"/>
              <w:bottom w:w="60" w:type="dxa"/>
              <w:end w:w="60" w:type="dxa"/>
            </w:tcMar>
            <w:vAlign w:val="top"/>
          </w:tcPr>
          <w:p>
            <w:r/>
            <w:r>
              <w:rPr>
                <w:rFonts w:ascii="Aptos" w:hAnsi="Aptos"/>
                <w:sz w:val="16"/>
              </w:rPr>
              <w:t>Prix de rachat publié.</w:t>
            </w:r>
          </w:p>
        </w:tc>
      </w:tr>
      <w:tr>
        <w:tc>
          <w:tcPr>
            <w:tcW w:type="dxa" w:w="2835"/>
            <w:tcMar>
              <w:top w:w="60" w:type="dxa"/>
              <w:start w:w="60" w:type="dxa"/>
              <w:bottom w:w="60" w:type="dxa"/>
              <w:end w:w="60" w:type="dxa"/>
            </w:tcMar>
            <w:vAlign w:val="top"/>
          </w:tcPr>
          <w:p>
            <w:r/>
            <w:r>
              <w:rPr>
                <w:rFonts w:ascii="Aptos" w:hAnsi="Aptos"/>
                <w:sz w:val="16"/>
              </w:rPr>
              <w:t>offer_price</w:t>
            </w:r>
          </w:p>
        </w:tc>
        <w:tc>
          <w:tcPr>
            <w:tcW w:type="dxa" w:w="6463"/>
            <w:tcMar>
              <w:top w:w="60" w:type="dxa"/>
              <w:start w:w="60" w:type="dxa"/>
              <w:bottom w:w="60" w:type="dxa"/>
              <w:end w:w="60" w:type="dxa"/>
            </w:tcMar>
            <w:vAlign w:val="top"/>
          </w:tcPr>
          <w:p>
            <w:r/>
            <w:r>
              <w:rPr>
                <w:rFonts w:ascii="Aptos" w:hAnsi="Aptos"/>
                <w:sz w:val="16"/>
              </w:rPr>
              <w:t>Prix de souscription publié.</w:t>
            </w:r>
          </w:p>
        </w:tc>
      </w:tr>
      <w:tr>
        <w:tc>
          <w:tcPr>
            <w:tcW w:type="dxa" w:w="2835"/>
            <w:tcMar>
              <w:top w:w="60" w:type="dxa"/>
              <w:start w:w="60" w:type="dxa"/>
              <w:bottom w:w="60" w:type="dxa"/>
              <w:end w:w="60" w:type="dxa"/>
            </w:tcMar>
            <w:vAlign w:val="top"/>
          </w:tcPr>
          <w:p>
            <w:r/>
            <w:r>
              <w:rPr>
                <w:rFonts w:ascii="Aptos" w:hAnsi="Aptos"/>
                <w:sz w:val="16"/>
              </w:rPr>
              <w:t>selected_valuation_value</w:t>
            </w:r>
          </w:p>
        </w:tc>
        <w:tc>
          <w:tcPr>
            <w:tcW w:type="dxa" w:w="6463"/>
            <w:tcMar>
              <w:top w:w="60" w:type="dxa"/>
              <w:start w:w="60" w:type="dxa"/>
              <w:bottom w:w="60" w:type="dxa"/>
              <w:end w:w="60" w:type="dxa"/>
            </w:tcMar>
            <w:vAlign w:val="top"/>
          </w:tcPr>
          <w:p>
            <w:r/>
            <w:r>
              <w:rPr>
                <w:rFonts w:ascii="Aptos" w:hAnsi="Aptos"/>
                <w:sz w:val="16"/>
              </w:rPr>
              <w:t>Valeur exposée dans un champ de compatibilité, avec justification obligatoire.</w:t>
            </w:r>
          </w:p>
        </w:tc>
      </w:tr>
      <w:tr>
        <w:tc>
          <w:tcPr>
            <w:tcW w:type="dxa" w:w="2835"/>
            <w:tcMar>
              <w:top w:w="60" w:type="dxa"/>
              <w:start w:w="60" w:type="dxa"/>
              <w:bottom w:w="60" w:type="dxa"/>
              <w:end w:w="60" w:type="dxa"/>
            </w:tcMar>
            <w:vAlign w:val="top"/>
          </w:tcPr>
          <w:p>
            <w:r/>
            <w:r>
              <w:rPr>
                <w:rFonts w:ascii="Aptos" w:hAnsi="Aptos"/>
                <w:sz w:val="16"/>
              </w:rPr>
              <w:t>evidence</w:t>
            </w:r>
          </w:p>
        </w:tc>
        <w:tc>
          <w:tcPr>
            <w:tcW w:type="dxa" w:w="6463"/>
            <w:tcMar>
              <w:top w:w="60" w:type="dxa"/>
              <w:start w:w="60" w:type="dxa"/>
              <w:bottom w:w="60" w:type="dxa"/>
              <w:end w:w="60" w:type="dxa"/>
            </w:tcMar>
            <w:vAlign w:val="top"/>
          </w:tcPr>
          <w:p>
            <w:r/>
            <w:r>
              <w:rPr>
                <w:rFonts w:ascii="Aptos" w:hAnsi="Aptos"/>
                <w:sz w:val="16"/>
              </w:rPr>
              <w:t>Source qui soutient une affirmation.</w:t>
            </w:r>
          </w:p>
        </w:tc>
      </w:tr>
      <w:tr>
        <w:tc>
          <w:tcPr>
            <w:tcW w:type="dxa" w:w="2835"/>
            <w:tcMar>
              <w:top w:w="60" w:type="dxa"/>
              <w:start w:w="60" w:type="dxa"/>
              <w:bottom w:w="60" w:type="dxa"/>
              <w:end w:w="60" w:type="dxa"/>
            </w:tcMar>
            <w:vAlign w:val="top"/>
          </w:tcPr>
          <w:p>
            <w:r/>
            <w:r>
              <w:rPr>
                <w:rFonts w:ascii="Aptos" w:hAnsi="Aptos"/>
                <w:sz w:val="16"/>
              </w:rPr>
              <w:t>event</w:t>
            </w:r>
          </w:p>
        </w:tc>
        <w:tc>
          <w:tcPr>
            <w:tcW w:type="dxa" w:w="6463"/>
            <w:tcMar>
              <w:top w:w="60" w:type="dxa"/>
              <w:start w:w="60" w:type="dxa"/>
              <w:bottom w:w="60" w:type="dxa"/>
              <w:end w:w="60" w:type="dxa"/>
            </w:tcMar>
            <w:vAlign w:val="top"/>
          </w:tcPr>
          <w:p>
            <w:r/>
            <w:r>
              <w:rPr>
                <w:rFonts w:ascii="Aptos" w:hAnsi="Aptos"/>
                <w:sz w:val="16"/>
              </w:rPr>
              <w:t>Transformation datée de l’identité, du statut ou des caractéristiques du fonds.</w:t>
            </w:r>
          </w:p>
        </w:tc>
      </w:tr>
    </w:tbl>
    <w:p>
      <w:pPr>
        <w:widowControl/>
        <w:spacing w:after="0"/>
      </w:pPr>
    </w:p>
    <w:p>
      <w:pPr>
        <w:widowControl/>
      </w:pPr>
      <w:r>
        <w:br w:type="page"/>
      </w:r>
    </w:p>
    <w:p>
      <w:pPr>
        <w:widowControl/>
        <w:jc w:val="center"/>
      </w:pPr>
      <w:r>
        <w:rPr>
          <w:rFonts w:ascii="Aptos Display" w:hAnsi="Aptos Display"/>
          <w:b/>
          <w:color w:val="123E5E"/>
          <w:sz w:val="44"/>
        </w:rPr>
        <w:t>PARTIE II — CADRE INSTITUTIONNEL ET TYPOLOGIE DES CIS</w:t>
      </w:r>
    </w:p>
    <w:p>
      <w:pPr>
        <w:widowControl/>
        <w:jc w:val="center"/>
      </w:pPr>
      <w:r>
        <w:rPr>
          <w:rFonts w:ascii="Aptos" w:hAnsi="Aptos"/>
          <w:i/>
          <w:color w:val="505050"/>
          <w:sz w:val="22"/>
        </w:rPr>
        <w:t>Comprendre les rôles avant de modéliser les données</w:t>
      </w:r>
    </w:p>
    <w:p>
      <w:pPr>
        <w:widowControl/>
      </w:pPr>
    </w:p>
    <w:p>
      <w:pPr>
        <w:pStyle w:val="Heading1"/>
        <w:widowControl/>
      </w:pPr>
      <w:r>
        <w:t>2. Cadre réglementaire et institutionnel</w:t>
      </w:r>
    </w:p>
    <w:p>
      <w:pPr>
        <w:widowControl/>
      </w:pPr>
      <w:r>
        <w:rPr>
          <w:rFonts w:ascii="Aptos" w:hAnsi="Aptos"/>
          <w:sz w:val="19"/>
        </w:rPr>
        <w:t>La SEC Nigeria est la source réglementaire centrale pour les Collective Investment Schemes et les opérateurs du marché. La réglementation, les règles, les circulaires et les rapports annuels doivent être lus dans leur version applicable à la date de l'événement. Le texte actuel ne doit pas être projeté rétroactivement sans contrôle historique.</w:t>
      </w:r>
    </w:p>
    <w:p>
      <w:pPr>
        <w:pStyle w:val="Heading2"/>
        <w:widowControl/>
      </w:pPr>
      <w:r>
        <w:t>2.1 Acteurs à modéliser</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381"/>
            <w:shd w:fill="D9EAF2"/>
            <w:tcMar>
              <w:top w:w="70" w:type="dxa"/>
              <w:start w:w="70" w:type="dxa"/>
              <w:bottom w:w="70" w:type="dxa"/>
              <w:end w:w="70" w:type="dxa"/>
            </w:tcMar>
            <w:vAlign w:val="center"/>
          </w:tcPr>
          <w:p>
            <w:r/>
            <w:r>
              <w:rPr>
                <w:rFonts w:ascii="Aptos" w:hAnsi="Aptos"/>
                <w:b/>
                <w:color w:val="123E5E"/>
                <w:sz w:val="16"/>
              </w:rPr>
              <w:t>Acteur</w:t>
            </w:r>
          </w:p>
        </w:tc>
        <w:tc>
          <w:tcPr>
            <w:tcW w:type="dxa" w:w="6917"/>
            <w:shd w:fill="D9EAF2"/>
            <w:tcMar>
              <w:top w:w="70" w:type="dxa"/>
              <w:start w:w="70" w:type="dxa"/>
              <w:bottom w:w="70" w:type="dxa"/>
              <w:end w:w="70" w:type="dxa"/>
            </w:tcMar>
            <w:vAlign w:val="center"/>
          </w:tcPr>
          <w:p>
            <w:r/>
            <w:r>
              <w:rPr>
                <w:rFonts w:ascii="Aptos" w:hAnsi="Aptos"/>
                <w:b/>
                <w:color w:val="123E5E"/>
                <w:sz w:val="16"/>
              </w:rPr>
              <w:t>Rôle dans la base de preuve</w:t>
            </w:r>
          </w:p>
        </w:tc>
      </w:tr>
      <w:tr>
        <w:tc>
          <w:tcPr>
            <w:tcW w:type="dxa" w:w="2381"/>
            <w:tcMar>
              <w:top w:w="60" w:type="dxa"/>
              <w:start w:w="60" w:type="dxa"/>
              <w:bottom w:w="60" w:type="dxa"/>
              <w:end w:w="60" w:type="dxa"/>
            </w:tcMar>
            <w:vAlign w:val="top"/>
          </w:tcPr>
          <w:p>
            <w:r/>
            <w:r>
              <w:rPr>
                <w:rFonts w:ascii="Aptos" w:hAnsi="Aptos"/>
                <w:sz w:val="16"/>
              </w:rPr>
              <w:t>SEC Nigeria</w:t>
            </w:r>
          </w:p>
        </w:tc>
        <w:tc>
          <w:tcPr>
            <w:tcW w:type="dxa" w:w="6917"/>
            <w:tcMar>
              <w:top w:w="60" w:type="dxa"/>
              <w:start w:w="60" w:type="dxa"/>
              <w:bottom w:w="60" w:type="dxa"/>
              <w:end w:w="60" w:type="dxa"/>
            </w:tcMar>
            <w:vAlign w:val="top"/>
          </w:tcPr>
          <w:p>
            <w:r/>
            <w:r>
              <w:rPr>
                <w:rFonts w:ascii="Aptos" w:hAnsi="Aptos"/>
                <w:sz w:val="16"/>
              </w:rPr>
              <w:t>Régulateur, enregistrement, règles, supervision, circulaires, publications NAV, opérateurs enregistrés.</w:t>
            </w:r>
          </w:p>
        </w:tc>
      </w:tr>
      <w:tr>
        <w:tc>
          <w:tcPr>
            <w:tcW w:type="dxa" w:w="2381"/>
            <w:tcMar>
              <w:top w:w="60" w:type="dxa"/>
              <w:start w:w="60" w:type="dxa"/>
              <w:bottom w:w="60" w:type="dxa"/>
              <w:end w:w="60" w:type="dxa"/>
            </w:tcMar>
            <w:vAlign w:val="top"/>
          </w:tcPr>
          <w:p>
            <w:r/>
            <w:r>
              <w:rPr>
                <w:rFonts w:ascii="Aptos" w:hAnsi="Aptos"/>
                <w:sz w:val="16"/>
              </w:rPr>
              <w:t>Fund / Portfolio Manager</w:t>
            </w:r>
          </w:p>
        </w:tc>
        <w:tc>
          <w:tcPr>
            <w:tcW w:type="dxa" w:w="6917"/>
            <w:tcMar>
              <w:top w:w="60" w:type="dxa"/>
              <w:start w:w="60" w:type="dxa"/>
              <w:bottom w:w="60" w:type="dxa"/>
              <w:end w:w="60" w:type="dxa"/>
            </w:tcMar>
            <w:vAlign w:val="top"/>
          </w:tcPr>
          <w:p>
            <w:r/>
            <w:r>
              <w:rPr>
                <w:rFonts w:ascii="Aptos" w:hAnsi="Aptos"/>
                <w:sz w:val="16"/>
              </w:rPr>
              <w:t>Gestion du portefeuille, publications du fonds, prospectus, fact sheets et rapports.</w:t>
            </w:r>
          </w:p>
        </w:tc>
      </w:tr>
      <w:tr>
        <w:tc>
          <w:tcPr>
            <w:tcW w:type="dxa" w:w="2381"/>
            <w:tcMar>
              <w:top w:w="60" w:type="dxa"/>
              <w:start w:w="60" w:type="dxa"/>
              <w:bottom w:w="60" w:type="dxa"/>
              <w:end w:w="60" w:type="dxa"/>
            </w:tcMar>
            <w:vAlign w:val="top"/>
          </w:tcPr>
          <w:p>
            <w:r/>
            <w:r>
              <w:rPr>
                <w:rFonts w:ascii="Aptos" w:hAnsi="Aptos"/>
                <w:sz w:val="16"/>
              </w:rPr>
              <w:t>Trustee</w:t>
            </w:r>
          </w:p>
        </w:tc>
        <w:tc>
          <w:tcPr>
            <w:tcW w:type="dxa" w:w="6917"/>
            <w:tcMar>
              <w:top w:w="60" w:type="dxa"/>
              <w:start w:w="60" w:type="dxa"/>
              <w:bottom w:w="60" w:type="dxa"/>
              <w:end w:w="60" w:type="dxa"/>
            </w:tcMar>
            <w:vAlign w:val="top"/>
          </w:tcPr>
          <w:p>
            <w:r/>
            <w:r>
              <w:rPr>
                <w:rFonts w:ascii="Aptos" w:hAnsi="Aptos"/>
                <w:sz w:val="16"/>
              </w:rPr>
              <w:t>Protection des porteurs et supervision fiduciaire selon la structure.</w:t>
            </w:r>
          </w:p>
        </w:tc>
      </w:tr>
      <w:tr>
        <w:tc>
          <w:tcPr>
            <w:tcW w:type="dxa" w:w="2381"/>
            <w:tcMar>
              <w:top w:w="60" w:type="dxa"/>
              <w:start w:w="60" w:type="dxa"/>
              <w:bottom w:w="60" w:type="dxa"/>
              <w:end w:w="60" w:type="dxa"/>
            </w:tcMar>
            <w:vAlign w:val="top"/>
          </w:tcPr>
          <w:p>
            <w:r/>
            <w:r>
              <w:rPr>
                <w:rFonts w:ascii="Aptos" w:hAnsi="Aptos"/>
                <w:sz w:val="16"/>
              </w:rPr>
              <w:t>Custodian</w:t>
            </w:r>
          </w:p>
        </w:tc>
        <w:tc>
          <w:tcPr>
            <w:tcW w:type="dxa" w:w="6917"/>
            <w:tcMar>
              <w:top w:w="60" w:type="dxa"/>
              <w:start w:w="60" w:type="dxa"/>
              <w:bottom w:w="60" w:type="dxa"/>
              <w:end w:w="60" w:type="dxa"/>
            </w:tcMar>
            <w:vAlign w:val="top"/>
          </w:tcPr>
          <w:p>
            <w:r/>
            <w:r>
              <w:rPr>
                <w:rFonts w:ascii="Aptos" w:hAnsi="Aptos"/>
                <w:sz w:val="16"/>
              </w:rPr>
              <w:t>Conservation des actifs et fonctions opérationnelles.</w:t>
            </w:r>
          </w:p>
        </w:tc>
      </w:tr>
      <w:tr>
        <w:tc>
          <w:tcPr>
            <w:tcW w:type="dxa" w:w="2381"/>
            <w:tcMar>
              <w:top w:w="60" w:type="dxa"/>
              <w:start w:w="60" w:type="dxa"/>
              <w:bottom w:w="60" w:type="dxa"/>
              <w:end w:w="60" w:type="dxa"/>
            </w:tcMar>
            <w:vAlign w:val="top"/>
          </w:tcPr>
          <w:p>
            <w:r/>
            <w:r>
              <w:rPr>
                <w:rFonts w:ascii="Aptos" w:hAnsi="Aptos"/>
                <w:sz w:val="16"/>
              </w:rPr>
              <w:t>Registrar / Transfer Agent</w:t>
            </w:r>
          </w:p>
        </w:tc>
        <w:tc>
          <w:tcPr>
            <w:tcW w:type="dxa" w:w="6917"/>
            <w:tcMar>
              <w:top w:w="60" w:type="dxa"/>
              <w:start w:w="60" w:type="dxa"/>
              <w:bottom w:w="60" w:type="dxa"/>
              <w:end w:w="60" w:type="dxa"/>
            </w:tcMar>
            <w:vAlign w:val="top"/>
          </w:tcPr>
          <w:p>
            <w:r/>
            <w:r>
              <w:rPr>
                <w:rFonts w:ascii="Aptos" w:hAnsi="Aptos"/>
                <w:sz w:val="16"/>
              </w:rPr>
              <w:t>Registre des porteurs, souscriptions, rachats et distributions selon le dispositif.</w:t>
            </w:r>
          </w:p>
        </w:tc>
      </w:tr>
      <w:tr>
        <w:tc>
          <w:tcPr>
            <w:tcW w:type="dxa" w:w="2381"/>
            <w:tcMar>
              <w:top w:w="60" w:type="dxa"/>
              <w:start w:w="60" w:type="dxa"/>
              <w:bottom w:w="60" w:type="dxa"/>
              <w:end w:w="60" w:type="dxa"/>
            </w:tcMar>
            <w:vAlign w:val="top"/>
          </w:tcPr>
          <w:p>
            <w:r/>
            <w:r>
              <w:rPr>
                <w:rFonts w:ascii="Aptos" w:hAnsi="Aptos"/>
                <w:sz w:val="16"/>
              </w:rPr>
              <w:t>Auditor</w:t>
            </w:r>
          </w:p>
        </w:tc>
        <w:tc>
          <w:tcPr>
            <w:tcW w:type="dxa" w:w="6917"/>
            <w:tcMar>
              <w:top w:w="60" w:type="dxa"/>
              <w:start w:w="60" w:type="dxa"/>
              <w:bottom w:w="60" w:type="dxa"/>
              <w:end w:w="60" w:type="dxa"/>
            </w:tcMar>
            <w:vAlign w:val="top"/>
          </w:tcPr>
          <w:p>
            <w:r/>
            <w:r>
              <w:rPr>
                <w:rFonts w:ascii="Aptos" w:hAnsi="Aptos"/>
                <w:sz w:val="16"/>
              </w:rPr>
              <w:t>États financiers audités et opinions ; source importante pour continuité et événements.</w:t>
            </w:r>
          </w:p>
        </w:tc>
      </w:tr>
      <w:tr>
        <w:tc>
          <w:tcPr>
            <w:tcW w:type="dxa" w:w="2381"/>
            <w:tcMar>
              <w:top w:w="60" w:type="dxa"/>
              <w:start w:w="60" w:type="dxa"/>
              <w:bottom w:w="60" w:type="dxa"/>
              <w:end w:w="60" w:type="dxa"/>
            </w:tcMar>
            <w:vAlign w:val="top"/>
          </w:tcPr>
          <w:p>
            <w:r/>
            <w:r>
              <w:rPr>
                <w:rFonts w:ascii="Aptos" w:hAnsi="Aptos"/>
                <w:sz w:val="16"/>
              </w:rPr>
              <w:t>Sponsor / Promoter</w:t>
            </w:r>
          </w:p>
        </w:tc>
        <w:tc>
          <w:tcPr>
            <w:tcW w:type="dxa" w:w="6917"/>
            <w:tcMar>
              <w:top w:w="60" w:type="dxa"/>
              <w:start w:w="60" w:type="dxa"/>
              <w:bottom w:w="60" w:type="dxa"/>
              <w:end w:w="60" w:type="dxa"/>
            </w:tcMar>
            <w:vAlign w:val="top"/>
          </w:tcPr>
          <w:p>
            <w:r/>
            <w:r>
              <w:rPr>
                <w:rFonts w:ascii="Aptos" w:hAnsi="Aptos"/>
                <w:sz w:val="16"/>
              </w:rPr>
              <w:t>Initiateur du fonds ou de l’offre.</w:t>
            </w:r>
          </w:p>
        </w:tc>
      </w:tr>
      <w:tr>
        <w:tc>
          <w:tcPr>
            <w:tcW w:type="dxa" w:w="2381"/>
            <w:tcMar>
              <w:top w:w="60" w:type="dxa"/>
              <w:start w:w="60" w:type="dxa"/>
              <w:bottom w:w="60" w:type="dxa"/>
              <w:end w:w="60" w:type="dxa"/>
            </w:tcMar>
            <w:vAlign w:val="top"/>
          </w:tcPr>
          <w:p>
            <w:r/>
            <w:r>
              <w:rPr>
                <w:rFonts w:ascii="Aptos" w:hAnsi="Aptos"/>
                <w:sz w:val="16"/>
              </w:rPr>
              <w:t>NGX</w:t>
            </w:r>
          </w:p>
        </w:tc>
        <w:tc>
          <w:tcPr>
            <w:tcW w:type="dxa" w:w="6917"/>
            <w:tcMar>
              <w:top w:w="60" w:type="dxa"/>
              <w:start w:w="60" w:type="dxa"/>
              <w:bottom w:w="60" w:type="dxa"/>
              <w:end w:w="60" w:type="dxa"/>
            </w:tcMar>
            <w:vAlign w:val="top"/>
          </w:tcPr>
          <w:p>
            <w:r/>
            <w:r>
              <w:rPr>
                <w:rFonts w:ascii="Aptos" w:hAnsi="Aptos"/>
                <w:sz w:val="16"/>
              </w:rPr>
              <w:t>Marché de cotation des ETF, REIT et closed-end funds ; prix et avis de marché.</w:t>
            </w:r>
          </w:p>
        </w:tc>
      </w:tr>
      <w:tr>
        <w:tc>
          <w:tcPr>
            <w:tcW w:type="dxa" w:w="2381"/>
            <w:tcMar>
              <w:top w:w="60" w:type="dxa"/>
              <w:start w:w="60" w:type="dxa"/>
              <w:bottom w:w="60" w:type="dxa"/>
              <w:end w:w="60" w:type="dxa"/>
            </w:tcMar>
            <w:vAlign w:val="top"/>
          </w:tcPr>
          <w:p>
            <w:r/>
            <w:r>
              <w:rPr>
                <w:rFonts w:ascii="Aptos" w:hAnsi="Aptos"/>
                <w:sz w:val="16"/>
              </w:rPr>
              <w:t>FMDQ</w:t>
            </w:r>
          </w:p>
        </w:tc>
        <w:tc>
          <w:tcPr>
            <w:tcW w:type="dxa" w:w="6917"/>
            <w:tcMar>
              <w:top w:w="60" w:type="dxa"/>
              <w:start w:w="60" w:type="dxa"/>
              <w:bottom w:w="60" w:type="dxa"/>
              <w:end w:w="60" w:type="dxa"/>
            </w:tcMar>
            <w:vAlign w:val="top"/>
          </w:tcPr>
          <w:p>
            <w:r/>
            <w:r>
              <w:rPr>
                <w:rFonts w:ascii="Aptos" w:hAnsi="Aptos"/>
                <w:sz w:val="16"/>
              </w:rPr>
              <w:t>Données de marché monétaire, obligataire, FX et benchmarks.</w:t>
            </w:r>
          </w:p>
        </w:tc>
      </w:tr>
      <w:tr>
        <w:tc>
          <w:tcPr>
            <w:tcW w:type="dxa" w:w="2381"/>
            <w:tcMar>
              <w:top w:w="60" w:type="dxa"/>
              <w:start w:w="60" w:type="dxa"/>
              <w:bottom w:w="60" w:type="dxa"/>
              <w:end w:w="60" w:type="dxa"/>
            </w:tcMar>
            <w:vAlign w:val="top"/>
          </w:tcPr>
          <w:p>
            <w:r/>
            <w:r>
              <w:rPr>
                <w:rFonts w:ascii="Aptos" w:hAnsi="Aptos"/>
                <w:sz w:val="16"/>
              </w:rPr>
              <w:t>CBN</w:t>
            </w:r>
          </w:p>
        </w:tc>
        <w:tc>
          <w:tcPr>
            <w:tcW w:type="dxa" w:w="6917"/>
            <w:tcMar>
              <w:top w:w="60" w:type="dxa"/>
              <w:start w:w="60" w:type="dxa"/>
              <w:bottom w:w="60" w:type="dxa"/>
              <w:end w:w="60" w:type="dxa"/>
            </w:tcMar>
            <w:vAlign w:val="top"/>
          </w:tcPr>
          <w:p>
            <w:r/>
            <w:r>
              <w:rPr>
                <w:rFonts w:ascii="Aptos" w:hAnsi="Aptos"/>
                <w:sz w:val="16"/>
              </w:rPr>
              <w:t>Taux de change, statistiques monétaires et taux de marché officiels.</w:t>
            </w:r>
          </w:p>
        </w:tc>
      </w:tr>
      <w:tr>
        <w:tc>
          <w:tcPr>
            <w:tcW w:type="dxa" w:w="2381"/>
            <w:tcMar>
              <w:top w:w="60" w:type="dxa"/>
              <w:start w:w="60" w:type="dxa"/>
              <w:bottom w:w="60" w:type="dxa"/>
              <w:end w:w="60" w:type="dxa"/>
            </w:tcMar>
            <w:vAlign w:val="top"/>
          </w:tcPr>
          <w:p>
            <w:r/>
            <w:r>
              <w:rPr>
                <w:rFonts w:ascii="Aptos" w:hAnsi="Aptos"/>
                <w:sz w:val="16"/>
              </w:rPr>
              <w:t>DMO</w:t>
            </w:r>
          </w:p>
        </w:tc>
        <w:tc>
          <w:tcPr>
            <w:tcW w:type="dxa" w:w="6917"/>
            <w:tcMar>
              <w:top w:w="60" w:type="dxa"/>
              <w:start w:w="60" w:type="dxa"/>
              <w:bottom w:w="60" w:type="dxa"/>
              <w:end w:w="60" w:type="dxa"/>
            </w:tcMar>
            <w:vAlign w:val="top"/>
          </w:tcPr>
          <w:p>
            <w:r/>
            <w:r>
              <w:rPr>
                <w:rFonts w:ascii="Aptos" w:hAnsi="Aptos"/>
                <w:sz w:val="16"/>
              </w:rPr>
              <w:t>Émissions, résultats d’adjudication et données de dette souveraine.</w:t>
            </w:r>
          </w:p>
        </w:tc>
      </w:tr>
      <w:tr>
        <w:tc>
          <w:tcPr>
            <w:tcW w:type="dxa" w:w="2381"/>
            <w:tcMar>
              <w:top w:w="60" w:type="dxa"/>
              <w:start w:w="60" w:type="dxa"/>
              <w:bottom w:w="60" w:type="dxa"/>
              <w:end w:w="60" w:type="dxa"/>
            </w:tcMar>
            <w:vAlign w:val="top"/>
          </w:tcPr>
          <w:p>
            <w:r/>
            <w:r>
              <w:rPr>
                <w:rFonts w:ascii="Aptos" w:hAnsi="Aptos"/>
                <w:sz w:val="16"/>
              </w:rPr>
              <w:t>NBS</w:t>
            </w:r>
          </w:p>
        </w:tc>
        <w:tc>
          <w:tcPr>
            <w:tcW w:type="dxa" w:w="6917"/>
            <w:tcMar>
              <w:top w:w="60" w:type="dxa"/>
              <w:start w:w="60" w:type="dxa"/>
              <w:bottom w:w="60" w:type="dxa"/>
              <w:end w:w="60" w:type="dxa"/>
            </w:tcMar>
            <w:vAlign w:val="top"/>
          </w:tcPr>
          <w:p>
            <w:r/>
            <w:r>
              <w:rPr>
                <w:rFonts w:ascii="Aptos" w:hAnsi="Aptos"/>
                <w:sz w:val="16"/>
              </w:rPr>
              <w:t>Inflation et données macroéconomiques officielles.</w:t>
            </w:r>
          </w:p>
        </w:tc>
      </w:tr>
      <w:tr>
        <w:tc>
          <w:tcPr>
            <w:tcW w:type="dxa" w:w="2381"/>
            <w:tcMar>
              <w:top w:w="60" w:type="dxa"/>
              <w:start w:w="60" w:type="dxa"/>
              <w:bottom w:w="60" w:type="dxa"/>
              <w:end w:w="60" w:type="dxa"/>
            </w:tcMar>
            <w:vAlign w:val="top"/>
          </w:tcPr>
          <w:p>
            <w:r/>
            <w:r>
              <w:rPr>
                <w:rFonts w:ascii="Aptos" w:hAnsi="Aptos"/>
                <w:sz w:val="16"/>
              </w:rPr>
              <w:t>CAC</w:t>
            </w:r>
          </w:p>
        </w:tc>
        <w:tc>
          <w:tcPr>
            <w:tcW w:type="dxa" w:w="6917"/>
            <w:tcMar>
              <w:top w:w="60" w:type="dxa"/>
              <w:start w:w="60" w:type="dxa"/>
              <w:bottom w:w="60" w:type="dxa"/>
              <w:end w:w="60" w:type="dxa"/>
            </w:tcMar>
            <w:vAlign w:val="top"/>
          </w:tcPr>
          <w:p>
            <w:r/>
            <w:r>
              <w:rPr>
                <w:rFonts w:ascii="Aptos" w:hAnsi="Aptos"/>
                <w:sz w:val="16"/>
              </w:rPr>
              <w:t>Identité légale et modifications des sociétés ; accès parfois restreint ou payant.</w:t>
            </w:r>
          </w:p>
        </w:tc>
      </w:tr>
    </w:tbl>
    <w:p>
      <w:pPr>
        <w:widowControl/>
        <w:spacing w:after="0"/>
      </w:pPr>
    </w:p>
    <w:p>
      <w:pPr>
        <w:pStyle w:val="Heading2"/>
        <w:widowControl/>
      </w:pPr>
      <w:r>
        <w:t>2.2 Distinctions structurelles</w:t>
      </w:r>
    </w:p>
    <w:p>
      <w:pPr>
        <w:pStyle w:val="ListBullet"/>
        <w:widowControl/>
        <w:ind w:left="397" w:hanging="142"/>
      </w:pPr>
      <w:r>
        <w:rPr>
          <w:rFonts w:ascii="Aptos" w:hAnsi="Aptos"/>
          <w:sz w:val="18"/>
        </w:rPr>
        <w:t>Fonds juridique ≠ classe de parts : une classe peut avoir sa devise, ses frais, son minimum et sa série de prix.</w:t>
      </w:r>
    </w:p>
    <w:p>
      <w:pPr>
        <w:pStyle w:val="ListBullet"/>
        <w:widowControl/>
        <w:ind w:left="397" w:hanging="142"/>
      </w:pPr>
      <w:r>
        <w:rPr>
          <w:rFonts w:ascii="Aptos" w:hAnsi="Aptos"/>
          <w:sz w:val="18"/>
        </w:rPr>
        <w:t>Fonds ≠ société de gestion : le fonds peut survivre à un changement de gestionnaire.</w:t>
      </w:r>
    </w:p>
    <w:p>
      <w:pPr>
        <w:pStyle w:val="ListBullet"/>
        <w:widowControl/>
        <w:ind w:left="397" w:hanging="142"/>
      </w:pPr>
      <w:r>
        <w:rPr>
          <w:rFonts w:ascii="Aptos" w:hAnsi="Aptos"/>
          <w:sz w:val="18"/>
        </w:rPr>
        <w:t>Société de gestion ≠ marque commerciale : une marque peut changer sans changement de personne morale.</w:t>
      </w:r>
    </w:p>
    <w:p>
      <w:pPr>
        <w:pStyle w:val="ListBullet"/>
        <w:widowControl/>
        <w:ind w:left="397" w:hanging="142"/>
      </w:pPr>
      <w:r>
        <w:rPr>
          <w:rFonts w:ascii="Aptos" w:hAnsi="Aptos"/>
          <w:sz w:val="18"/>
        </w:rPr>
        <w:t>Trustee ≠ custodian : les rôles doivent rester séparés même si une même organisation apparaît dans plusieurs fonctions.</w:t>
      </w:r>
    </w:p>
    <w:p>
      <w:pPr>
        <w:pStyle w:val="ListBullet"/>
        <w:widowControl/>
        <w:ind w:left="397" w:hanging="142"/>
      </w:pPr>
      <w:r>
        <w:rPr>
          <w:rFonts w:ascii="Aptos" w:hAnsi="Aptos"/>
          <w:sz w:val="18"/>
        </w:rPr>
        <w:t>CIS enregistré ≠ plateforme d'investissement en ligne : vérifier le registre SEC et les avis d’enforcement.</w:t>
      </w:r>
    </w:p>
    <w:p>
      <w:pPr>
        <w:pStyle w:val="ListBullet"/>
        <w:widowControl/>
        <w:ind w:left="397" w:hanging="142"/>
      </w:pPr>
      <w:r>
        <w:rPr>
          <w:rFonts w:ascii="Aptos" w:hAnsi="Aptos"/>
          <w:sz w:val="18"/>
        </w:rPr>
        <w:t>ETF NAV ≠ prix de marché NGX ; le premium/discount nécessite les deux séries.</w:t>
      </w:r>
    </w:p>
    <w:p>
      <w:pPr>
        <w:pStyle w:val="ListBullet"/>
        <w:widowControl/>
        <w:ind w:left="397" w:hanging="142"/>
      </w:pPr>
      <w:r>
        <w:rPr>
          <w:rFonts w:ascii="Aptos" w:hAnsi="Aptos"/>
          <w:sz w:val="18"/>
        </w:rPr>
        <w:t>REIT NAV ≠ cours coté et distribution ; ces objets doivent être distincts.</w:t>
      </w:r>
    </w:p>
    <w:p>
      <w:pPr>
        <w:pStyle w:val="Heading2"/>
        <w:widowControl/>
      </w:pPr>
      <w:r>
        <w:t>2.3 Catégories normalisées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551"/>
            <w:shd w:fill="D9EAF2"/>
            <w:tcMar>
              <w:top w:w="70" w:type="dxa"/>
              <w:start w:w="70" w:type="dxa"/>
              <w:bottom w:w="70" w:type="dxa"/>
              <w:end w:w="70" w:type="dxa"/>
            </w:tcMar>
            <w:vAlign w:val="center"/>
          </w:tcPr>
          <w:p>
            <w:r/>
            <w:r>
              <w:rPr>
                <w:rFonts w:ascii="Aptos" w:hAnsi="Aptos"/>
                <w:b/>
                <w:color w:val="123E5E"/>
                <w:sz w:val="15"/>
              </w:rPr>
              <w:t>Libellé brut possible</w:t>
            </w:r>
          </w:p>
        </w:tc>
        <w:tc>
          <w:tcPr>
            <w:tcW w:type="dxa" w:w="2551"/>
            <w:shd w:fill="D9EAF2"/>
            <w:tcMar>
              <w:top w:w="70" w:type="dxa"/>
              <w:start w:w="70" w:type="dxa"/>
              <w:bottom w:w="70" w:type="dxa"/>
              <w:end w:w="70" w:type="dxa"/>
            </w:tcMar>
            <w:vAlign w:val="center"/>
          </w:tcPr>
          <w:p>
            <w:r/>
            <w:r>
              <w:rPr>
                <w:rFonts w:ascii="Aptos" w:hAnsi="Aptos"/>
                <w:b/>
                <w:color w:val="123E5E"/>
                <w:sz w:val="15"/>
              </w:rPr>
              <w:t>Catégorie normalisée</w:t>
            </w:r>
          </w:p>
        </w:tc>
        <w:tc>
          <w:tcPr>
            <w:tcW w:type="dxa" w:w="4195"/>
            <w:shd w:fill="D9EAF2"/>
            <w:tcMar>
              <w:top w:w="70" w:type="dxa"/>
              <w:start w:w="70" w:type="dxa"/>
              <w:bottom w:w="70" w:type="dxa"/>
              <w:end w:w="70" w:type="dxa"/>
            </w:tcMar>
            <w:vAlign w:val="center"/>
          </w:tcPr>
          <w:p>
            <w:r/>
            <w:r>
              <w:rPr>
                <w:rFonts w:ascii="Aptos" w:hAnsi="Aptos"/>
                <w:b/>
                <w:color w:val="123E5E"/>
                <w:sz w:val="15"/>
              </w:rPr>
              <w:t>Règle</w:t>
            </w:r>
          </w:p>
        </w:tc>
      </w:tr>
      <w:tr>
        <w:tc>
          <w:tcPr>
            <w:tcW w:type="dxa" w:w="2551"/>
            <w:tcMar>
              <w:top w:w="60" w:type="dxa"/>
              <w:start w:w="60" w:type="dxa"/>
              <w:bottom w:w="60" w:type="dxa"/>
              <w:end w:w="60" w:type="dxa"/>
            </w:tcMar>
            <w:vAlign w:val="top"/>
          </w:tcPr>
          <w:p>
            <w:r/>
            <w:r>
              <w:rPr>
                <w:rFonts w:ascii="Aptos" w:hAnsi="Aptos"/>
                <w:sz w:val="15"/>
              </w:rPr>
              <w:t>Equity Based Funds</w:t>
            </w:r>
          </w:p>
        </w:tc>
        <w:tc>
          <w:tcPr>
            <w:tcW w:type="dxa" w:w="2551"/>
            <w:tcMar>
              <w:top w:w="60" w:type="dxa"/>
              <w:start w:w="60" w:type="dxa"/>
              <w:bottom w:w="60" w:type="dxa"/>
              <w:end w:w="60" w:type="dxa"/>
            </w:tcMar>
            <w:vAlign w:val="top"/>
          </w:tcPr>
          <w:p>
            <w:r/>
            <w:r>
              <w:rPr>
                <w:rFonts w:ascii="Aptos" w:hAnsi="Aptos"/>
                <w:sz w:val="15"/>
              </w:rPr>
              <w:t>Actions</w:t>
            </w:r>
          </w:p>
        </w:tc>
        <w:tc>
          <w:tcPr>
            <w:tcW w:type="dxa" w:w="4195"/>
            <w:tcMar>
              <w:top w:w="60" w:type="dxa"/>
              <w:start w:w="60" w:type="dxa"/>
              <w:bottom w:w="60" w:type="dxa"/>
              <w:end w:w="60" w:type="dxa"/>
            </w:tcMar>
            <w:vAlign w:val="top"/>
          </w:tcPr>
          <w:p>
            <w:r/>
            <w:r>
              <w:rPr>
                <w:rFonts w:ascii="Aptos" w:hAnsi="Aptos"/>
                <w:sz w:val="15"/>
              </w:rPr>
              <w:t>Exposition dominante aux actions.</w:t>
            </w:r>
          </w:p>
        </w:tc>
      </w:tr>
      <w:tr>
        <w:tc>
          <w:tcPr>
            <w:tcW w:type="dxa" w:w="2551"/>
            <w:tcMar>
              <w:top w:w="60" w:type="dxa"/>
              <w:start w:w="60" w:type="dxa"/>
              <w:bottom w:w="60" w:type="dxa"/>
              <w:end w:w="60" w:type="dxa"/>
            </w:tcMar>
            <w:vAlign w:val="top"/>
          </w:tcPr>
          <w:p>
            <w:r/>
            <w:r>
              <w:rPr>
                <w:rFonts w:ascii="Aptos" w:hAnsi="Aptos"/>
                <w:sz w:val="15"/>
              </w:rPr>
              <w:t>Money Market Funds</w:t>
            </w:r>
          </w:p>
        </w:tc>
        <w:tc>
          <w:tcPr>
            <w:tcW w:type="dxa" w:w="2551"/>
            <w:tcMar>
              <w:top w:w="60" w:type="dxa"/>
              <w:start w:w="60" w:type="dxa"/>
              <w:bottom w:w="60" w:type="dxa"/>
              <w:end w:w="60" w:type="dxa"/>
            </w:tcMar>
            <w:vAlign w:val="top"/>
          </w:tcPr>
          <w:p>
            <w:r/>
            <w:r>
              <w:rPr>
                <w:rFonts w:ascii="Aptos" w:hAnsi="Aptos"/>
                <w:sz w:val="15"/>
              </w:rPr>
              <w:t>Monétaire</w:t>
            </w:r>
          </w:p>
        </w:tc>
        <w:tc>
          <w:tcPr>
            <w:tcW w:type="dxa" w:w="4195"/>
            <w:tcMar>
              <w:top w:w="60" w:type="dxa"/>
              <w:start w:w="60" w:type="dxa"/>
              <w:bottom w:w="60" w:type="dxa"/>
              <w:end w:w="60" w:type="dxa"/>
            </w:tcMar>
            <w:vAlign w:val="top"/>
          </w:tcPr>
          <w:p>
            <w:r/>
            <w:r>
              <w:rPr>
                <w:rFonts w:ascii="Aptos" w:hAnsi="Aptos"/>
                <w:sz w:val="15"/>
              </w:rPr>
              <w:t>Instruments de court terme ; benchmark à documenter.</w:t>
            </w:r>
          </w:p>
        </w:tc>
      </w:tr>
      <w:tr>
        <w:tc>
          <w:tcPr>
            <w:tcW w:type="dxa" w:w="2551"/>
            <w:tcMar>
              <w:top w:w="60" w:type="dxa"/>
              <w:start w:w="60" w:type="dxa"/>
              <w:bottom w:w="60" w:type="dxa"/>
              <w:end w:w="60" w:type="dxa"/>
            </w:tcMar>
            <w:vAlign w:val="top"/>
          </w:tcPr>
          <w:p>
            <w:r/>
            <w:r>
              <w:rPr>
                <w:rFonts w:ascii="Aptos" w:hAnsi="Aptos"/>
                <w:sz w:val="15"/>
              </w:rPr>
              <w:t>Fixed Income / Bond Funds</w:t>
            </w:r>
          </w:p>
        </w:tc>
        <w:tc>
          <w:tcPr>
            <w:tcW w:type="dxa" w:w="2551"/>
            <w:tcMar>
              <w:top w:w="60" w:type="dxa"/>
              <w:start w:w="60" w:type="dxa"/>
              <w:bottom w:w="60" w:type="dxa"/>
              <w:end w:w="60" w:type="dxa"/>
            </w:tcMar>
            <w:vAlign w:val="top"/>
          </w:tcPr>
          <w:p>
            <w:r/>
            <w:r>
              <w:rPr>
                <w:rFonts w:ascii="Aptos" w:hAnsi="Aptos"/>
                <w:sz w:val="15"/>
              </w:rPr>
              <w:t>Obligataire</w:t>
            </w:r>
          </w:p>
        </w:tc>
        <w:tc>
          <w:tcPr>
            <w:tcW w:type="dxa" w:w="4195"/>
            <w:tcMar>
              <w:top w:w="60" w:type="dxa"/>
              <w:start w:w="60" w:type="dxa"/>
              <w:bottom w:w="60" w:type="dxa"/>
              <w:end w:w="60" w:type="dxa"/>
            </w:tcMar>
            <w:vAlign w:val="top"/>
          </w:tcPr>
          <w:p>
            <w:r/>
            <w:r>
              <w:rPr>
                <w:rFonts w:ascii="Aptos" w:hAnsi="Aptos"/>
                <w:sz w:val="15"/>
              </w:rPr>
              <w:t>Conserver sous-type souverain, corporate, duration et devise.</w:t>
            </w:r>
          </w:p>
        </w:tc>
      </w:tr>
      <w:tr>
        <w:tc>
          <w:tcPr>
            <w:tcW w:type="dxa" w:w="2551"/>
            <w:tcMar>
              <w:top w:w="60" w:type="dxa"/>
              <w:start w:w="60" w:type="dxa"/>
              <w:bottom w:w="60" w:type="dxa"/>
              <w:end w:w="60" w:type="dxa"/>
            </w:tcMar>
            <w:vAlign w:val="top"/>
          </w:tcPr>
          <w:p>
            <w:r/>
            <w:r>
              <w:rPr>
                <w:rFonts w:ascii="Aptos" w:hAnsi="Aptos"/>
                <w:sz w:val="15"/>
              </w:rPr>
              <w:t>Balanced / Mixed Funds</w:t>
            </w:r>
          </w:p>
        </w:tc>
        <w:tc>
          <w:tcPr>
            <w:tcW w:type="dxa" w:w="2551"/>
            <w:tcMar>
              <w:top w:w="60" w:type="dxa"/>
              <w:start w:w="60" w:type="dxa"/>
              <w:bottom w:w="60" w:type="dxa"/>
              <w:end w:w="60" w:type="dxa"/>
            </w:tcMar>
            <w:vAlign w:val="top"/>
          </w:tcPr>
          <w:p>
            <w:r/>
            <w:r>
              <w:rPr>
                <w:rFonts w:ascii="Aptos" w:hAnsi="Aptos"/>
                <w:sz w:val="15"/>
              </w:rPr>
              <w:t>Diversifié</w:t>
            </w:r>
          </w:p>
        </w:tc>
        <w:tc>
          <w:tcPr>
            <w:tcW w:type="dxa" w:w="4195"/>
            <w:tcMar>
              <w:top w:w="60" w:type="dxa"/>
              <w:start w:w="60" w:type="dxa"/>
              <w:bottom w:w="60" w:type="dxa"/>
              <w:end w:w="60" w:type="dxa"/>
            </w:tcMar>
            <w:vAlign w:val="top"/>
          </w:tcPr>
          <w:p>
            <w:r/>
            <w:r>
              <w:rPr>
                <w:rFonts w:ascii="Aptos" w:hAnsi="Aptos"/>
                <w:sz w:val="15"/>
              </w:rPr>
              <w:t>Allocation multi-actifs ; ne pas inférer la répartition sans source.</w:t>
            </w:r>
          </w:p>
        </w:tc>
      </w:tr>
      <w:tr>
        <w:tc>
          <w:tcPr>
            <w:tcW w:type="dxa" w:w="2551"/>
            <w:tcMar>
              <w:top w:w="60" w:type="dxa"/>
              <w:start w:w="60" w:type="dxa"/>
              <w:bottom w:w="60" w:type="dxa"/>
              <w:end w:w="60" w:type="dxa"/>
            </w:tcMar>
            <w:vAlign w:val="top"/>
          </w:tcPr>
          <w:p>
            <w:r/>
            <w:r>
              <w:rPr>
                <w:rFonts w:ascii="Aptos" w:hAnsi="Aptos"/>
                <w:sz w:val="15"/>
              </w:rPr>
              <w:t>Dollar Funds</w:t>
            </w:r>
          </w:p>
        </w:tc>
        <w:tc>
          <w:tcPr>
            <w:tcW w:type="dxa" w:w="2551"/>
            <w:tcMar>
              <w:top w:w="60" w:type="dxa"/>
              <w:start w:w="60" w:type="dxa"/>
              <w:bottom w:w="60" w:type="dxa"/>
              <w:end w:w="60" w:type="dxa"/>
            </w:tcMar>
            <w:vAlign w:val="top"/>
          </w:tcPr>
          <w:p>
            <w:r/>
            <w:r>
              <w:rPr>
                <w:rFonts w:ascii="Aptos" w:hAnsi="Aptos"/>
                <w:sz w:val="15"/>
              </w:rPr>
              <w:t>Obligataire USD / diversifié USD selon mandat</w:t>
            </w:r>
          </w:p>
        </w:tc>
        <w:tc>
          <w:tcPr>
            <w:tcW w:type="dxa" w:w="4195"/>
            <w:tcMar>
              <w:top w:w="60" w:type="dxa"/>
              <w:start w:w="60" w:type="dxa"/>
              <w:bottom w:w="60" w:type="dxa"/>
              <w:end w:w="60" w:type="dxa"/>
            </w:tcMar>
            <w:vAlign w:val="top"/>
          </w:tcPr>
          <w:p>
            <w:r/>
            <w:r>
              <w:rPr>
                <w:rFonts w:ascii="Aptos" w:hAnsi="Aptos"/>
                <w:sz w:val="15"/>
              </w:rPr>
              <w:t>Le libellé SEC n’est pas une classe d’actifs complète ; lire le prospectus.</w:t>
            </w:r>
          </w:p>
        </w:tc>
      </w:tr>
      <w:tr>
        <w:tc>
          <w:tcPr>
            <w:tcW w:type="dxa" w:w="2551"/>
            <w:tcMar>
              <w:top w:w="60" w:type="dxa"/>
              <w:start w:w="60" w:type="dxa"/>
              <w:bottom w:w="60" w:type="dxa"/>
              <w:end w:w="60" w:type="dxa"/>
            </w:tcMar>
            <w:vAlign w:val="top"/>
          </w:tcPr>
          <w:p>
            <w:r/>
            <w:r>
              <w:rPr>
                <w:rFonts w:ascii="Aptos" w:hAnsi="Aptos"/>
                <w:sz w:val="15"/>
              </w:rPr>
              <w:t>Ethical / Shariah Compliant</w:t>
            </w:r>
          </w:p>
        </w:tc>
        <w:tc>
          <w:tcPr>
            <w:tcW w:type="dxa" w:w="2551"/>
            <w:tcMar>
              <w:top w:w="60" w:type="dxa"/>
              <w:start w:w="60" w:type="dxa"/>
              <w:bottom w:w="60" w:type="dxa"/>
              <w:end w:w="60" w:type="dxa"/>
            </w:tcMar>
            <w:vAlign w:val="top"/>
          </w:tcPr>
          <w:p>
            <w:r/>
            <w:r>
              <w:rPr>
                <w:rFonts w:ascii="Aptos" w:hAnsi="Aptos"/>
                <w:sz w:val="15"/>
              </w:rPr>
              <w:t>Éthique / Sharia</w:t>
            </w:r>
          </w:p>
        </w:tc>
        <w:tc>
          <w:tcPr>
            <w:tcW w:type="dxa" w:w="4195"/>
            <w:tcMar>
              <w:top w:w="60" w:type="dxa"/>
              <w:start w:w="60" w:type="dxa"/>
              <w:bottom w:w="60" w:type="dxa"/>
              <w:end w:w="60" w:type="dxa"/>
            </w:tcMar>
            <w:vAlign w:val="top"/>
          </w:tcPr>
          <w:p>
            <w:r/>
            <w:r>
              <w:rPr>
                <w:rFonts w:ascii="Aptos" w:hAnsi="Aptos"/>
                <w:sz w:val="15"/>
              </w:rPr>
              <w:t>Conserver le filtre, le conseil Sharia et le mandat réel.</w:t>
            </w:r>
          </w:p>
        </w:tc>
      </w:tr>
      <w:tr>
        <w:tc>
          <w:tcPr>
            <w:tcW w:type="dxa" w:w="2551"/>
            <w:tcMar>
              <w:top w:w="60" w:type="dxa"/>
              <w:start w:w="60" w:type="dxa"/>
              <w:bottom w:w="60" w:type="dxa"/>
              <w:end w:w="60" w:type="dxa"/>
            </w:tcMar>
            <w:vAlign w:val="top"/>
          </w:tcPr>
          <w:p>
            <w:r/>
            <w:r>
              <w:rPr>
                <w:rFonts w:ascii="Aptos" w:hAnsi="Aptos"/>
                <w:sz w:val="15"/>
              </w:rPr>
              <w:t>Sector Funds</w:t>
            </w:r>
          </w:p>
        </w:tc>
        <w:tc>
          <w:tcPr>
            <w:tcW w:type="dxa" w:w="2551"/>
            <w:tcMar>
              <w:top w:w="60" w:type="dxa"/>
              <w:start w:w="60" w:type="dxa"/>
              <w:bottom w:w="60" w:type="dxa"/>
              <w:end w:w="60" w:type="dxa"/>
            </w:tcMar>
            <w:vAlign w:val="top"/>
          </w:tcPr>
          <w:p>
            <w:r/>
            <w:r>
              <w:rPr>
                <w:rFonts w:ascii="Aptos" w:hAnsi="Aptos"/>
                <w:sz w:val="15"/>
              </w:rPr>
              <w:t>Sectoriel</w:t>
            </w:r>
          </w:p>
        </w:tc>
        <w:tc>
          <w:tcPr>
            <w:tcW w:type="dxa" w:w="4195"/>
            <w:tcMar>
              <w:top w:w="60" w:type="dxa"/>
              <w:start w:w="60" w:type="dxa"/>
              <w:bottom w:w="60" w:type="dxa"/>
              <w:end w:w="60" w:type="dxa"/>
            </w:tcMar>
            <w:vAlign w:val="top"/>
          </w:tcPr>
          <w:p>
            <w:r/>
            <w:r>
              <w:rPr>
                <w:rFonts w:ascii="Aptos" w:hAnsi="Aptos"/>
                <w:sz w:val="15"/>
              </w:rPr>
              <w:t>Conserver le secteur ciblé.</w:t>
            </w:r>
          </w:p>
        </w:tc>
      </w:tr>
      <w:tr>
        <w:tc>
          <w:tcPr>
            <w:tcW w:type="dxa" w:w="2551"/>
            <w:tcMar>
              <w:top w:w="60" w:type="dxa"/>
              <w:start w:w="60" w:type="dxa"/>
              <w:bottom w:w="60" w:type="dxa"/>
              <w:end w:w="60" w:type="dxa"/>
            </w:tcMar>
            <w:vAlign w:val="top"/>
          </w:tcPr>
          <w:p>
            <w:r/>
            <w:r>
              <w:rPr>
                <w:rFonts w:ascii="Aptos" w:hAnsi="Aptos"/>
                <w:sz w:val="15"/>
              </w:rPr>
              <w:t>Real Estate Funds / REITs</w:t>
            </w:r>
          </w:p>
        </w:tc>
        <w:tc>
          <w:tcPr>
            <w:tcW w:type="dxa" w:w="2551"/>
            <w:tcMar>
              <w:top w:w="60" w:type="dxa"/>
              <w:start w:w="60" w:type="dxa"/>
              <w:bottom w:w="60" w:type="dxa"/>
              <w:end w:w="60" w:type="dxa"/>
            </w:tcMar>
            <w:vAlign w:val="top"/>
          </w:tcPr>
          <w:p>
            <w:r/>
            <w:r>
              <w:rPr>
                <w:rFonts w:ascii="Aptos" w:hAnsi="Aptos"/>
                <w:sz w:val="15"/>
              </w:rPr>
              <w:t>Immobilier</w:t>
            </w:r>
          </w:p>
        </w:tc>
        <w:tc>
          <w:tcPr>
            <w:tcW w:type="dxa" w:w="4195"/>
            <w:tcMar>
              <w:top w:w="60" w:type="dxa"/>
              <w:start w:w="60" w:type="dxa"/>
              <w:bottom w:w="60" w:type="dxa"/>
              <w:end w:w="60" w:type="dxa"/>
            </w:tcMar>
            <w:vAlign w:val="top"/>
          </w:tcPr>
          <w:p>
            <w:r/>
            <w:r>
              <w:rPr>
                <w:rFonts w:ascii="Aptos" w:hAnsi="Aptos"/>
                <w:sz w:val="15"/>
              </w:rPr>
              <w:t>Distinguer fonds non coté et REIT coté.</w:t>
            </w:r>
          </w:p>
        </w:tc>
      </w:tr>
      <w:tr>
        <w:tc>
          <w:tcPr>
            <w:tcW w:type="dxa" w:w="2551"/>
            <w:tcMar>
              <w:top w:w="60" w:type="dxa"/>
              <w:start w:w="60" w:type="dxa"/>
              <w:bottom w:w="60" w:type="dxa"/>
              <w:end w:w="60" w:type="dxa"/>
            </w:tcMar>
            <w:vAlign w:val="top"/>
          </w:tcPr>
          <w:p>
            <w:r/>
            <w:r>
              <w:rPr>
                <w:rFonts w:ascii="Aptos" w:hAnsi="Aptos"/>
                <w:sz w:val="15"/>
              </w:rPr>
              <w:t>Exchange Traded Funds</w:t>
            </w:r>
          </w:p>
        </w:tc>
        <w:tc>
          <w:tcPr>
            <w:tcW w:type="dxa" w:w="2551"/>
            <w:tcMar>
              <w:top w:w="60" w:type="dxa"/>
              <w:start w:w="60" w:type="dxa"/>
              <w:bottom w:w="60" w:type="dxa"/>
              <w:end w:w="60" w:type="dxa"/>
            </w:tcMar>
            <w:vAlign w:val="top"/>
          </w:tcPr>
          <w:p>
            <w:r/>
            <w:r>
              <w:rPr>
                <w:rFonts w:ascii="Aptos" w:hAnsi="Aptos"/>
                <w:sz w:val="15"/>
              </w:rPr>
              <w:t>ETF</w:t>
            </w:r>
          </w:p>
        </w:tc>
        <w:tc>
          <w:tcPr>
            <w:tcW w:type="dxa" w:w="4195"/>
            <w:tcMar>
              <w:top w:w="60" w:type="dxa"/>
              <w:start w:w="60" w:type="dxa"/>
              <w:bottom w:w="60" w:type="dxa"/>
              <w:end w:w="60" w:type="dxa"/>
            </w:tcMar>
            <w:vAlign w:val="top"/>
          </w:tcPr>
          <w:p>
            <w:r/>
            <w:r>
              <w:rPr>
                <w:rFonts w:ascii="Aptos" w:hAnsi="Aptos"/>
                <w:sz w:val="15"/>
              </w:rPr>
              <w:t>Distinguer indice, réplication, NAV et cours.</w:t>
            </w:r>
          </w:p>
        </w:tc>
      </w:tr>
      <w:tr>
        <w:tc>
          <w:tcPr>
            <w:tcW w:type="dxa" w:w="2551"/>
            <w:tcMar>
              <w:top w:w="60" w:type="dxa"/>
              <w:start w:w="60" w:type="dxa"/>
              <w:bottom w:w="60" w:type="dxa"/>
              <w:end w:w="60" w:type="dxa"/>
            </w:tcMar>
            <w:vAlign w:val="top"/>
          </w:tcPr>
          <w:p>
            <w:r/>
            <w:r>
              <w:rPr>
                <w:rFonts w:ascii="Aptos" w:hAnsi="Aptos"/>
                <w:sz w:val="15"/>
              </w:rPr>
              <w:t>Infrastructure / Specialized</w:t>
            </w:r>
          </w:p>
        </w:tc>
        <w:tc>
          <w:tcPr>
            <w:tcW w:type="dxa" w:w="2551"/>
            <w:tcMar>
              <w:top w:w="60" w:type="dxa"/>
              <w:start w:w="60" w:type="dxa"/>
              <w:bottom w:w="60" w:type="dxa"/>
              <w:end w:w="60" w:type="dxa"/>
            </w:tcMar>
            <w:vAlign w:val="top"/>
          </w:tcPr>
          <w:p>
            <w:r/>
            <w:r>
              <w:rPr>
                <w:rFonts w:ascii="Aptos" w:hAnsi="Aptos"/>
                <w:sz w:val="15"/>
              </w:rPr>
              <w:t>Spécialisé</w:t>
            </w:r>
          </w:p>
        </w:tc>
        <w:tc>
          <w:tcPr>
            <w:tcW w:type="dxa" w:w="4195"/>
            <w:tcMar>
              <w:top w:w="60" w:type="dxa"/>
              <w:start w:w="60" w:type="dxa"/>
              <w:bottom w:w="60" w:type="dxa"/>
              <w:end w:w="60" w:type="dxa"/>
            </w:tcMar>
            <w:vAlign w:val="top"/>
          </w:tcPr>
          <w:p>
            <w:r/>
            <w:r>
              <w:rPr>
                <w:rFonts w:ascii="Aptos" w:hAnsi="Aptos"/>
                <w:sz w:val="15"/>
              </w:rPr>
              <w:t>Modéliser selon prospectus.</w:t>
            </w:r>
          </w:p>
        </w:tc>
      </w:tr>
    </w:tbl>
    <w:p>
      <w:pPr>
        <w:widowControl/>
        <w:spacing w:after="0"/>
      </w:pPr>
    </w:p>
    <w:tbl>
      <w:tblPr>
        <w:tblW w:type="auto" w:w="0"/>
        <w:jc w:val="center"/>
        <w:tblLayout w:type="autofit"/>
        <w:tblLook w:firstColumn="1" w:firstRow="1" w:lastColumn="0" w:lastRow="0" w:noHBand="0" w:noVBand="1" w:val="04A0"/>
      </w:tblPr>
      <w:tblGrid>
        <w:gridCol w:w="10200"/>
      </w:tblGrid>
      <w:tr>
        <w:tc>
          <w:tcPr>
            <w:tcW w:type="dxa" w:w="10200"/>
            <w:shd w:fill="FFF2CC"/>
            <w:tcMar>
              <w:top w:w="140" w:type="dxa"/>
              <w:start w:w="150" w:type="dxa"/>
              <w:bottom w:w="140" w:type="dxa"/>
              <w:end w:w="150" w:type="dxa"/>
            </w:tcMar>
          </w:tcPr>
          <w:p>
            <w:r>
              <w:rPr>
                <w:rFonts w:ascii="Aptos" w:hAnsi="Aptos"/>
                <w:b/>
                <w:color w:val="123E5E"/>
                <w:sz w:val="18"/>
              </w:rPr>
              <w:t xml:space="preserve">Interdit — </w:t>
            </w:r>
            <w:r>
              <w:rPr>
                <w:rFonts w:ascii="Aptos" w:hAnsi="Aptos"/>
                <w:sz w:val="18"/>
              </w:rPr>
              <w:t>Ne pas classer automatiquement un fonds uniquement à partir d'un mot dans son nom. « Income », « Growth », « Dollar » ou « Ethical » sont des indices, pas des preuves suffisantes.</w:t>
            </w:r>
          </w:p>
        </w:tc>
      </w:tr>
    </w:tbl>
    <w:p>
      <w:pPr>
        <w:widowControl/>
        <w:spacing w:after="0"/>
      </w:pPr>
    </w:p>
    <w:p>
      <w:pPr>
        <w:widowControl/>
      </w:pPr>
      <w:r>
        <w:br w:type="page"/>
      </w:r>
    </w:p>
    <w:p>
      <w:pPr>
        <w:widowControl/>
        <w:jc w:val="center"/>
      </w:pPr>
      <w:r>
        <w:rPr>
          <w:rFonts w:ascii="Aptos Display" w:hAnsi="Aptos Display"/>
          <w:b/>
          <w:color w:val="123E5E"/>
          <w:sz w:val="44"/>
        </w:rPr>
        <w:t>PARTIE III — CARTOGRAPHIE COMPLÈTE DES SOURCES</w:t>
      </w:r>
    </w:p>
    <w:p>
      <w:pPr>
        <w:widowControl/>
        <w:jc w:val="center"/>
      </w:pPr>
      <w:r>
        <w:rPr>
          <w:rFonts w:ascii="Aptos" w:hAnsi="Aptos"/>
          <w:i/>
          <w:color w:val="505050"/>
          <w:sz w:val="22"/>
        </w:rPr>
        <w:t>Priorité, couverture, autorité et usage</w:t>
      </w:r>
    </w:p>
    <w:p>
      <w:pPr>
        <w:widowControl/>
      </w:pPr>
    </w:p>
    <w:p>
      <w:pPr>
        <w:pStyle w:val="Heading1"/>
        <w:widowControl/>
      </w:pPr>
      <w:r>
        <w:t>3. Hiérarchie des sources</w:t>
      </w:r>
    </w:p>
    <w:p>
      <w:pPr>
        <w:widowControl/>
      </w:pPr>
      <w:r>
        <w:rPr>
          <w:rFonts w:ascii="Aptos" w:hAnsi="Aptos"/>
          <w:sz w:val="19"/>
        </w:rPr>
        <w:t>La qualité d'une donnée dépend autant de sa source que de son extraction. Chaque affirmation doit être rattachée à une source classée par autorité, proximité de l'événement et précision.</w:t>
      </w:r>
    </w:p>
    <w:p>
      <w:pPr>
        <w:pStyle w:val="Heading2"/>
        <w:widowControl/>
      </w:pPr>
      <w:r>
        <w:t>3.1 Échelle d’autorité</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794"/>
            <w:shd w:fill="D9EAF2"/>
            <w:tcMar>
              <w:top w:w="70" w:type="dxa"/>
              <w:start w:w="70" w:type="dxa"/>
              <w:bottom w:w="70" w:type="dxa"/>
              <w:end w:w="70" w:type="dxa"/>
            </w:tcMar>
            <w:vAlign w:val="center"/>
          </w:tcPr>
          <w:p>
            <w:r/>
            <w:r>
              <w:rPr>
                <w:rFonts w:ascii="Aptos" w:hAnsi="Aptos"/>
                <w:b/>
                <w:color w:val="123E5E"/>
                <w:sz w:val="15"/>
              </w:rPr>
              <w:t>Niveau</w:t>
            </w:r>
          </w:p>
        </w:tc>
        <w:tc>
          <w:tcPr>
            <w:tcW w:type="dxa" w:w="1928"/>
            <w:shd w:fill="D9EAF2"/>
            <w:tcMar>
              <w:top w:w="70" w:type="dxa"/>
              <w:start w:w="70" w:type="dxa"/>
              <w:bottom w:w="70" w:type="dxa"/>
              <w:end w:w="70" w:type="dxa"/>
            </w:tcMar>
            <w:vAlign w:val="center"/>
          </w:tcPr>
          <w:p>
            <w:r/>
            <w:r>
              <w:rPr>
                <w:rFonts w:ascii="Aptos" w:hAnsi="Aptos"/>
                <w:b/>
                <w:color w:val="123E5E"/>
                <w:sz w:val="15"/>
              </w:rPr>
              <w:t>Type</w:t>
            </w:r>
          </w:p>
        </w:tc>
        <w:tc>
          <w:tcPr>
            <w:tcW w:type="dxa" w:w="3572"/>
            <w:shd w:fill="D9EAF2"/>
            <w:tcMar>
              <w:top w:w="70" w:type="dxa"/>
              <w:start w:w="70" w:type="dxa"/>
              <w:bottom w:w="70" w:type="dxa"/>
              <w:end w:w="70" w:type="dxa"/>
            </w:tcMar>
            <w:vAlign w:val="center"/>
          </w:tcPr>
          <w:p>
            <w:r/>
            <w:r>
              <w:rPr>
                <w:rFonts w:ascii="Aptos" w:hAnsi="Aptos"/>
                <w:b/>
                <w:color w:val="123E5E"/>
                <w:sz w:val="15"/>
              </w:rPr>
              <w:t>Exemples</w:t>
            </w:r>
          </w:p>
        </w:tc>
        <w:tc>
          <w:tcPr>
            <w:tcW w:type="dxa" w:w="3005"/>
            <w:shd w:fill="D9EAF2"/>
            <w:tcMar>
              <w:top w:w="70" w:type="dxa"/>
              <w:start w:w="70" w:type="dxa"/>
              <w:bottom w:w="70" w:type="dxa"/>
              <w:end w:w="70" w:type="dxa"/>
            </w:tcMar>
            <w:vAlign w:val="center"/>
          </w:tcPr>
          <w:p>
            <w:r/>
            <w:r>
              <w:rPr>
                <w:rFonts w:ascii="Aptos" w:hAnsi="Aptos"/>
                <w:b/>
                <w:color w:val="123E5E"/>
                <w:sz w:val="15"/>
              </w:rPr>
              <w:t>Usage</w:t>
            </w:r>
          </w:p>
        </w:tc>
      </w:tr>
      <w:tr>
        <w:tc>
          <w:tcPr>
            <w:tcW w:type="dxa" w:w="794"/>
            <w:tcMar>
              <w:top w:w="60" w:type="dxa"/>
              <w:start w:w="60" w:type="dxa"/>
              <w:bottom w:w="60" w:type="dxa"/>
              <w:end w:w="60" w:type="dxa"/>
            </w:tcMar>
            <w:vAlign w:val="top"/>
          </w:tcPr>
          <w:p>
            <w:r/>
            <w:r>
              <w:rPr>
                <w:rFonts w:ascii="Aptos" w:hAnsi="Aptos"/>
                <w:sz w:val="15"/>
              </w:rPr>
              <w:t>A</w:t>
            </w:r>
          </w:p>
        </w:tc>
        <w:tc>
          <w:tcPr>
            <w:tcW w:type="dxa" w:w="1928"/>
            <w:tcMar>
              <w:top w:w="60" w:type="dxa"/>
              <w:start w:w="60" w:type="dxa"/>
              <w:bottom w:w="60" w:type="dxa"/>
              <w:end w:w="60" w:type="dxa"/>
            </w:tcMar>
            <w:vAlign w:val="top"/>
          </w:tcPr>
          <w:p>
            <w:r/>
            <w:r>
              <w:rPr>
                <w:rFonts w:ascii="Aptos" w:hAnsi="Aptos"/>
                <w:sz w:val="15"/>
              </w:rPr>
              <w:t>Source réglementaire ou légale primaire</w:t>
            </w:r>
          </w:p>
        </w:tc>
        <w:tc>
          <w:tcPr>
            <w:tcW w:type="dxa" w:w="3572"/>
            <w:tcMar>
              <w:top w:w="60" w:type="dxa"/>
              <w:start w:w="60" w:type="dxa"/>
              <w:bottom w:w="60" w:type="dxa"/>
              <w:end w:w="60" w:type="dxa"/>
            </w:tcMar>
            <w:vAlign w:val="top"/>
          </w:tcPr>
          <w:p>
            <w:r/>
            <w:r>
              <w:rPr>
                <w:rFonts w:ascii="Aptos" w:hAnsi="Aptos"/>
                <w:sz w:val="15"/>
              </w:rPr>
              <w:t>SEC, ISA, règles, circulaires, registres, décisions, avis officiels.</w:t>
            </w:r>
          </w:p>
        </w:tc>
        <w:tc>
          <w:tcPr>
            <w:tcW w:type="dxa" w:w="3005"/>
            <w:tcMar>
              <w:top w:w="60" w:type="dxa"/>
              <w:start w:w="60" w:type="dxa"/>
              <w:bottom w:w="60" w:type="dxa"/>
              <w:end w:w="60" w:type="dxa"/>
            </w:tcMar>
            <w:vAlign w:val="top"/>
          </w:tcPr>
          <w:p>
            <w:r/>
            <w:r>
              <w:rPr>
                <w:rFonts w:ascii="Aptos" w:hAnsi="Aptos"/>
                <w:sz w:val="15"/>
              </w:rPr>
              <w:t>Preuve prioritaire pour statut, enregistrement, événement et publication officielle.</w:t>
            </w:r>
          </w:p>
        </w:tc>
      </w:tr>
      <w:tr>
        <w:tc>
          <w:tcPr>
            <w:tcW w:type="dxa" w:w="794"/>
            <w:tcMar>
              <w:top w:w="60" w:type="dxa"/>
              <w:start w:w="60" w:type="dxa"/>
              <w:bottom w:w="60" w:type="dxa"/>
              <w:end w:w="60" w:type="dxa"/>
            </w:tcMar>
            <w:vAlign w:val="top"/>
          </w:tcPr>
          <w:p>
            <w:r/>
            <w:r>
              <w:rPr>
                <w:rFonts w:ascii="Aptos" w:hAnsi="Aptos"/>
                <w:sz w:val="15"/>
              </w:rPr>
              <w:t>B</w:t>
            </w:r>
          </w:p>
        </w:tc>
        <w:tc>
          <w:tcPr>
            <w:tcW w:type="dxa" w:w="1928"/>
            <w:tcMar>
              <w:top w:w="60" w:type="dxa"/>
              <w:start w:w="60" w:type="dxa"/>
              <w:bottom w:w="60" w:type="dxa"/>
              <w:end w:w="60" w:type="dxa"/>
            </w:tcMar>
            <w:vAlign w:val="top"/>
          </w:tcPr>
          <w:p>
            <w:r/>
            <w:r>
              <w:rPr>
                <w:rFonts w:ascii="Aptos" w:hAnsi="Aptos"/>
                <w:sz w:val="15"/>
              </w:rPr>
              <w:t>Document officiel du fonds / gestionnaire</w:t>
            </w:r>
          </w:p>
        </w:tc>
        <w:tc>
          <w:tcPr>
            <w:tcW w:type="dxa" w:w="3572"/>
            <w:tcMar>
              <w:top w:w="60" w:type="dxa"/>
              <w:start w:w="60" w:type="dxa"/>
              <w:bottom w:w="60" w:type="dxa"/>
              <w:end w:w="60" w:type="dxa"/>
            </w:tcMar>
            <w:vAlign w:val="top"/>
          </w:tcPr>
          <w:p>
            <w:r/>
            <w:r>
              <w:rPr>
                <w:rFonts w:ascii="Aptos" w:hAnsi="Aptos"/>
                <w:sz w:val="15"/>
              </w:rPr>
              <w:t>Prospectus, trust deed, offer circular, audited accounts, annual report, fact sheet signée.</w:t>
            </w:r>
          </w:p>
        </w:tc>
        <w:tc>
          <w:tcPr>
            <w:tcW w:type="dxa" w:w="3005"/>
            <w:tcMar>
              <w:top w:w="60" w:type="dxa"/>
              <w:start w:w="60" w:type="dxa"/>
              <w:bottom w:w="60" w:type="dxa"/>
              <w:end w:w="60" w:type="dxa"/>
            </w:tcMar>
            <w:vAlign w:val="top"/>
          </w:tcPr>
          <w:p>
            <w:r/>
            <w:r>
              <w:rPr>
                <w:rFonts w:ascii="Aptos" w:hAnsi="Aptos"/>
                <w:sz w:val="15"/>
              </w:rPr>
              <w:t>Caractéristiques, dates, prestataires, frais, stratégie et historique.</w:t>
            </w:r>
          </w:p>
        </w:tc>
      </w:tr>
      <w:tr>
        <w:tc>
          <w:tcPr>
            <w:tcW w:type="dxa" w:w="794"/>
            <w:tcMar>
              <w:top w:w="60" w:type="dxa"/>
              <w:start w:w="60" w:type="dxa"/>
              <w:bottom w:w="60" w:type="dxa"/>
              <w:end w:w="60" w:type="dxa"/>
            </w:tcMar>
            <w:vAlign w:val="top"/>
          </w:tcPr>
          <w:p>
            <w:r/>
            <w:r>
              <w:rPr>
                <w:rFonts w:ascii="Aptos" w:hAnsi="Aptos"/>
                <w:sz w:val="15"/>
              </w:rPr>
              <w:t>C</w:t>
            </w:r>
          </w:p>
        </w:tc>
        <w:tc>
          <w:tcPr>
            <w:tcW w:type="dxa" w:w="1928"/>
            <w:tcMar>
              <w:top w:w="60" w:type="dxa"/>
              <w:start w:w="60" w:type="dxa"/>
              <w:bottom w:w="60" w:type="dxa"/>
              <w:end w:w="60" w:type="dxa"/>
            </w:tcMar>
            <w:vAlign w:val="top"/>
          </w:tcPr>
          <w:p>
            <w:r/>
            <w:r>
              <w:rPr>
                <w:rFonts w:ascii="Aptos" w:hAnsi="Aptos"/>
                <w:sz w:val="15"/>
              </w:rPr>
              <w:t>Infrastructure de marché officielle</w:t>
            </w:r>
          </w:p>
        </w:tc>
        <w:tc>
          <w:tcPr>
            <w:tcW w:type="dxa" w:w="3572"/>
            <w:tcMar>
              <w:top w:w="60" w:type="dxa"/>
              <w:start w:w="60" w:type="dxa"/>
              <w:bottom w:w="60" w:type="dxa"/>
              <w:end w:w="60" w:type="dxa"/>
            </w:tcMar>
            <w:vAlign w:val="top"/>
          </w:tcPr>
          <w:p>
            <w:r/>
            <w:r>
              <w:rPr>
                <w:rFonts w:ascii="Aptos" w:hAnsi="Aptos"/>
                <w:sz w:val="15"/>
              </w:rPr>
              <w:t>NGX, FMDQ, CBN, DMO, NBS, CAC.</w:t>
            </w:r>
          </w:p>
        </w:tc>
        <w:tc>
          <w:tcPr>
            <w:tcW w:type="dxa" w:w="3005"/>
            <w:tcMar>
              <w:top w:w="60" w:type="dxa"/>
              <w:start w:w="60" w:type="dxa"/>
              <w:bottom w:w="60" w:type="dxa"/>
              <w:end w:w="60" w:type="dxa"/>
            </w:tcMar>
            <w:vAlign w:val="top"/>
          </w:tcPr>
          <w:p>
            <w:r/>
            <w:r>
              <w:rPr>
                <w:rFonts w:ascii="Aptos" w:hAnsi="Aptos"/>
                <w:sz w:val="15"/>
              </w:rPr>
              <w:t>Cours, benchmarks, taux, identité légale et contexte.</w:t>
            </w:r>
          </w:p>
        </w:tc>
      </w:tr>
      <w:tr>
        <w:tc>
          <w:tcPr>
            <w:tcW w:type="dxa" w:w="794"/>
            <w:tcMar>
              <w:top w:w="60" w:type="dxa"/>
              <w:start w:w="60" w:type="dxa"/>
              <w:bottom w:w="60" w:type="dxa"/>
              <w:end w:w="60" w:type="dxa"/>
            </w:tcMar>
            <w:vAlign w:val="top"/>
          </w:tcPr>
          <w:p>
            <w:r/>
            <w:r>
              <w:rPr>
                <w:rFonts w:ascii="Aptos" w:hAnsi="Aptos"/>
                <w:sz w:val="15"/>
              </w:rPr>
              <w:t>D</w:t>
            </w:r>
          </w:p>
        </w:tc>
        <w:tc>
          <w:tcPr>
            <w:tcW w:type="dxa" w:w="1928"/>
            <w:tcMar>
              <w:top w:w="60" w:type="dxa"/>
              <w:start w:w="60" w:type="dxa"/>
              <w:bottom w:w="60" w:type="dxa"/>
              <w:end w:w="60" w:type="dxa"/>
            </w:tcMar>
            <w:vAlign w:val="top"/>
          </w:tcPr>
          <w:p>
            <w:r/>
            <w:r>
              <w:rPr>
                <w:rFonts w:ascii="Aptos" w:hAnsi="Aptos"/>
                <w:sz w:val="15"/>
              </w:rPr>
              <w:t>Archive technique</w:t>
            </w:r>
          </w:p>
        </w:tc>
        <w:tc>
          <w:tcPr>
            <w:tcW w:type="dxa" w:w="3572"/>
            <w:tcMar>
              <w:top w:w="60" w:type="dxa"/>
              <w:start w:w="60" w:type="dxa"/>
              <w:bottom w:w="60" w:type="dxa"/>
              <w:end w:w="60" w:type="dxa"/>
            </w:tcMar>
            <w:vAlign w:val="top"/>
          </w:tcPr>
          <w:p>
            <w:r/>
            <w:r>
              <w:rPr>
                <w:rFonts w:ascii="Aptos" w:hAnsi="Aptos"/>
                <w:sz w:val="15"/>
              </w:rPr>
              <w:t>Wayback Machine, cache, copies historiques identifiables.</w:t>
            </w:r>
          </w:p>
        </w:tc>
        <w:tc>
          <w:tcPr>
            <w:tcW w:type="dxa" w:w="3005"/>
            <w:tcMar>
              <w:top w:w="60" w:type="dxa"/>
              <w:start w:w="60" w:type="dxa"/>
              <w:bottom w:w="60" w:type="dxa"/>
              <w:end w:w="60" w:type="dxa"/>
            </w:tcMar>
            <w:vAlign w:val="top"/>
          </w:tcPr>
          <w:p>
            <w:r/>
            <w:r>
              <w:rPr>
                <w:rFonts w:ascii="Aptos" w:hAnsi="Aptos"/>
                <w:sz w:val="15"/>
              </w:rPr>
              <w:t>Retrouver une page disparue ; conserver l’URL et la date de capture.</w:t>
            </w:r>
          </w:p>
        </w:tc>
      </w:tr>
      <w:tr>
        <w:tc>
          <w:tcPr>
            <w:tcW w:type="dxa" w:w="794"/>
            <w:tcMar>
              <w:top w:w="60" w:type="dxa"/>
              <w:start w:w="60" w:type="dxa"/>
              <w:bottom w:w="60" w:type="dxa"/>
              <w:end w:w="60" w:type="dxa"/>
            </w:tcMar>
            <w:vAlign w:val="top"/>
          </w:tcPr>
          <w:p>
            <w:r/>
            <w:r>
              <w:rPr>
                <w:rFonts w:ascii="Aptos" w:hAnsi="Aptos"/>
                <w:sz w:val="15"/>
              </w:rPr>
              <w:t>E</w:t>
            </w:r>
          </w:p>
        </w:tc>
        <w:tc>
          <w:tcPr>
            <w:tcW w:type="dxa" w:w="1928"/>
            <w:tcMar>
              <w:top w:w="60" w:type="dxa"/>
              <w:start w:w="60" w:type="dxa"/>
              <w:bottom w:w="60" w:type="dxa"/>
              <w:end w:w="60" w:type="dxa"/>
            </w:tcMar>
            <w:vAlign w:val="top"/>
          </w:tcPr>
          <w:p>
            <w:r/>
            <w:r>
              <w:rPr>
                <w:rFonts w:ascii="Aptos" w:hAnsi="Aptos"/>
                <w:sz w:val="15"/>
              </w:rPr>
              <w:t>Presse financière reconnue</w:t>
            </w:r>
          </w:p>
        </w:tc>
        <w:tc>
          <w:tcPr>
            <w:tcW w:type="dxa" w:w="3572"/>
            <w:tcMar>
              <w:top w:w="60" w:type="dxa"/>
              <w:start w:w="60" w:type="dxa"/>
              <w:bottom w:w="60" w:type="dxa"/>
              <w:end w:w="60" w:type="dxa"/>
            </w:tcMar>
            <w:vAlign w:val="top"/>
          </w:tcPr>
          <w:p>
            <w:r/>
            <w:r>
              <w:rPr>
                <w:rFonts w:ascii="Aptos" w:hAnsi="Aptos"/>
                <w:sz w:val="15"/>
              </w:rPr>
              <w:t>BusinessDay, Nairametrics, ThisDay, Guardian Nigeria, Punch.</w:t>
            </w:r>
          </w:p>
        </w:tc>
        <w:tc>
          <w:tcPr>
            <w:tcW w:type="dxa" w:w="3005"/>
            <w:tcMar>
              <w:top w:w="60" w:type="dxa"/>
              <w:start w:w="60" w:type="dxa"/>
              <w:bottom w:w="60" w:type="dxa"/>
              <w:end w:w="60" w:type="dxa"/>
            </w:tcMar>
            <w:vAlign w:val="top"/>
          </w:tcPr>
          <w:p>
            <w:r/>
            <w:r>
              <w:rPr>
                <w:rFonts w:ascii="Aptos" w:hAnsi="Aptos"/>
                <w:sz w:val="15"/>
              </w:rPr>
              <w:t>Découverte et corroboration ; ne remplace pas la source primaire.</w:t>
            </w:r>
          </w:p>
        </w:tc>
      </w:tr>
      <w:tr>
        <w:tc>
          <w:tcPr>
            <w:tcW w:type="dxa" w:w="794"/>
            <w:tcMar>
              <w:top w:w="60" w:type="dxa"/>
              <w:start w:w="60" w:type="dxa"/>
              <w:bottom w:w="60" w:type="dxa"/>
              <w:end w:w="60" w:type="dxa"/>
            </w:tcMar>
            <w:vAlign w:val="top"/>
          </w:tcPr>
          <w:p>
            <w:r/>
            <w:r>
              <w:rPr>
                <w:rFonts w:ascii="Aptos" w:hAnsi="Aptos"/>
                <w:sz w:val="15"/>
              </w:rPr>
              <w:t>F</w:t>
            </w:r>
          </w:p>
        </w:tc>
        <w:tc>
          <w:tcPr>
            <w:tcW w:type="dxa" w:w="1928"/>
            <w:tcMar>
              <w:top w:w="60" w:type="dxa"/>
              <w:start w:w="60" w:type="dxa"/>
              <w:bottom w:w="60" w:type="dxa"/>
              <w:end w:w="60" w:type="dxa"/>
            </w:tcMar>
            <w:vAlign w:val="top"/>
          </w:tcPr>
          <w:p>
            <w:r/>
            <w:r>
              <w:rPr>
                <w:rFonts w:ascii="Aptos" w:hAnsi="Aptos"/>
                <w:sz w:val="15"/>
              </w:rPr>
              <w:t>Agrégateur / réseau social / forum</w:t>
            </w:r>
          </w:p>
        </w:tc>
        <w:tc>
          <w:tcPr>
            <w:tcW w:type="dxa" w:w="3572"/>
            <w:tcMar>
              <w:top w:w="60" w:type="dxa"/>
              <w:start w:w="60" w:type="dxa"/>
              <w:bottom w:w="60" w:type="dxa"/>
              <w:end w:w="60" w:type="dxa"/>
            </w:tcMar>
            <w:vAlign w:val="top"/>
          </w:tcPr>
          <w:p>
            <w:r/>
            <w:r>
              <w:rPr>
                <w:rFonts w:ascii="Aptos" w:hAnsi="Aptos"/>
                <w:sz w:val="15"/>
              </w:rPr>
              <w:t>Sites non officiels, posts, copies de documents.</w:t>
            </w:r>
          </w:p>
        </w:tc>
        <w:tc>
          <w:tcPr>
            <w:tcW w:type="dxa" w:w="3005"/>
            <w:tcMar>
              <w:top w:w="60" w:type="dxa"/>
              <w:start w:w="60" w:type="dxa"/>
              <w:bottom w:w="60" w:type="dxa"/>
              <w:end w:w="60" w:type="dxa"/>
            </w:tcMar>
            <w:vAlign w:val="top"/>
          </w:tcPr>
          <w:p>
            <w:r/>
            <w:r>
              <w:rPr>
                <w:rFonts w:ascii="Aptos" w:hAnsi="Aptos"/>
                <w:sz w:val="15"/>
              </w:rPr>
              <w:t>Piste uniquement ; jamais preuve unique pour une transformation juridique.</w:t>
            </w:r>
          </w:p>
        </w:tc>
      </w:tr>
    </w:tbl>
    <w:p>
      <w:pPr>
        <w:widowControl/>
        <w:spacing w:after="0"/>
      </w:pPr>
    </w:p>
    <w:p>
      <w:pPr>
        <w:pStyle w:val="Heading2"/>
        <w:widowControl/>
      </w:pPr>
      <w:r>
        <w:t>3.2 Sources SEC Nigeria à ajouter systématiquement</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608"/>
            <w:shd w:fill="D9EAF2"/>
            <w:tcMar>
              <w:top w:w="70" w:type="dxa"/>
              <w:start w:w="70" w:type="dxa"/>
              <w:bottom w:w="70" w:type="dxa"/>
              <w:end w:w="70" w:type="dxa"/>
            </w:tcMar>
            <w:vAlign w:val="center"/>
          </w:tcPr>
          <w:p>
            <w:r/>
            <w:r>
              <w:rPr>
                <w:rFonts w:ascii="Aptos" w:hAnsi="Aptos"/>
                <w:b/>
                <w:color w:val="123E5E"/>
                <w:sz w:val="15"/>
              </w:rPr>
              <w:t>Source</w:t>
            </w:r>
          </w:p>
        </w:tc>
        <w:tc>
          <w:tcPr>
            <w:tcW w:type="dxa" w:w="3458"/>
            <w:shd w:fill="D9EAF2"/>
            <w:tcMar>
              <w:top w:w="70" w:type="dxa"/>
              <w:start w:w="70" w:type="dxa"/>
              <w:bottom w:w="70" w:type="dxa"/>
              <w:end w:w="70" w:type="dxa"/>
            </w:tcMar>
            <w:vAlign w:val="center"/>
          </w:tcPr>
          <w:p>
            <w:r/>
            <w:r>
              <w:rPr>
                <w:rFonts w:ascii="Aptos" w:hAnsi="Aptos"/>
                <w:b/>
                <w:color w:val="123E5E"/>
                <w:sz w:val="15"/>
              </w:rPr>
              <w:t>Contenu</w:t>
            </w:r>
          </w:p>
        </w:tc>
        <w:tc>
          <w:tcPr>
            <w:tcW w:type="dxa" w:w="3288"/>
            <w:shd w:fill="D9EAF2"/>
            <w:tcMar>
              <w:top w:w="70" w:type="dxa"/>
              <w:start w:w="70" w:type="dxa"/>
              <w:bottom w:w="70" w:type="dxa"/>
              <w:end w:w="70" w:type="dxa"/>
            </w:tcMar>
            <w:vAlign w:val="center"/>
          </w:tcPr>
          <w:p>
            <w:r/>
            <w:r>
              <w:rPr>
                <w:rFonts w:ascii="Aptos" w:hAnsi="Aptos"/>
                <w:b/>
                <w:color w:val="123E5E"/>
                <w:sz w:val="15"/>
              </w:rPr>
              <w:t>Usage recommandé</w:t>
            </w:r>
          </w:p>
        </w:tc>
      </w:tr>
      <w:tr>
        <w:tc>
          <w:tcPr>
            <w:tcW w:type="dxa" w:w="2608"/>
            <w:tcMar>
              <w:top w:w="60" w:type="dxa"/>
              <w:start w:w="60" w:type="dxa"/>
              <w:bottom w:w="60" w:type="dxa"/>
              <w:end w:w="60" w:type="dxa"/>
            </w:tcMar>
            <w:vAlign w:val="top"/>
          </w:tcPr>
          <w:p>
            <w:r/>
            <w:r>
              <w:rPr>
                <w:rFonts w:ascii="Aptos" w:hAnsi="Aptos"/>
                <w:sz w:val="15"/>
              </w:rPr>
              <w:t>Weekly NAV for CIS</w:t>
            </w:r>
          </w:p>
        </w:tc>
        <w:tc>
          <w:tcPr>
            <w:tcW w:type="dxa" w:w="3458"/>
            <w:tcMar>
              <w:top w:w="60" w:type="dxa"/>
              <w:start w:w="60" w:type="dxa"/>
              <w:bottom w:w="60" w:type="dxa"/>
              <w:end w:w="60" w:type="dxa"/>
            </w:tcMar>
            <w:vAlign w:val="top"/>
          </w:tcPr>
          <w:p>
            <w:r/>
            <w:r>
              <w:rPr>
                <w:rFonts w:ascii="Aptos" w:hAnsi="Aptos"/>
                <w:sz w:val="15"/>
              </w:rPr>
              <w:t>Séries hebdomadaires, actifs nets, Unit Price/Bid/Offer, catégories et gestionnaires.</w:t>
            </w:r>
          </w:p>
        </w:tc>
        <w:tc>
          <w:tcPr>
            <w:tcW w:type="dxa" w:w="3288"/>
            <w:tcMar>
              <w:top w:w="60" w:type="dxa"/>
              <w:start w:w="60" w:type="dxa"/>
              <w:bottom w:w="60" w:type="dxa"/>
              <w:end w:w="60" w:type="dxa"/>
            </w:tcMar>
            <w:vAlign w:val="top"/>
          </w:tcPr>
          <w:p>
            <w:r/>
            <w:r>
              <w:rPr>
                <w:rFonts w:ascii="Aptos" w:hAnsi="Aptos"/>
                <w:sz w:val="15"/>
              </w:rPr>
              <w:t>Source principale d’observations.</w:t>
            </w:r>
          </w:p>
        </w:tc>
      </w:tr>
      <w:tr>
        <w:tc>
          <w:tcPr>
            <w:tcW w:type="dxa" w:w="2608"/>
            <w:tcMar>
              <w:top w:w="60" w:type="dxa"/>
              <w:start w:w="60" w:type="dxa"/>
              <w:bottom w:w="60" w:type="dxa"/>
              <w:end w:w="60" w:type="dxa"/>
            </w:tcMar>
            <w:vAlign w:val="top"/>
          </w:tcPr>
          <w:p>
            <w:r/>
            <w:r>
              <w:rPr>
                <w:rFonts w:ascii="Aptos" w:hAnsi="Aptos"/>
                <w:sz w:val="15"/>
              </w:rPr>
              <w:t>Monthly NAV for CIS</w:t>
            </w:r>
          </w:p>
        </w:tc>
        <w:tc>
          <w:tcPr>
            <w:tcW w:type="dxa" w:w="3458"/>
            <w:tcMar>
              <w:top w:w="60" w:type="dxa"/>
              <w:start w:w="60" w:type="dxa"/>
              <w:bottom w:w="60" w:type="dxa"/>
              <w:end w:w="60" w:type="dxa"/>
            </w:tcMar>
            <w:vAlign w:val="top"/>
          </w:tcPr>
          <w:p>
            <w:r/>
            <w:r>
              <w:rPr>
                <w:rFonts w:ascii="Aptos" w:hAnsi="Aptos"/>
                <w:sz w:val="15"/>
              </w:rPr>
              <w:t>Photographie mensuelle des fonds enregistrés.</w:t>
            </w:r>
          </w:p>
        </w:tc>
        <w:tc>
          <w:tcPr>
            <w:tcW w:type="dxa" w:w="3288"/>
            <w:tcMar>
              <w:top w:w="60" w:type="dxa"/>
              <w:start w:w="60" w:type="dxa"/>
              <w:bottom w:w="60" w:type="dxa"/>
              <w:end w:w="60" w:type="dxa"/>
            </w:tcMar>
            <w:vAlign w:val="top"/>
          </w:tcPr>
          <w:p>
            <w:r/>
            <w:r>
              <w:rPr>
                <w:rFonts w:ascii="Aptos" w:hAnsi="Aptos"/>
                <w:sz w:val="15"/>
              </w:rPr>
              <w:t>Contrôle de présence, catégorie, gestionnaire et encours ; ne pas dédupliquer naïvement avec le weekly.</w:t>
            </w:r>
          </w:p>
        </w:tc>
      </w:tr>
      <w:tr>
        <w:tc>
          <w:tcPr>
            <w:tcW w:type="dxa" w:w="2608"/>
            <w:tcMar>
              <w:top w:w="60" w:type="dxa"/>
              <w:start w:w="60" w:type="dxa"/>
              <w:bottom w:w="60" w:type="dxa"/>
              <w:end w:w="60" w:type="dxa"/>
            </w:tcMar>
            <w:vAlign w:val="top"/>
          </w:tcPr>
          <w:p>
            <w:r/>
            <w:r>
              <w:rPr>
                <w:rFonts w:ascii="Aptos" w:hAnsi="Aptos"/>
                <w:sz w:val="15"/>
              </w:rPr>
              <w:t>Find a Registered Operator</w:t>
            </w:r>
          </w:p>
        </w:tc>
        <w:tc>
          <w:tcPr>
            <w:tcW w:type="dxa" w:w="3458"/>
            <w:tcMar>
              <w:top w:w="60" w:type="dxa"/>
              <w:start w:w="60" w:type="dxa"/>
              <w:bottom w:w="60" w:type="dxa"/>
              <w:end w:w="60" w:type="dxa"/>
            </w:tcMar>
            <w:vAlign w:val="top"/>
          </w:tcPr>
          <w:p>
            <w:r/>
            <w:r>
              <w:rPr>
                <w:rFonts w:ascii="Aptos" w:hAnsi="Aptos"/>
                <w:sz w:val="15"/>
              </w:rPr>
              <w:t>Statut des fund managers, trustees, custodians et autres opérateurs.</w:t>
            </w:r>
          </w:p>
        </w:tc>
        <w:tc>
          <w:tcPr>
            <w:tcW w:type="dxa" w:w="3288"/>
            <w:tcMar>
              <w:top w:w="60" w:type="dxa"/>
              <w:start w:w="60" w:type="dxa"/>
              <w:bottom w:w="60" w:type="dxa"/>
              <w:end w:w="60" w:type="dxa"/>
            </w:tcMar>
            <w:vAlign w:val="top"/>
          </w:tcPr>
          <w:p>
            <w:r/>
            <w:r>
              <w:rPr>
                <w:rFonts w:ascii="Aptos" w:hAnsi="Aptos"/>
                <w:sz w:val="15"/>
              </w:rPr>
              <w:t>Confirmer l’identité et le statut actuel de l’opérateur.</w:t>
            </w:r>
          </w:p>
        </w:tc>
      </w:tr>
      <w:tr>
        <w:tc>
          <w:tcPr>
            <w:tcW w:type="dxa" w:w="2608"/>
            <w:tcMar>
              <w:top w:w="60" w:type="dxa"/>
              <w:start w:w="60" w:type="dxa"/>
              <w:bottom w:w="60" w:type="dxa"/>
              <w:end w:w="60" w:type="dxa"/>
            </w:tcMar>
            <w:vAlign w:val="top"/>
          </w:tcPr>
          <w:p>
            <w:r/>
            <w:r>
              <w:rPr>
                <w:rFonts w:ascii="Aptos" w:hAnsi="Aptos"/>
                <w:sz w:val="15"/>
              </w:rPr>
              <w:t>Rules and Regulations</w:t>
            </w:r>
          </w:p>
        </w:tc>
        <w:tc>
          <w:tcPr>
            <w:tcW w:type="dxa" w:w="3458"/>
            <w:tcMar>
              <w:top w:w="60" w:type="dxa"/>
              <w:start w:w="60" w:type="dxa"/>
              <w:bottom w:w="60" w:type="dxa"/>
              <w:end w:w="60" w:type="dxa"/>
            </w:tcMar>
            <w:vAlign w:val="top"/>
          </w:tcPr>
          <w:p>
            <w:r/>
            <w:r>
              <w:rPr>
                <w:rFonts w:ascii="Aptos" w:hAnsi="Aptos"/>
                <w:sz w:val="15"/>
              </w:rPr>
              <w:t>Règles applicables aux CIS, offres, frais, rapports et prestataires.</w:t>
            </w:r>
          </w:p>
        </w:tc>
        <w:tc>
          <w:tcPr>
            <w:tcW w:type="dxa" w:w="3288"/>
            <w:tcMar>
              <w:top w:w="60" w:type="dxa"/>
              <w:start w:w="60" w:type="dxa"/>
              <w:bottom w:w="60" w:type="dxa"/>
              <w:end w:w="60" w:type="dxa"/>
            </w:tcMar>
            <w:vAlign w:val="top"/>
          </w:tcPr>
          <w:p>
            <w:r/>
            <w:r>
              <w:rPr>
                <w:rFonts w:ascii="Aptos" w:hAnsi="Aptos"/>
                <w:sz w:val="15"/>
              </w:rPr>
              <w:t>Lire la version et la date ; historiser les amendements.</w:t>
            </w:r>
          </w:p>
        </w:tc>
      </w:tr>
      <w:tr>
        <w:tc>
          <w:tcPr>
            <w:tcW w:type="dxa" w:w="2608"/>
            <w:tcMar>
              <w:top w:w="60" w:type="dxa"/>
              <w:start w:w="60" w:type="dxa"/>
              <w:bottom w:w="60" w:type="dxa"/>
              <w:end w:w="60" w:type="dxa"/>
            </w:tcMar>
            <w:vAlign w:val="top"/>
          </w:tcPr>
          <w:p>
            <w:r/>
            <w:r>
              <w:rPr>
                <w:rFonts w:ascii="Aptos" w:hAnsi="Aptos"/>
                <w:sz w:val="15"/>
              </w:rPr>
              <w:t>Circulars</w:t>
            </w:r>
          </w:p>
        </w:tc>
        <w:tc>
          <w:tcPr>
            <w:tcW w:type="dxa" w:w="3458"/>
            <w:tcMar>
              <w:top w:w="60" w:type="dxa"/>
              <w:start w:w="60" w:type="dxa"/>
              <w:bottom w:w="60" w:type="dxa"/>
              <w:end w:w="60" w:type="dxa"/>
            </w:tcMar>
            <w:vAlign w:val="top"/>
          </w:tcPr>
          <w:p>
            <w:r/>
            <w:r>
              <w:rPr>
                <w:rFonts w:ascii="Aptos" w:hAnsi="Aptos"/>
                <w:sz w:val="15"/>
              </w:rPr>
              <w:t>Instructions et transitions réglementaires.</w:t>
            </w:r>
          </w:p>
        </w:tc>
        <w:tc>
          <w:tcPr>
            <w:tcW w:type="dxa" w:w="3288"/>
            <w:tcMar>
              <w:top w:w="60" w:type="dxa"/>
              <w:start w:w="60" w:type="dxa"/>
              <w:bottom w:w="60" w:type="dxa"/>
              <w:end w:w="60" w:type="dxa"/>
            </w:tcMar>
            <w:vAlign w:val="top"/>
          </w:tcPr>
          <w:p>
            <w:r/>
            <w:r>
              <w:rPr>
                <w:rFonts w:ascii="Aptos" w:hAnsi="Aptos"/>
                <w:sz w:val="15"/>
              </w:rPr>
              <w:t>Détecter changements de règles, frais, reporting, suspension ou conformité.</w:t>
            </w:r>
          </w:p>
        </w:tc>
      </w:tr>
      <w:tr>
        <w:tc>
          <w:tcPr>
            <w:tcW w:type="dxa" w:w="2608"/>
            <w:tcMar>
              <w:top w:w="60" w:type="dxa"/>
              <w:start w:w="60" w:type="dxa"/>
              <w:bottom w:w="60" w:type="dxa"/>
              <w:end w:w="60" w:type="dxa"/>
            </w:tcMar>
            <w:vAlign w:val="top"/>
          </w:tcPr>
          <w:p>
            <w:r/>
            <w:r>
              <w:rPr>
                <w:rFonts w:ascii="Aptos" w:hAnsi="Aptos"/>
                <w:sz w:val="15"/>
              </w:rPr>
              <w:t>Registration checklists for CIS/REIT/ETF</w:t>
            </w:r>
          </w:p>
        </w:tc>
        <w:tc>
          <w:tcPr>
            <w:tcW w:type="dxa" w:w="3458"/>
            <w:tcMar>
              <w:top w:w="60" w:type="dxa"/>
              <w:start w:w="60" w:type="dxa"/>
              <w:bottom w:w="60" w:type="dxa"/>
              <w:end w:w="60" w:type="dxa"/>
            </w:tcMar>
            <w:vAlign w:val="top"/>
          </w:tcPr>
          <w:p>
            <w:r/>
            <w:r>
              <w:rPr>
                <w:rFonts w:ascii="Aptos" w:hAnsi="Aptos"/>
                <w:sz w:val="15"/>
              </w:rPr>
              <w:t>Documents requis à l’enregistrement.</w:t>
            </w:r>
          </w:p>
        </w:tc>
        <w:tc>
          <w:tcPr>
            <w:tcW w:type="dxa" w:w="3288"/>
            <w:tcMar>
              <w:top w:w="60" w:type="dxa"/>
              <w:start w:w="60" w:type="dxa"/>
              <w:bottom w:w="60" w:type="dxa"/>
              <w:end w:w="60" w:type="dxa"/>
            </w:tcMar>
            <w:vAlign w:val="top"/>
          </w:tcPr>
          <w:p>
            <w:r/>
            <w:r>
              <w:rPr>
                <w:rFonts w:ascii="Aptos" w:hAnsi="Aptos"/>
                <w:sz w:val="15"/>
              </w:rPr>
              <w:t>Aide à la recherche des pièces attendues et des rôles.</w:t>
            </w:r>
          </w:p>
        </w:tc>
      </w:tr>
      <w:tr>
        <w:tc>
          <w:tcPr>
            <w:tcW w:type="dxa" w:w="2608"/>
            <w:tcMar>
              <w:top w:w="60" w:type="dxa"/>
              <w:start w:w="60" w:type="dxa"/>
              <w:bottom w:w="60" w:type="dxa"/>
              <w:end w:w="60" w:type="dxa"/>
            </w:tcMar>
            <w:vAlign w:val="top"/>
          </w:tcPr>
          <w:p>
            <w:r/>
            <w:r>
              <w:rPr>
                <w:rFonts w:ascii="Aptos" w:hAnsi="Aptos"/>
                <w:sz w:val="15"/>
              </w:rPr>
              <w:t>SEC Annual Reports &amp; Accounts</w:t>
            </w:r>
          </w:p>
        </w:tc>
        <w:tc>
          <w:tcPr>
            <w:tcW w:type="dxa" w:w="3458"/>
            <w:tcMar>
              <w:top w:w="60" w:type="dxa"/>
              <w:start w:w="60" w:type="dxa"/>
              <w:bottom w:w="60" w:type="dxa"/>
              <w:end w:w="60" w:type="dxa"/>
            </w:tcMar>
            <w:vAlign w:val="top"/>
          </w:tcPr>
          <w:p>
            <w:r/>
            <w:r>
              <w:rPr>
                <w:rFonts w:ascii="Aptos" w:hAnsi="Aptos"/>
                <w:sz w:val="15"/>
              </w:rPr>
              <w:t>Listes historiques, encours, fonds transférés ou en termination.</w:t>
            </w:r>
          </w:p>
        </w:tc>
        <w:tc>
          <w:tcPr>
            <w:tcW w:type="dxa" w:w="3288"/>
            <w:tcMar>
              <w:top w:w="60" w:type="dxa"/>
              <w:start w:w="60" w:type="dxa"/>
              <w:bottom w:w="60" w:type="dxa"/>
              <w:end w:w="60" w:type="dxa"/>
            </w:tcMar>
            <w:vAlign w:val="top"/>
          </w:tcPr>
          <w:p>
            <w:r/>
            <w:r>
              <w:rPr>
                <w:rFonts w:ascii="Aptos" w:hAnsi="Aptos"/>
                <w:sz w:val="15"/>
              </w:rPr>
              <w:t>Source sous-utilisée, essentielle pour trajectoires anciennes.</w:t>
            </w:r>
          </w:p>
        </w:tc>
      </w:tr>
      <w:tr>
        <w:tc>
          <w:tcPr>
            <w:tcW w:type="dxa" w:w="2608"/>
            <w:tcMar>
              <w:top w:w="60" w:type="dxa"/>
              <w:start w:w="60" w:type="dxa"/>
              <w:bottom w:w="60" w:type="dxa"/>
              <w:end w:w="60" w:type="dxa"/>
            </w:tcMar>
            <w:vAlign w:val="top"/>
          </w:tcPr>
          <w:p>
            <w:r/>
            <w:r>
              <w:rPr>
                <w:rFonts w:ascii="Aptos" w:hAnsi="Aptos"/>
                <w:sz w:val="15"/>
              </w:rPr>
              <w:t>Public notices / enforcement</w:t>
            </w:r>
          </w:p>
        </w:tc>
        <w:tc>
          <w:tcPr>
            <w:tcW w:type="dxa" w:w="3458"/>
            <w:tcMar>
              <w:top w:w="60" w:type="dxa"/>
              <w:start w:w="60" w:type="dxa"/>
              <w:bottom w:w="60" w:type="dxa"/>
              <w:end w:w="60" w:type="dxa"/>
            </w:tcMar>
            <w:vAlign w:val="top"/>
          </w:tcPr>
          <w:p>
            <w:r/>
            <w:r>
              <w:rPr>
                <w:rFonts w:ascii="Aptos" w:hAnsi="Aptos"/>
                <w:sz w:val="15"/>
              </w:rPr>
              <w:t>Avertissements, sanctions, opérateurs ou schemes non enregistrés.</w:t>
            </w:r>
          </w:p>
        </w:tc>
        <w:tc>
          <w:tcPr>
            <w:tcW w:type="dxa" w:w="3288"/>
            <w:tcMar>
              <w:top w:w="60" w:type="dxa"/>
              <w:start w:w="60" w:type="dxa"/>
              <w:bottom w:w="60" w:type="dxa"/>
              <w:end w:w="60" w:type="dxa"/>
            </w:tcMar>
            <w:vAlign w:val="top"/>
          </w:tcPr>
          <w:p>
            <w:r/>
            <w:r>
              <w:rPr>
                <w:rFonts w:ascii="Aptos" w:hAnsi="Aptos"/>
                <w:sz w:val="15"/>
              </w:rPr>
              <w:t>Statut et risque de confusion avec des plateformes non autorisées.</w:t>
            </w:r>
          </w:p>
        </w:tc>
      </w:tr>
      <w:tr>
        <w:tc>
          <w:tcPr>
            <w:tcW w:type="dxa" w:w="2608"/>
            <w:tcMar>
              <w:top w:w="60" w:type="dxa"/>
              <w:start w:w="60" w:type="dxa"/>
              <w:bottom w:w="60" w:type="dxa"/>
              <w:end w:w="60" w:type="dxa"/>
            </w:tcMar>
            <w:vAlign w:val="top"/>
          </w:tcPr>
          <w:p>
            <w:r/>
            <w:r>
              <w:rPr>
                <w:rFonts w:ascii="Aptos" w:hAnsi="Aptos"/>
                <w:sz w:val="15"/>
              </w:rPr>
              <w:t>Training / investor education documents</w:t>
            </w:r>
          </w:p>
        </w:tc>
        <w:tc>
          <w:tcPr>
            <w:tcW w:type="dxa" w:w="3458"/>
            <w:tcMar>
              <w:top w:w="60" w:type="dxa"/>
              <w:start w:w="60" w:type="dxa"/>
              <w:bottom w:w="60" w:type="dxa"/>
              <w:end w:w="60" w:type="dxa"/>
            </w:tcMar>
            <w:vAlign w:val="top"/>
          </w:tcPr>
          <w:p>
            <w:r/>
            <w:r>
              <w:rPr>
                <w:rFonts w:ascii="Aptos" w:hAnsi="Aptos"/>
                <w:sz w:val="15"/>
              </w:rPr>
              <w:t>Typologies et pratiques de marché.</w:t>
            </w:r>
          </w:p>
        </w:tc>
        <w:tc>
          <w:tcPr>
            <w:tcW w:type="dxa" w:w="3288"/>
            <w:tcMar>
              <w:top w:w="60" w:type="dxa"/>
              <w:start w:w="60" w:type="dxa"/>
              <w:bottom w:w="60" w:type="dxa"/>
              <w:end w:w="60" w:type="dxa"/>
            </w:tcMar>
            <w:vAlign w:val="top"/>
          </w:tcPr>
          <w:p>
            <w:r/>
            <w:r>
              <w:rPr>
                <w:rFonts w:ascii="Aptos" w:hAnsi="Aptos"/>
                <w:sz w:val="15"/>
              </w:rPr>
              <w:t>Contexte seulement, pas preuve d’une donnée de fonds précise.</w:t>
            </w:r>
          </w:p>
        </w:tc>
      </w:tr>
    </w:tbl>
    <w:p>
      <w:pPr>
        <w:widowControl/>
        <w:spacing w:after="0"/>
      </w:pPr>
    </w:p>
    <w:p>
      <w:pPr>
        <w:pStyle w:val="Heading2"/>
        <w:widowControl/>
      </w:pPr>
      <w:r>
        <w:t>3.3 Sources de marché et macroéconomiques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381"/>
            <w:shd w:fill="D9EAF2"/>
            <w:tcMar>
              <w:top w:w="70" w:type="dxa"/>
              <w:start w:w="70" w:type="dxa"/>
              <w:bottom w:w="70" w:type="dxa"/>
              <w:end w:w="70" w:type="dxa"/>
            </w:tcMar>
            <w:vAlign w:val="center"/>
          </w:tcPr>
          <w:p>
            <w:r/>
            <w:r>
              <w:rPr>
                <w:rFonts w:ascii="Aptos" w:hAnsi="Aptos"/>
                <w:b/>
                <w:color w:val="123E5E"/>
                <w:sz w:val="15"/>
              </w:rPr>
              <w:t>Source</w:t>
            </w:r>
          </w:p>
        </w:tc>
        <w:tc>
          <w:tcPr>
            <w:tcW w:type="dxa" w:w="3231"/>
            <w:shd w:fill="D9EAF2"/>
            <w:tcMar>
              <w:top w:w="70" w:type="dxa"/>
              <w:start w:w="70" w:type="dxa"/>
              <w:bottom w:w="70" w:type="dxa"/>
              <w:end w:w="70" w:type="dxa"/>
            </w:tcMar>
            <w:vAlign w:val="center"/>
          </w:tcPr>
          <w:p>
            <w:r/>
            <w:r>
              <w:rPr>
                <w:rFonts w:ascii="Aptos" w:hAnsi="Aptos"/>
                <w:b/>
                <w:color w:val="123E5E"/>
                <w:sz w:val="15"/>
              </w:rPr>
              <w:t>Donnée</w:t>
            </w:r>
          </w:p>
        </w:tc>
        <w:tc>
          <w:tcPr>
            <w:tcW w:type="dxa" w:w="3742"/>
            <w:shd w:fill="D9EAF2"/>
            <w:tcMar>
              <w:top w:w="70" w:type="dxa"/>
              <w:start w:w="70" w:type="dxa"/>
              <w:bottom w:w="70" w:type="dxa"/>
              <w:end w:w="70" w:type="dxa"/>
            </w:tcMar>
            <w:vAlign w:val="center"/>
          </w:tcPr>
          <w:p>
            <w:r/>
            <w:r>
              <w:rPr>
                <w:rFonts w:ascii="Aptos" w:hAnsi="Aptos"/>
                <w:b/>
                <w:color w:val="123E5E"/>
                <w:sz w:val="15"/>
              </w:rPr>
              <w:t>Règle d’usage</w:t>
            </w:r>
          </w:p>
        </w:tc>
      </w:tr>
      <w:tr>
        <w:tc>
          <w:tcPr>
            <w:tcW w:type="dxa" w:w="2381"/>
            <w:tcMar>
              <w:top w:w="60" w:type="dxa"/>
              <w:start w:w="60" w:type="dxa"/>
              <w:bottom w:w="60" w:type="dxa"/>
              <w:end w:w="60" w:type="dxa"/>
            </w:tcMar>
            <w:vAlign w:val="top"/>
          </w:tcPr>
          <w:p>
            <w:r/>
            <w:r>
              <w:rPr>
                <w:rFonts w:ascii="Aptos" w:hAnsi="Aptos"/>
                <w:sz w:val="15"/>
              </w:rPr>
              <w:t>NGX — ETF / listed ETP</w:t>
            </w:r>
          </w:p>
        </w:tc>
        <w:tc>
          <w:tcPr>
            <w:tcW w:type="dxa" w:w="3231"/>
            <w:tcMar>
              <w:top w:w="60" w:type="dxa"/>
              <w:start w:w="60" w:type="dxa"/>
              <w:bottom w:w="60" w:type="dxa"/>
              <w:end w:w="60" w:type="dxa"/>
            </w:tcMar>
            <w:vAlign w:val="top"/>
          </w:tcPr>
          <w:p>
            <w:r/>
            <w:r>
              <w:rPr>
                <w:rFonts w:ascii="Aptos" w:hAnsi="Aptos"/>
                <w:sz w:val="15"/>
              </w:rPr>
              <w:t>Symboles, cours, volumes, avis et détails des instruments.</w:t>
            </w:r>
          </w:p>
        </w:tc>
        <w:tc>
          <w:tcPr>
            <w:tcW w:type="dxa" w:w="3742"/>
            <w:tcMar>
              <w:top w:w="60" w:type="dxa"/>
              <w:start w:w="60" w:type="dxa"/>
              <w:bottom w:w="60" w:type="dxa"/>
              <w:end w:w="60" w:type="dxa"/>
            </w:tcMar>
            <w:vAlign w:val="top"/>
          </w:tcPr>
          <w:p>
            <w:r/>
            <w:r>
              <w:rPr>
                <w:rFonts w:ascii="Aptos" w:hAnsi="Aptos"/>
                <w:sz w:val="15"/>
              </w:rPr>
              <w:t>ETF : séparer NAV officiel et prix coté.</w:t>
            </w:r>
          </w:p>
        </w:tc>
      </w:tr>
      <w:tr>
        <w:tc>
          <w:tcPr>
            <w:tcW w:type="dxa" w:w="2381"/>
            <w:tcMar>
              <w:top w:w="60" w:type="dxa"/>
              <w:start w:w="60" w:type="dxa"/>
              <w:bottom w:w="60" w:type="dxa"/>
              <w:end w:w="60" w:type="dxa"/>
            </w:tcMar>
            <w:vAlign w:val="top"/>
          </w:tcPr>
          <w:p>
            <w:r/>
            <w:r>
              <w:rPr>
                <w:rFonts w:ascii="Aptos" w:hAnsi="Aptos"/>
                <w:sz w:val="15"/>
              </w:rPr>
              <w:t>NGX — REITs &amp; CEFs</w:t>
            </w:r>
          </w:p>
        </w:tc>
        <w:tc>
          <w:tcPr>
            <w:tcW w:type="dxa" w:w="3231"/>
            <w:tcMar>
              <w:top w:w="60" w:type="dxa"/>
              <w:start w:w="60" w:type="dxa"/>
              <w:bottom w:w="60" w:type="dxa"/>
              <w:end w:w="60" w:type="dxa"/>
            </w:tcMar>
            <w:vAlign w:val="top"/>
          </w:tcPr>
          <w:p>
            <w:r/>
            <w:r>
              <w:rPr>
                <w:rFonts w:ascii="Aptos" w:hAnsi="Aptos"/>
                <w:sz w:val="15"/>
              </w:rPr>
              <w:t>Liste et informations de marché.</w:t>
            </w:r>
          </w:p>
        </w:tc>
        <w:tc>
          <w:tcPr>
            <w:tcW w:type="dxa" w:w="3742"/>
            <w:tcMar>
              <w:top w:w="60" w:type="dxa"/>
              <w:start w:w="60" w:type="dxa"/>
              <w:bottom w:w="60" w:type="dxa"/>
              <w:end w:w="60" w:type="dxa"/>
            </w:tcMar>
            <w:vAlign w:val="top"/>
          </w:tcPr>
          <w:p>
            <w:r/>
            <w:r>
              <w:rPr>
                <w:rFonts w:ascii="Aptos" w:hAnsi="Aptos"/>
                <w:sz w:val="15"/>
              </w:rPr>
              <w:t>REIT / fonds fermés : cours, annonces et distributions.</w:t>
            </w:r>
          </w:p>
        </w:tc>
      </w:tr>
      <w:tr>
        <w:tc>
          <w:tcPr>
            <w:tcW w:type="dxa" w:w="2381"/>
            <w:tcMar>
              <w:top w:w="60" w:type="dxa"/>
              <w:start w:w="60" w:type="dxa"/>
              <w:bottom w:w="60" w:type="dxa"/>
              <w:end w:w="60" w:type="dxa"/>
            </w:tcMar>
            <w:vAlign w:val="top"/>
          </w:tcPr>
          <w:p>
            <w:r/>
            <w:r>
              <w:rPr>
                <w:rFonts w:ascii="Aptos" w:hAnsi="Aptos"/>
                <w:sz w:val="15"/>
              </w:rPr>
              <w:t>FMDQ Exchange — market data</w:t>
            </w:r>
          </w:p>
        </w:tc>
        <w:tc>
          <w:tcPr>
            <w:tcW w:type="dxa" w:w="3231"/>
            <w:tcMar>
              <w:top w:w="60" w:type="dxa"/>
              <w:start w:w="60" w:type="dxa"/>
              <w:bottom w:w="60" w:type="dxa"/>
              <w:end w:w="60" w:type="dxa"/>
            </w:tcMar>
            <w:vAlign w:val="top"/>
          </w:tcPr>
          <w:p>
            <w:r/>
            <w:r>
              <w:rPr>
                <w:rFonts w:ascii="Aptos" w:hAnsi="Aptos"/>
                <w:sz w:val="15"/>
              </w:rPr>
              <w:t>Taux et prix de marché fixe, indices et rapports.</w:t>
            </w:r>
          </w:p>
        </w:tc>
        <w:tc>
          <w:tcPr>
            <w:tcW w:type="dxa" w:w="3742"/>
            <w:tcMar>
              <w:top w:w="60" w:type="dxa"/>
              <w:start w:w="60" w:type="dxa"/>
              <w:bottom w:w="60" w:type="dxa"/>
              <w:end w:w="60" w:type="dxa"/>
            </w:tcMar>
            <w:vAlign w:val="top"/>
          </w:tcPr>
          <w:p>
            <w:r/>
            <w:r>
              <w:rPr>
                <w:rFonts w:ascii="Aptos" w:hAnsi="Aptos"/>
                <w:sz w:val="15"/>
              </w:rPr>
              <w:t>Benchmark et valorisation de référence.</w:t>
            </w:r>
          </w:p>
        </w:tc>
      </w:tr>
      <w:tr>
        <w:tc>
          <w:tcPr>
            <w:tcW w:type="dxa" w:w="2381"/>
            <w:tcMar>
              <w:top w:w="60" w:type="dxa"/>
              <w:start w:w="60" w:type="dxa"/>
              <w:bottom w:w="60" w:type="dxa"/>
              <w:end w:w="60" w:type="dxa"/>
            </w:tcMar>
            <w:vAlign w:val="top"/>
          </w:tcPr>
          <w:p>
            <w:r/>
            <w:r>
              <w:rPr>
                <w:rFonts w:ascii="Aptos" w:hAnsi="Aptos"/>
                <w:sz w:val="15"/>
              </w:rPr>
              <w:t>FMDQ — NIBOR</w:t>
            </w:r>
          </w:p>
        </w:tc>
        <w:tc>
          <w:tcPr>
            <w:tcW w:type="dxa" w:w="3231"/>
            <w:tcMar>
              <w:top w:w="60" w:type="dxa"/>
              <w:start w:w="60" w:type="dxa"/>
              <w:bottom w:w="60" w:type="dxa"/>
              <w:end w:w="60" w:type="dxa"/>
            </w:tcMar>
            <w:vAlign w:val="top"/>
          </w:tcPr>
          <w:p>
            <w:r/>
            <w:r>
              <w:rPr>
                <w:rFonts w:ascii="Aptos" w:hAnsi="Aptos"/>
                <w:sz w:val="15"/>
              </w:rPr>
              <w:t>Taux interbancaire de référence.</w:t>
            </w:r>
          </w:p>
        </w:tc>
        <w:tc>
          <w:tcPr>
            <w:tcW w:type="dxa" w:w="3742"/>
            <w:tcMar>
              <w:top w:w="60" w:type="dxa"/>
              <w:start w:w="60" w:type="dxa"/>
              <w:bottom w:w="60" w:type="dxa"/>
              <w:end w:w="60" w:type="dxa"/>
            </w:tcMar>
            <w:vAlign w:val="top"/>
          </w:tcPr>
          <w:p>
            <w:r/>
            <w:r>
              <w:rPr>
                <w:rFonts w:ascii="Aptos" w:hAnsi="Aptos"/>
                <w:sz w:val="15"/>
              </w:rPr>
              <w:t>Benchmark monétaire historique selon mandat.</w:t>
            </w:r>
          </w:p>
        </w:tc>
      </w:tr>
      <w:tr>
        <w:tc>
          <w:tcPr>
            <w:tcW w:type="dxa" w:w="2381"/>
            <w:tcMar>
              <w:top w:w="60" w:type="dxa"/>
              <w:start w:w="60" w:type="dxa"/>
              <w:bottom w:w="60" w:type="dxa"/>
              <w:end w:w="60" w:type="dxa"/>
            </w:tcMar>
            <w:vAlign w:val="top"/>
          </w:tcPr>
          <w:p>
            <w:r/>
            <w:r>
              <w:rPr>
                <w:rFonts w:ascii="Aptos" w:hAnsi="Aptos"/>
                <w:sz w:val="15"/>
              </w:rPr>
              <w:t>FMDQ — NITTY</w:t>
            </w:r>
          </w:p>
        </w:tc>
        <w:tc>
          <w:tcPr>
            <w:tcW w:type="dxa" w:w="3231"/>
            <w:tcMar>
              <w:top w:w="60" w:type="dxa"/>
              <w:start w:w="60" w:type="dxa"/>
              <w:bottom w:w="60" w:type="dxa"/>
              <w:end w:w="60" w:type="dxa"/>
            </w:tcMar>
            <w:vAlign w:val="top"/>
          </w:tcPr>
          <w:p>
            <w:r/>
            <w:r>
              <w:rPr>
                <w:rFonts w:ascii="Aptos" w:hAnsi="Aptos"/>
                <w:sz w:val="15"/>
              </w:rPr>
              <w:t>Rendements de Treasury Bills.</w:t>
            </w:r>
          </w:p>
        </w:tc>
        <w:tc>
          <w:tcPr>
            <w:tcW w:type="dxa" w:w="3742"/>
            <w:tcMar>
              <w:top w:w="60" w:type="dxa"/>
              <w:start w:w="60" w:type="dxa"/>
              <w:bottom w:w="60" w:type="dxa"/>
              <w:end w:w="60" w:type="dxa"/>
            </w:tcMar>
            <w:vAlign w:val="top"/>
          </w:tcPr>
          <w:p>
            <w:r/>
            <w:r>
              <w:rPr>
                <w:rFonts w:ascii="Aptos" w:hAnsi="Aptos"/>
                <w:sz w:val="15"/>
              </w:rPr>
              <w:t>Benchmark des fonds monétaires / T-bills.</w:t>
            </w:r>
          </w:p>
        </w:tc>
      </w:tr>
      <w:tr>
        <w:tc>
          <w:tcPr>
            <w:tcW w:type="dxa" w:w="2381"/>
            <w:tcMar>
              <w:top w:w="60" w:type="dxa"/>
              <w:start w:w="60" w:type="dxa"/>
              <w:bottom w:w="60" w:type="dxa"/>
              <w:end w:w="60" w:type="dxa"/>
            </w:tcMar>
            <w:vAlign w:val="top"/>
          </w:tcPr>
          <w:p>
            <w:r/>
            <w:r>
              <w:rPr>
                <w:rFonts w:ascii="Aptos" w:hAnsi="Aptos"/>
                <w:sz w:val="15"/>
              </w:rPr>
              <w:t>CBN — exchange rates</w:t>
            </w:r>
          </w:p>
        </w:tc>
        <w:tc>
          <w:tcPr>
            <w:tcW w:type="dxa" w:w="3231"/>
            <w:tcMar>
              <w:top w:w="60" w:type="dxa"/>
              <w:start w:w="60" w:type="dxa"/>
              <w:bottom w:w="60" w:type="dxa"/>
              <w:end w:w="60" w:type="dxa"/>
            </w:tcMar>
            <w:vAlign w:val="top"/>
          </w:tcPr>
          <w:p>
            <w:r/>
            <w:r>
              <w:rPr>
                <w:rFonts w:ascii="Aptos" w:hAnsi="Aptos"/>
                <w:sz w:val="15"/>
              </w:rPr>
              <w:t>NFEM et autres taux officiels, historiques exportables.</w:t>
            </w:r>
          </w:p>
        </w:tc>
        <w:tc>
          <w:tcPr>
            <w:tcW w:type="dxa" w:w="3742"/>
            <w:tcMar>
              <w:top w:w="60" w:type="dxa"/>
              <w:start w:w="60" w:type="dxa"/>
              <w:bottom w:w="60" w:type="dxa"/>
              <w:end w:w="60" w:type="dxa"/>
            </w:tcMar>
            <w:vAlign w:val="top"/>
          </w:tcPr>
          <w:p>
            <w:r/>
            <w:r>
              <w:rPr>
                <w:rFonts w:ascii="Aptos" w:hAnsi="Aptos"/>
                <w:sz w:val="15"/>
              </w:rPr>
              <w:t>Conversions documentées ; ne jamais convertir dans la couche source.</w:t>
            </w:r>
          </w:p>
        </w:tc>
      </w:tr>
      <w:tr>
        <w:tc>
          <w:tcPr>
            <w:tcW w:type="dxa" w:w="2381"/>
            <w:tcMar>
              <w:top w:w="60" w:type="dxa"/>
              <w:start w:w="60" w:type="dxa"/>
              <w:bottom w:w="60" w:type="dxa"/>
              <w:end w:w="60" w:type="dxa"/>
            </w:tcMar>
            <w:vAlign w:val="top"/>
          </w:tcPr>
          <w:p>
            <w:r/>
            <w:r>
              <w:rPr>
                <w:rFonts w:ascii="Aptos" w:hAnsi="Aptos"/>
                <w:sz w:val="15"/>
              </w:rPr>
              <w:t>CBN — data &amp; statistics</w:t>
            </w:r>
          </w:p>
        </w:tc>
        <w:tc>
          <w:tcPr>
            <w:tcW w:type="dxa" w:w="3231"/>
            <w:tcMar>
              <w:top w:w="60" w:type="dxa"/>
              <w:start w:w="60" w:type="dxa"/>
              <w:bottom w:w="60" w:type="dxa"/>
              <w:end w:w="60" w:type="dxa"/>
            </w:tcMar>
            <w:vAlign w:val="top"/>
          </w:tcPr>
          <w:p>
            <w:r/>
            <w:r>
              <w:rPr>
                <w:rFonts w:ascii="Aptos" w:hAnsi="Aptos"/>
                <w:sz w:val="15"/>
              </w:rPr>
              <w:t>Interbank rates, money market indicators, government securities.</w:t>
            </w:r>
          </w:p>
        </w:tc>
        <w:tc>
          <w:tcPr>
            <w:tcW w:type="dxa" w:w="3742"/>
            <w:tcMar>
              <w:top w:w="60" w:type="dxa"/>
              <w:start w:w="60" w:type="dxa"/>
              <w:bottom w:w="60" w:type="dxa"/>
              <w:end w:w="60" w:type="dxa"/>
            </w:tcMar>
            <w:vAlign w:val="top"/>
          </w:tcPr>
          <w:p>
            <w:r/>
            <w:r>
              <w:rPr>
                <w:rFonts w:ascii="Aptos" w:hAnsi="Aptos"/>
                <w:sz w:val="15"/>
              </w:rPr>
              <w:t>Taux sans risque et contexte analytique.</w:t>
            </w:r>
          </w:p>
        </w:tc>
      </w:tr>
      <w:tr>
        <w:tc>
          <w:tcPr>
            <w:tcW w:type="dxa" w:w="2381"/>
            <w:tcMar>
              <w:top w:w="60" w:type="dxa"/>
              <w:start w:w="60" w:type="dxa"/>
              <w:bottom w:w="60" w:type="dxa"/>
              <w:end w:w="60" w:type="dxa"/>
            </w:tcMar>
            <w:vAlign w:val="top"/>
          </w:tcPr>
          <w:p>
            <w:r/>
            <w:r>
              <w:rPr>
                <w:rFonts w:ascii="Aptos" w:hAnsi="Aptos"/>
                <w:sz w:val="15"/>
              </w:rPr>
              <w:t>DMO — FGN bond auctions</w:t>
            </w:r>
          </w:p>
        </w:tc>
        <w:tc>
          <w:tcPr>
            <w:tcW w:type="dxa" w:w="3231"/>
            <w:tcMar>
              <w:top w:w="60" w:type="dxa"/>
              <w:start w:w="60" w:type="dxa"/>
              <w:bottom w:w="60" w:type="dxa"/>
              <w:end w:w="60" w:type="dxa"/>
            </w:tcMar>
            <w:vAlign w:val="top"/>
          </w:tcPr>
          <w:p>
            <w:r/>
            <w:r>
              <w:rPr>
                <w:rFonts w:ascii="Aptos" w:hAnsi="Aptos"/>
                <w:sz w:val="15"/>
              </w:rPr>
              <w:t>Résultats d’adjudication, coupons et rendements.</w:t>
            </w:r>
          </w:p>
        </w:tc>
        <w:tc>
          <w:tcPr>
            <w:tcW w:type="dxa" w:w="3742"/>
            <w:tcMar>
              <w:top w:w="60" w:type="dxa"/>
              <w:start w:w="60" w:type="dxa"/>
              <w:bottom w:w="60" w:type="dxa"/>
              <w:end w:w="60" w:type="dxa"/>
            </w:tcMar>
            <w:vAlign w:val="top"/>
          </w:tcPr>
          <w:p>
            <w:r/>
            <w:r>
              <w:rPr>
                <w:rFonts w:ascii="Aptos" w:hAnsi="Aptos"/>
                <w:sz w:val="15"/>
              </w:rPr>
              <w:t>Benchmarks obligataires et validation des instruments.</w:t>
            </w:r>
          </w:p>
        </w:tc>
      </w:tr>
      <w:tr>
        <w:tc>
          <w:tcPr>
            <w:tcW w:type="dxa" w:w="2381"/>
            <w:tcMar>
              <w:top w:w="60" w:type="dxa"/>
              <w:start w:w="60" w:type="dxa"/>
              <w:bottom w:w="60" w:type="dxa"/>
              <w:end w:w="60" w:type="dxa"/>
            </w:tcMar>
            <w:vAlign w:val="top"/>
          </w:tcPr>
          <w:p>
            <w:r/>
            <w:r>
              <w:rPr>
                <w:rFonts w:ascii="Aptos" w:hAnsi="Aptos"/>
                <w:sz w:val="15"/>
              </w:rPr>
              <w:t>NBS — CPI / inflation</w:t>
            </w:r>
          </w:p>
        </w:tc>
        <w:tc>
          <w:tcPr>
            <w:tcW w:type="dxa" w:w="3231"/>
            <w:tcMar>
              <w:top w:w="60" w:type="dxa"/>
              <w:start w:w="60" w:type="dxa"/>
              <w:bottom w:w="60" w:type="dxa"/>
              <w:end w:w="60" w:type="dxa"/>
            </w:tcMar>
            <w:vAlign w:val="top"/>
          </w:tcPr>
          <w:p>
            <w:r/>
            <w:r>
              <w:rPr>
                <w:rFonts w:ascii="Aptos" w:hAnsi="Aptos"/>
                <w:sz w:val="15"/>
              </w:rPr>
              <w:t>Indice officiel et changements de base.</w:t>
            </w:r>
          </w:p>
        </w:tc>
        <w:tc>
          <w:tcPr>
            <w:tcW w:type="dxa" w:w="3742"/>
            <w:tcMar>
              <w:top w:w="60" w:type="dxa"/>
              <w:start w:w="60" w:type="dxa"/>
              <w:bottom w:w="60" w:type="dxa"/>
              <w:end w:w="60" w:type="dxa"/>
            </w:tcMar>
            <w:vAlign w:val="top"/>
          </w:tcPr>
          <w:p>
            <w:r/>
            <w:r>
              <w:rPr>
                <w:rFonts w:ascii="Aptos" w:hAnsi="Aptos"/>
                <w:sz w:val="15"/>
              </w:rPr>
              <w:t>Performances réelles et contexte macro ; conserver la base de l’indice.</w:t>
            </w:r>
          </w:p>
        </w:tc>
      </w:tr>
      <w:tr>
        <w:tc>
          <w:tcPr>
            <w:tcW w:type="dxa" w:w="2381"/>
            <w:tcMar>
              <w:top w:w="60" w:type="dxa"/>
              <w:start w:w="60" w:type="dxa"/>
              <w:bottom w:w="60" w:type="dxa"/>
              <w:end w:w="60" w:type="dxa"/>
            </w:tcMar>
            <w:vAlign w:val="top"/>
          </w:tcPr>
          <w:p>
            <w:r/>
            <w:r>
              <w:rPr>
                <w:rFonts w:ascii="Aptos" w:hAnsi="Aptos"/>
                <w:sz w:val="15"/>
              </w:rPr>
              <w:t>CAC</w:t>
            </w:r>
          </w:p>
        </w:tc>
        <w:tc>
          <w:tcPr>
            <w:tcW w:type="dxa" w:w="3231"/>
            <w:tcMar>
              <w:top w:w="60" w:type="dxa"/>
              <w:start w:w="60" w:type="dxa"/>
              <w:bottom w:w="60" w:type="dxa"/>
              <w:end w:w="60" w:type="dxa"/>
            </w:tcMar>
            <w:vAlign w:val="top"/>
          </w:tcPr>
          <w:p>
            <w:r/>
            <w:r>
              <w:rPr>
                <w:rFonts w:ascii="Aptos" w:hAnsi="Aptos"/>
                <w:sz w:val="15"/>
              </w:rPr>
              <w:t>Nom légal, numéro d’enregistrement, changements de société.</w:t>
            </w:r>
          </w:p>
        </w:tc>
        <w:tc>
          <w:tcPr>
            <w:tcW w:type="dxa" w:w="3742"/>
            <w:tcMar>
              <w:top w:w="60" w:type="dxa"/>
              <w:start w:w="60" w:type="dxa"/>
              <w:bottom w:w="60" w:type="dxa"/>
              <w:end w:w="60" w:type="dxa"/>
            </w:tcMar>
            <w:vAlign w:val="top"/>
          </w:tcPr>
          <w:p>
            <w:r/>
            <w:r>
              <w:rPr>
                <w:rFonts w:ascii="Aptos" w:hAnsi="Aptos"/>
                <w:sz w:val="15"/>
              </w:rPr>
              <w:t>Preuve juridique complémentaire ; enregistrer date d’extraction et limites d’accès.</w:t>
            </w:r>
          </w:p>
        </w:tc>
      </w:tr>
    </w:tbl>
    <w:p>
      <w:pPr>
        <w:widowControl/>
        <w:spacing w:after="0"/>
      </w:pPr>
    </w:p>
    <w:p>
      <w:pPr>
        <w:pStyle w:val="Heading2"/>
        <w:widowControl/>
      </w:pPr>
      <w:r>
        <w:t>3.4 Sites des gestionnaires et prestataires</w:t>
      </w:r>
    </w:p>
    <w:p>
      <w:pPr>
        <w:pStyle w:val="ListBullet"/>
        <w:widowControl/>
        <w:ind w:left="397" w:hanging="142"/>
      </w:pPr>
      <w:r>
        <w:rPr>
          <w:rFonts w:ascii="Aptos" w:hAnsi="Aptos"/>
          <w:sz w:val="18"/>
        </w:rPr>
        <w:t>Indexer la page d'accueil, la page funds/products, la page de chaque fonds et les zones Downloads/Resources/Insights.</w:t>
      </w:r>
    </w:p>
    <w:p>
      <w:pPr>
        <w:pStyle w:val="ListBullet"/>
        <w:widowControl/>
        <w:ind w:left="397" w:hanging="142"/>
      </w:pPr>
      <w:r>
        <w:rPr>
          <w:rFonts w:ascii="Aptos" w:hAnsi="Aptos"/>
          <w:sz w:val="18"/>
        </w:rPr>
        <w:t>Capturer les liens vers prospectus, supplemental prospectus, SID, fact sheet, annual report, audited financial statements, trust deed et offer circular.</w:t>
      </w:r>
    </w:p>
    <w:p>
      <w:pPr>
        <w:pStyle w:val="ListBullet"/>
        <w:widowControl/>
        <w:ind w:left="397" w:hanging="142"/>
      </w:pPr>
      <w:r>
        <w:rPr>
          <w:rFonts w:ascii="Aptos" w:hAnsi="Aptos"/>
          <w:sz w:val="18"/>
        </w:rPr>
        <w:t>Enregistrer le statut HTTP, la date d'accès, le titre, le hash du document, la langue et le fonds concerné.</w:t>
      </w:r>
    </w:p>
    <w:p>
      <w:pPr>
        <w:pStyle w:val="ListBullet"/>
        <w:widowControl/>
        <w:ind w:left="397" w:hanging="142"/>
      </w:pPr>
      <w:r>
        <w:rPr>
          <w:rFonts w:ascii="Aptos" w:hAnsi="Aptos"/>
          <w:sz w:val="18"/>
        </w:rPr>
        <w:t>Explorer aussi les sites des trustees, custodians et auditeurs : leurs rapports ou avis peuvent documenter une continuité ou un changement.</w:t>
      </w:r>
    </w:p>
    <w:p>
      <w:pPr>
        <w:pStyle w:val="ListBullet"/>
        <w:widowControl/>
        <w:ind w:left="397" w:hanging="142"/>
      </w:pPr>
      <w:r>
        <w:rPr>
          <w:rFonts w:ascii="Aptos" w:hAnsi="Aptos"/>
          <w:sz w:val="18"/>
        </w:rPr>
        <w:t>Conserver les domaines historiques et les anciennes marques ; la disparition d'un site n'implique pas la disparition du fonds.</w:t>
      </w:r>
    </w:p>
    <w:p>
      <w:pPr>
        <w:pStyle w:val="ListBullet"/>
        <w:widowControl/>
        <w:ind w:left="397" w:hanging="142"/>
      </w:pPr>
      <w:r>
        <w:rPr>
          <w:rFonts w:ascii="Aptos" w:hAnsi="Aptos"/>
          <w:sz w:val="18"/>
        </w:rPr>
        <w:t>Archiver la page dans Wayback et, si autorisé, conserver localement le PDF officiel.</w:t>
      </w:r>
    </w:p>
    <w:p>
      <w:pPr>
        <w:pStyle w:val="Heading2"/>
        <w:widowControl/>
      </w:pPr>
      <w:r>
        <w:t>3.5 Presse et sources secondaires</w:t>
      </w:r>
    </w:p>
    <w:p>
      <w:pPr>
        <w:widowControl/>
      </w:pPr>
      <w:r>
        <w:rPr>
          <w:rFonts w:ascii="Aptos" w:hAnsi="Aptos"/>
          <w:sz w:val="19"/>
        </w:rPr>
        <w:t>La presse financière est utile pour retrouver une annonce, une date approximative ou une ancienne marque. Elle doit conduire vers un document primaire. Lorsqu'aucune source primaire n'est retrouvée, l'information reste secondaire et doit être marquée comme telle.</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835"/>
            <w:shd w:fill="D9EAF2"/>
            <w:tcMar>
              <w:top w:w="70" w:type="dxa"/>
              <w:start w:w="70" w:type="dxa"/>
              <w:bottom w:w="70" w:type="dxa"/>
              <w:end w:w="70" w:type="dxa"/>
            </w:tcMar>
            <w:vAlign w:val="center"/>
          </w:tcPr>
          <w:p>
            <w:r/>
            <w:r>
              <w:rPr>
                <w:rFonts w:ascii="Aptos" w:hAnsi="Aptos"/>
                <w:b/>
                <w:color w:val="123E5E"/>
                <w:sz w:val="15"/>
              </w:rPr>
              <w:t>Source secondaire</w:t>
            </w:r>
          </w:p>
        </w:tc>
        <w:tc>
          <w:tcPr>
            <w:tcW w:type="dxa" w:w="3402"/>
            <w:shd w:fill="D9EAF2"/>
            <w:tcMar>
              <w:top w:w="70" w:type="dxa"/>
              <w:start w:w="70" w:type="dxa"/>
              <w:bottom w:w="70" w:type="dxa"/>
              <w:end w:w="70" w:type="dxa"/>
            </w:tcMar>
            <w:vAlign w:val="center"/>
          </w:tcPr>
          <w:p>
            <w:r/>
            <w:r>
              <w:rPr>
                <w:rFonts w:ascii="Aptos" w:hAnsi="Aptos"/>
                <w:b/>
                <w:color w:val="123E5E"/>
                <w:sz w:val="15"/>
              </w:rPr>
              <w:t>Forces</w:t>
            </w:r>
          </w:p>
        </w:tc>
        <w:tc>
          <w:tcPr>
            <w:tcW w:type="dxa" w:w="3118"/>
            <w:shd w:fill="D9EAF2"/>
            <w:tcMar>
              <w:top w:w="70" w:type="dxa"/>
              <w:start w:w="70" w:type="dxa"/>
              <w:bottom w:w="70" w:type="dxa"/>
              <w:end w:w="70" w:type="dxa"/>
            </w:tcMar>
            <w:vAlign w:val="center"/>
          </w:tcPr>
          <w:p>
            <w:r/>
            <w:r>
              <w:rPr>
                <w:rFonts w:ascii="Aptos" w:hAnsi="Aptos"/>
                <w:b/>
                <w:color w:val="123E5E"/>
                <w:sz w:val="15"/>
              </w:rPr>
              <w:t>Limites</w:t>
            </w:r>
          </w:p>
        </w:tc>
      </w:tr>
      <w:tr>
        <w:tc>
          <w:tcPr>
            <w:tcW w:type="dxa" w:w="2835"/>
            <w:tcMar>
              <w:top w:w="60" w:type="dxa"/>
              <w:start w:w="60" w:type="dxa"/>
              <w:bottom w:w="60" w:type="dxa"/>
              <w:end w:w="60" w:type="dxa"/>
            </w:tcMar>
            <w:vAlign w:val="top"/>
          </w:tcPr>
          <w:p>
            <w:r/>
            <w:r>
              <w:rPr>
                <w:rFonts w:ascii="Aptos" w:hAnsi="Aptos"/>
                <w:sz w:val="15"/>
              </w:rPr>
              <w:t>BusinessDay Nigeria</w:t>
            </w:r>
          </w:p>
        </w:tc>
        <w:tc>
          <w:tcPr>
            <w:tcW w:type="dxa" w:w="3402"/>
            <w:tcMar>
              <w:top w:w="60" w:type="dxa"/>
              <w:start w:w="60" w:type="dxa"/>
              <w:bottom w:w="60" w:type="dxa"/>
              <w:end w:w="60" w:type="dxa"/>
            </w:tcMar>
            <w:vAlign w:val="top"/>
          </w:tcPr>
          <w:p>
            <w:r/>
            <w:r>
              <w:rPr>
                <w:rFonts w:ascii="Aptos" w:hAnsi="Aptos"/>
                <w:sz w:val="15"/>
              </w:rPr>
              <w:t>Couverture économique et d’entreprises.</w:t>
            </w:r>
          </w:p>
        </w:tc>
        <w:tc>
          <w:tcPr>
            <w:tcW w:type="dxa" w:w="3118"/>
            <w:tcMar>
              <w:top w:w="60" w:type="dxa"/>
              <w:start w:w="60" w:type="dxa"/>
              <w:bottom w:w="60" w:type="dxa"/>
              <w:end w:w="60" w:type="dxa"/>
            </w:tcMar>
            <w:vAlign w:val="top"/>
          </w:tcPr>
          <w:p>
            <w:r/>
            <w:r>
              <w:rPr>
                <w:rFonts w:ascii="Aptos" w:hAnsi="Aptos"/>
                <w:sz w:val="15"/>
              </w:rPr>
              <w:t>Accès parfois payant ; vérifier l’annonce originale.</w:t>
            </w:r>
          </w:p>
        </w:tc>
      </w:tr>
      <w:tr>
        <w:tc>
          <w:tcPr>
            <w:tcW w:type="dxa" w:w="2835"/>
            <w:tcMar>
              <w:top w:w="60" w:type="dxa"/>
              <w:start w:w="60" w:type="dxa"/>
              <w:bottom w:w="60" w:type="dxa"/>
              <w:end w:w="60" w:type="dxa"/>
            </w:tcMar>
            <w:vAlign w:val="top"/>
          </w:tcPr>
          <w:p>
            <w:r/>
            <w:r>
              <w:rPr>
                <w:rFonts w:ascii="Aptos" w:hAnsi="Aptos"/>
                <w:sz w:val="15"/>
              </w:rPr>
              <w:t>Nairametrics</w:t>
            </w:r>
          </w:p>
        </w:tc>
        <w:tc>
          <w:tcPr>
            <w:tcW w:type="dxa" w:w="3402"/>
            <w:tcMar>
              <w:top w:w="60" w:type="dxa"/>
              <w:start w:w="60" w:type="dxa"/>
              <w:bottom w:w="60" w:type="dxa"/>
              <w:end w:w="60" w:type="dxa"/>
            </w:tcMar>
            <w:vAlign w:val="top"/>
          </w:tcPr>
          <w:p>
            <w:r/>
            <w:r>
              <w:rPr>
                <w:rFonts w:ascii="Aptos" w:hAnsi="Aptos"/>
                <w:sz w:val="15"/>
              </w:rPr>
              <w:t>Actualités financières et produits d’investissement.</w:t>
            </w:r>
          </w:p>
        </w:tc>
        <w:tc>
          <w:tcPr>
            <w:tcW w:type="dxa" w:w="3118"/>
            <w:tcMar>
              <w:top w:w="60" w:type="dxa"/>
              <w:start w:w="60" w:type="dxa"/>
              <w:bottom w:w="60" w:type="dxa"/>
              <w:end w:w="60" w:type="dxa"/>
            </w:tcMar>
            <w:vAlign w:val="top"/>
          </w:tcPr>
          <w:p>
            <w:r/>
            <w:r>
              <w:rPr>
                <w:rFonts w:ascii="Aptos" w:hAnsi="Aptos"/>
                <w:sz w:val="15"/>
              </w:rPr>
              <w:t>Source éditoriale, pas registre réglementaire.</w:t>
            </w:r>
          </w:p>
        </w:tc>
      </w:tr>
      <w:tr>
        <w:tc>
          <w:tcPr>
            <w:tcW w:type="dxa" w:w="2835"/>
            <w:tcMar>
              <w:top w:w="60" w:type="dxa"/>
              <w:start w:w="60" w:type="dxa"/>
              <w:bottom w:w="60" w:type="dxa"/>
              <w:end w:w="60" w:type="dxa"/>
            </w:tcMar>
            <w:vAlign w:val="top"/>
          </w:tcPr>
          <w:p>
            <w:r/>
            <w:r>
              <w:rPr>
                <w:rFonts w:ascii="Aptos" w:hAnsi="Aptos"/>
                <w:sz w:val="15"/>
              </w:rPr>
              <w:t>ThisDay / Guardian Nigeria / Punch</w:t>
            </w:r>
          </w:p>
        </w:tc>
        <w:tc>
          <w:tcPr>
            <w:tcW w:type="dxa" w:w="3402"/>
            <w:tcMar>
              <w:top w:w="60" w:type="dxa"/>
              <w:start w:w="60" w:type="dxa"/>
              <w:bottom w:w="60" w:type="dxa"/>
              <w:end w:w="60" w:type="dxa"/>
            </w:tcMar>
            <w:vAlign w:val="top"/>
          </w:tcPr>
          <w:p>
            <w:r/>
            <w:r>
              <w:rPr>
                <w:rFonts w:ascii="Aptos" w:hAnsi="Aptos"/>
                <w:sz w:val="15"/>
              </w:rPr>
              <w:t>Archives d’annonces et de restructurations.</w:t>
            </w:r>
          </w:p>
        </w:tc>
        <w:tc>
          <w:tcPr>
            <w:tcW w:type="dxa" w:w="3118"/>
            <w:tcMar>
              <w:top w:w="60" w:type="dxa"/>
              <w:start w:w="60" w:type="dxa"/>
              <w:bottom w:w="60" w:type="dxa"/>
              <w:end w:w="60" w:type="dxa"/>
            </w:tcMar>
            <w:vAlign w:val="top"/>
          </w:tcPr>
          <w:p>
            <w:r/>
            <w:r>
              <w:rPr>
                <w:rFonts w:ascii="Aptos" w:hAnsi="Aptos"/>
                <w:sz w:val="15"/>
              </w:rPr>
              <w:t>Terminologie parfois simplifiée.</w:t>
            </w:r>
          </w:p>
        </w:tc>
      </w:tr>
      <w:tr>
        <w:tc>
          <w:tcPr>
            <w:tcW w:type="dxa" w:w="2835"/>
            <w:tcMar>
              <w:top w:w="60" w:type="dxa"/>
              <w:start w:w="60" w:type="dxa"/>
              <w:bottom w:w="60" w:type="dxa"/>
              <w:end w:w="60" w:type="dxa"/>
            </w:tcMar>
            <w:vAlign w:val="top"/>
          </w:tcPr>
          <w:p>
            <w:r/>
            <w:r>
              <w:rPr>
                <w:rFonts w:ascii="Aptos" w:hAnsi="Aptos"/>
                <w:sz w:val="15"/>
              </w:rPr>
              <w:t>Communiqués de groupes bancaires</w:t>
            </w:r>
          </w:p>
        </w:tc>
        <w:tc>
          <w:tcPr>
            <w:tcW w:type="dxa" w:w="3402"/>
            <w:tcMar>
              <w:top w:w="60" w:type="dxa"/>
              <w:start w:w="60" w:type="dxa"/>
              <w:bottom w:w="60" w:type="dxa"/>
              <w:end w:w="60" w:type="dxa"/>
            </w:tcMar>
            <w:vAlign w:val="top"/>
          </w:tcPr>
          <w:p>
            <w:r/>
            <w:r>
              <w:rPr>
                <w:rFonts w:ascii="Aptos" w:hAnsi="Aptos"/>
                <w:sz w:val="15"/>
              </w:rPr>
              <w:t>Changements de marque ou cessions.</w:t>
            </w:r>
          </w:p>
        </w:tc>
        <w:tc>
          <w:tcPr>
            <w:tcW w:type="dxa" w:w="3118"/>
            <w:tcMar>
              <w:top w:w="60" w:type="dxa"/>
              <w:start w:w="60" w:type="dxa"/>
              <w:bottom w:w="60" w:type="dxa"/>
              <w:end w:w="60" w:type="dxa"/>
            </w:tcMar>
            <w:vAlign w:val="top"/>
          </w:tcPr>
          <w:p>
            <w:r/>
            <w:r>
              <w:rPr>
                <w:rFonts w:ascii="Aptos" w:hAnsi="Aptos"/>
                <w:sz w:val="15"/>
              </w:rPr>
              <w:t>Vérifier l’impact exact sur le fonds et la personne morale.</w:t>
            </w:r>
          </w:p>
        </w:tc>
      </w:tr>
      <w:tr>
        <w:tc>
          <w:tcPr>
            <w:tcW w:type="dxa" w:w="2835"/>
            <w:tcMar>
              <w:top w:w="60" w:type="dxa"/>
              <w:start w:w="60" w:type="dxa"/>
              <w:bottom w:w="60" w:type="dxa"/>
              <w:end w:w="60" w:type="dxa"/>
            </w:tcMar>
            <w:vAlign w:val="top"/>
          </w:tcPr>
          <w:p>
            <w:r/>
            <w:r>
              <w:rPr>
                <w:rFonts w:ascii="Aptos" w:hAnsi="Aptos"/>
                <w:sz w:val="15"/>
              </w:rPr>
              <w:t>Agrégateurs internationaux sous licence</w:t>
            </w:r>
          </w:p>
        </w:tc>
        <w:tc>
          <w:tcPr>
            <w:tcW w:type="dxa" w:w="3402"/>
            <w:tcMar>
              <w:top w:w="60" w:type="dxa"/>
              <w:start w:w="60" w:type="dxa"/>
              <w:bottom w:w="60" w:type="dxa"/>
              <w:end w:w="60" w:type="dxa"/>
            </w:tcMar>
            <w:vAlign w:val="top"/>
          </w:tcPr>
          <w:p>
            <w:r/>
            <w:r>
              <w:rPr>
                <w:rFonts w:ascii="Aptos" w:hAnsi="Aptos"/>
                <w:sz w:val="15"/>
              </w:rPr>
              <w:t>Cross-check de noms, ISIN, classes et performances.</w:t>
            </w:r>
          </w:p>
        </w:tc>
        <w:tc>
          <w:tcPr>
            <w:tcW w:type="dxa" w:w="3118"/>
            <w:tcMar>
              <w:top w:w="60" w:type="dxa"/>
              <w:start w:w="60" w:type="dxa"/>
              <w:bottom w:w="60" w:type="dxa"/>
              <w:end w:w="60" w:type="dxa"/>
            </w:tcMar>
            <w:vAlign w:val="top"/>
          </w:tcPr>
          <w:p>
            <w:r/>
            <w:r>
              <w:rPr>
                <w:rFonts w:ascii="Aptos" w:hAnsi="Aptos"/>
                <w:sz w:val="15"/>
              </w:rPr>
              <w:t>Ne pas écraser une donnée officielle nigériane ; licences et couvertures variables.</w:t>
            </w:r>
          </w:p>
        </w:tc>
      </w:tr>
    </w:tbl>
    <w:p>
      <w:pPr>
        <w:widowControl/>
        <w:spacing w:after="0"/>
      </w:pPr>
    </w:p>
    <w:p>
      <w:pPr>
        <w:widowControl/>
      </w:pPr>
      <w:r>
        <w:br w:type="page"/>
      </w:r>
    </w:p>
    <w:p>
      <w:pPr>
        <w:widowControl/>
        <w:jc w:val="center"/>
      </w:pPr>
      <w:r>
        <w:rPr>
          <w:rFonts w:ascii="Aptos Display" w:hAnsi="Aptos Display"/>
          <w:b/>
          <w:color w:val="123E5E"/>
          <w:sz w:val="44"/>
        </w:rPr>
        <w:t>PARTIE IV — INVENTAIRE, TÉLÉCHARGEMENT ET ARCHIVAGE PROBANT</w:t>
      </w:r>
    </w:p>
    <w:p>
      <w:pPr>
        <w:widowControl/>
        <w:jc w:val="center"/>
      </w:pPr>
      <w:r>
        <w:rPr>
          <w:rFonts w:ascii="Aptos" w:hAnsi="Aptos"/>
          <w:i/>
          <w:color w:val="505050"/>
          <w:sz w:val="22"/>
        </w:rPr>
        <w:t>La source doit rester vérifiable après normalisation</w:t>
      </w:r>
    </w:p>
    <w:p>
      <w:pPr>
        <w:widowControl/>
      </w:pPr>
    </w:p>
    <w:p>
      <w:pPr>
        <w:pStyle w:val="Heading1"/>
        <w:widowControl/>
      </w:pPr>
      <w:r>
        <w:t>4. Manifeste immuable des sources</w:t>
      </w:r>
    </w:p>
    <w:p>
      <w:pPr>
        <w:widowControl/>
      </w:pPr>
      <w:r>
        <w:rPr>
          <w:rFonts w:ascii="Aptos" w:hAnsi="Aptos"/>
          <w:sz w:val="19"/>
        </w:rPr>
        <w:t>Chaque publication et chaque fichier doivent recevoir un identifiant stable. Le manifeste est append-only : une correction officielle crée une nouvelle version et un lien de remplacement ; elle ne supprime pas l'ancienne preuve.</w:t>
      </w:r>
    </w:p>
    <w:p>
      <w:pPr>
        <w:pStyle w:val="Heading2"/>
        <w:widowControl/>
      </w:pPr>
      <w:r>
        <w:t>4.1 Champs minimaux du manifeste</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3005"/>
            <w:shd w:fill="D9EAF2"/>
            <w:tcMar>
              <w:top w:w="70" w:type="dxa"/>
              <w:start w:w="70" w:type="dxa"/>
              <w:bottom w:w="70" w:type="dxa"/>
              <w:end w:w="70" w:type="dxa"/>
            </w:tcMar>
            <w:vAlign w:val="center"/>
          </w:tcPr>
          <w:p>
            <w:r/>
            <w:r>
              <w:rPr>
                <w:rFonts w:ascii="Aptos" w:hAnsi="Aptos"/>
                <w:b/>
                <w:color w:val="123E5E"/>
                <w:sz w:val="15"/>
              </w:rPr>
              <w:t>Champ</w:t>
            </w:r>
          </w:p>
        </w:tc>
        <w:tc>
          <w:tcPr>
            <w:tcW w:type="dxa" w:w="6293"/>
            <w:shd w:fill="D9EAF2"/>
            <w:tcMar>
              <w:top w:w="70" w:type="dxa"/>
              <w:start w:w="70" w:type="dxa"/>
              <w:bottom w:w="70" w:type="dxa"/>
              <w:end w:w="70" w:type="dxa"/>
            </w:tcMar>
            <w:vAlign w:val="center"/>
          </w:tcPr>
          <w:p>
            <w:r/>
            <w:r>
              <w:rPr>
                <w:rFonts w:ascii="Aptos" w:hAnsi="Aptos"/>
                <w:b/>
                <w:color w:val="123E5E"/>
                <w:sz w:val="15"/>
              </w:rPr>
              <w:t>Description</w:t>
            </w:r>
          </w:p>
        </w:tc>
      </w:tr>
      <w:tr>
        <w:tc>
          <w:tcPr>
            <w:tcW w:type="dxa" w:w="3005"/>
            <w:tcMar>
              <w:top w:w="60" w:type="dxa"/>
              <w:start w:w="60" w:type="dxa"/>
              <w:bottom w:w="60" w:type="dxa"/>
              <w:end w:w="60" w:type="dxa"/>
            </w:tcMar>
            <w:vAlign w:val="top"/>
          </w:tcPr>
          <w:p>
            <w:r/>
            <w:r>
              <w:rPr>
                <w:rFonts w:ascii="Aptos" w:hAnsi="Aptos"/>
                <w:sz w:val="15"/>
              </w:rPr>
              <w:t>source_document_id</w:t>
            </w:r>
          </w:p>
        </w:tc>
        <w:tc>
          <w:tcPr>
            <w:tcW w:type="dxa" w:w="6293"/>
            <w:tcMar>
              <w:top w:w="60" w:type="dxa"/>
              <w:start w:w="60" w:type="dxa"/>
              <w:bottom w:w="60" w:type="dxa"/>
              <w:end w:w="60" w:type="dxa"/>
            </w:tcMar>
            <w:vAlign w:val="top"/>
          </w:tcPr>
          <w:p>
            <w:r/>
            <w:r>
              <w:rPr>
                <w:rFonts w:ascii="Aptos" w:hAnsi="Aptos"/>
                <w:sz w:val="15"/>
              </w:rPr>
              <w:t>Identifiant interne stable.</w:t>
            </w:r>
          </w:p>
        </w:tc>
      </w:tr>
      <w:tr>
        <w:tc>
          <w:tcPr>
            <w:tcW w:type="dxa" w:w="3005"/>
            <w:tcMar>
              <w:top w:w="60" w:type="dxa"/>
              <w:start w:w="60" w:type="dxa"/>
              <w:bottom w:w="60" w:type="dxa"/>
              <w:end w:w="60" w:type="dxa"/>
            </w:tcMar>
            <w:vAlign w:val="top"/>
          </w:tcPr>
          <w:p>
            <w:r/>
            <w:r>
              <w:rPr>
                <w:rFonts w:ascii="Aptos" w:hAnsi="Aptos"/>
                <w:sz w:val="15"/>
              </w:rPr>
              <w:t>official_document_id</w:t>
            </w:r>
          </w:p>
        </w:tc>
        <w:tc>
          <w:tcPr>
            <w:tcW w:type="dxa" w:w="6293"/>
            <w:tcMar>
              <w:top w:w="60" w:type="dxa"/>
              <w:start w:w="60" w:type="dxa"/>
              <w:bottom w:w="60" w:type="dxa"/>
              <w:end w:w="60" w:type="dxa"/>
            </w:tcMar>
            <w:vAlign w:val="top"/>
          </w:tcPr>
          <w:p>
            <w:r/>
            <w:r>
              <w:rPr>
                <w:rFonts w:ascii="Aptos" w:hAnsi="Aptos"/>
                <w:sz w:val="15"/>
              </w:rPr>
              <w:t>ID SEC ou identifiant de l’infrastructure.</w:t>
            </w:r>
          </w:p>
        </w:tc>
      </w:tr>
      <w:tr>
        <w:tc>
          <w:tcPr>
            <w:tcW w:type="dxa" w:w="3005"/>
            <w:tcMar>
              <w:top w:w="60" w:type="dxa"/>
              <w:start w:w="60" w:type="dxa"/>
              <w:bottom w:w="60" w:type="dxa"/>
              <w:end w:w="60" w:type="dxa"/>
            </w:tcMar>
            <w:vAlign w:val="top"/>
          </w:tcPr>
          <w:p>
            <w:r/>
            <w:r>
              <w:rPr>
                <w:rFonts w:ascii="Aptos" w:hAnsi="Aptos"/>
                <w:sz w:val="15"/>
              </w:rPr>
              <w:t>publication_page_url</w:t>
            </w:r>
          </w:p>
        </w:tc>
        <w:tc>
          <w:tcPr>
            <w:tcW w:type="dxa" w:w="6293"/>
            <w:tcMar>
              <w:top w:w="60" w:type="dxa"/>
              <w:start w:w="60" w:type="dxa"/>
              <w:bottom w:w="60" w:type="dxa"/>
              <w:end w:w="60" w:type="dxa"/>
            </w:tcMar>
            <w:vAlign w:val="top"/>
          </w:tcPr>
          <w:p>
            <w:r/>
            <w:r>
              <w:rPr>
                <w:rFonts w:ascii="Aptos" w:hAnsi="Aptos"/>
                <w:sz w:val="15"/>
              </w:rPr>
              <w:t>Page annuelle ou page de publication.</w:t>
            </w:r>
          </w:p>
        </w:tc>
      </w:tr>
      <w:tr>
        <w:tc>
          <w:tcPr>
            <w:tcW w:type="dxa" w:w="3005"/>
            <w:tcMar>
              <w:top w:w="60" w:type="dxa"/>
              <w:start w:w="60" w:type="dxa"/>
              <w:bottom w:w="60" w:type="dxa"/>
              <w:end w:w="60" w:type="dxa"/>
            </w:tcMar>
            <w:vAlign w:val="top"/>
          </w:tcPr>
          <w:p>
            <w:r/>
            <w:r>
              <w:rPr>
                <w:rFonts w:ascii="Aptos" w:hAnsi="Aptos"/>
                <w:sz w:val="15"/>
              </w:rPr>
              <w:t>official_file_url</w:t>
            </w:r>
          </w:p>
        </w:tc>
        <w:tc>
          <w:tcPr>
            <w:tcW w:type="dxa" w:w="6293"/>
            <w:tcMar>
              <w:top w:w="60" w:type="dxa"/>
              <w:start w:w="60" w:type="dxa"/>
              <w:bottom w:w="60" w:type="dxa"/>
              <w:end w:w="60" w:type="dxa"/>
            </w:tcMar>
            <w:vAlign w:val="top"/>
          </w:tcPr>
          <w:p>
            <w:r/>
            <w:r>
              <w:rPr>
                <w:rFonts w:ascii="Aptos" w:hAnsi="Aptos"/>
                <w:sz w:val="15"/>
              </w:rPr>
              <w:t>Lien direct du fichier.</w:t>
            </w:r>
          </w:p>
        </w:tc>
      </w:tr>
      <w:tr>
        <w:tc>
          <w:tcPr>
            <w:tcW w:type="dxa" w:w="3005"/>
            <w:tcMar>
              <w:top w:w="60" w:type="dxa"/>
              <w:start w:w="60" w:type="dxa"/>
              <w:bottom w:w="60" w:type="dxa"/>
              <w:end w:w="60" w:type="dxa"/>
            </w:tcMar>
            <w:vAlign w:val="top"/>
          </w:tcPr>
          <w:p>
            <w:r/>
            <w:r>
              <w:rPr>
                <w:rFonts w:ascii="Aptos" w:hAnsi="Aptos"/>
                <w:sz w:val="15"/>
              </w:rPr>
              <w:t>publication_title</w:t>
            </w:r>
          </w:p>
        </w:tc>
        <w:tc>
          <w:tcPr>
            <w:tcW w:type="dxa" w:w="6293"/>
            <w:tcMar>
              <w:top w:w="60" w:type="dxa"/>
              <w:start w:w="60" w:type="dxa"/>
              <w:bottom w:w="60" w:type="dxa"/>
              <w:end w:w="60" w:type="dxa"/>
            </w:tcMar>
            <w:vAlign w:val="top"/>
          </w:tcPr>
          <w:p>
            <w:r/>
            <w:r>
              <w:rPr>
                <w:rFonts w:ascii="Aptos" w:hAnsi="Aptos"/>
                <w:sz w:val="15"/>
              </w:rPr>
              <w:t>Titre affiché.</w:t>
            </w:r>
          </w:p>
        </w:tc>
      </w:tr>
      <w:tr>
        <w:tc>
          <w:tcPr>
            <w:tcW w:type="dxa" w:w="3005"/>
            <w:tcMar>
              <w:top w:w="60" w:type="dxa"/>
              <w:start w:w="60" w:type="dxa"/>
              <w:bottom w:w="60" w:type="dxa"/>
              <w:end w:w="60" w:type="dxa"/>
            </w:tcMar>
            <w:vAlign w:val="top"/>
          </w:tcPr>
          <w:p>
            <w:r/>
            <w:r>
              <w:rPr>
                <w:rFonts w:ascii="Aptos" w:hAnsi="Aptos"/>
                <w:sz w:val="15"/>
              </w:rPr>
              <w:t>publication_date</w:t>
            </w:r>
          </w:p>
        </w:tc>
        <w:tc>
          <w:tcPr>
            <w:tcW w:type="dxa" w:w="6293"/>
            <w:tcMar>
              <w:top w:w="60" w:type="dxa"/>
              <w:start w:w="60" w:type="dxa"/>
              <w:bottom w:w="60" w:type="dxa"/>
              <w:end w:w="60" w:type="dxa"/>
            </w:tcMar>
            <w:vAlign w:val="top"/>
          </w:tcPr>
          <w:p>
            <w:r/>
            <w:r>
              <w:rPr>
                <w:rFonts w:ascii="Aptos" w:hAnsi="Aptos"/>
                <w:sz w:val="15"/>
              </w:rPr>
              <w:t>Date de publication.</w:t>
            </w:r>
          </w:p>
        </w:tc>
      </w:tr>
      <w:tr>
        <w:tc>
          <w:tcPr>
            <w:tcW w:type="dxa" w:w="3005"/>
            <w:tcMar>
              <w:top w:w="60" w:type="dxa"/>
              <w:start w:w="60" w:type="dxa"/>
              <w:bottom w:w="60" w:type="dxa"/>
              <w:end w:w="60" w:type="dxa"/>
            </w:tcMar>
            <w:vAlign w:val="top"/>
          </w:tcPr>
          <w:p>
            <w:r/>
            <w:r>
              <w:rPr>
                <w:rFonts w:ascii="Aptos" w:hAnsi="Aptos"/>
                <w:sz w:val="15"/>
              </w:rPr>
              <w:t>valuation_dates_claimed</w:t>
            </w:r>
          </w:p>
        </w:tc>
        <w:tc>
          <w:tcPr>
            <w:tcW w:type="dxa" w:w="6293"/>
            <w:tcMar>
              <w:top w:w="60" w:type="dxa"/>
              <w:start w:w="60" w:type="dxa"/>
              <w:bottom w:w="60" w:type="dxa"/>
              <w:end w:w="60" w:type="dxa"/>
            </w:tcMar>
            <w:vAlign w:val="top"/>
          </w:tcPr>
          <w:p>
            <w:r/>
            <w:r>
              <w:rPr>
                <w:rFonts w:ascii="Aptos" w:hAnsi="Aptos"/>
                <w:sz w:val="15"/>
              </w:rPr>
              <w:t>Dates annoncées dans le titre, sans préjuger du contenu.</w:t>
            </w:r>
          </w:p>
        </w:tc>
      </w:tr>
      <w:tr>
        <w:tc>
          <w:tcPr>
            <w:tcW w:type="dxa" w:w="3005"/>
            <w:tcMar>
              <w:top w:w="60" w:type="dxa"/>
              <w:start w:w="60" w:type="dxa"/>
              <w:bottom w:w="60" w:type="dxa"/>
              <w:end w:w="60" w:type="dxa"/>
            </w:tcMar>
            <w:vAlign w:val="top"/>
          </w:tcPr>
          <w:p>
            <w:r/>
            <w:r>
              <w:rPr>
                <w:rFonts w:ascii="Aptos" w:hAnsi="Aptos"/>
                <w:sz w:val="15"/>
              </w:rPr>
              <w:t>file_name_remote</w:t>
            </w:r>
          </w:p>
        </w:tc>
        <w:tc>
          <w:tcPr>
            <w:tcW w:type="dxa" w:w="6293"/>
            <w:tcMar>
              <w:top w:w="60" w:type="dxa"/>
              <w:start w:w="60" w:type="dxa"/>
              <w:bottom w:w="60" w:type="dxa"/>
              <w:end w:w="60" w:type="dxa"/>
            </w:tcMar>
            <w:vAlign w:val="top"/>
          </w:tcPr>
          <w:p>
            <w:r/>
            <w:r>
              <w:rPr>
                <w:rFonts w:ascii="Aptos" w:hAnsi="Aptos"/>
                <w:sz w:val="15"/>
              </w:rPr>
              <w:t>Nom distant.</w:t>
            </w:r>
          </w:p>
        </w:tc>
      </w:tr>
      <w:tr>
        <w:tc>
          <w:tcPr>
            <w:tcW w:type="dxa" w:w="3005"/>
            <w:tcMar>
              <w:top w:w="60" w:type="dxa"/>
              <w:start w:w="60" w:type="dxa"/>
              <w:bottom w:w="60" w:type="dxa"/>
              <w:end w:w="60" w:type="dxa"/>
            </w:tcMar>
            <w:vAlign w:val="top"/>
          </w:tcPr>
          <w:p>
            <w:r/>
            <w:r>
              <w:rPr>
                <w:rFonts w:ascii="Aptos" w:hAnsi="Aptos"/>
                <w:sz w:val="15"/>
              </w:rPr>
              <w:t>file_name_local</w:t>
            </w:r>
          </w:p>
        </w:tc>
        <w:tc>
          <w:tcPr>
            <w:tcW w:type="dxa" w:w="6293"/>
            <w:tcMar>
              <w:top w:w="60" w:type="dxa"/>
              <w:start w:w="60" w:type="dxa"/>
              <w:bottom w:w="60" w:type="dxa"/>
              <w:end w:w="60" w:type="dxa"/>
            </w:tcMar>
            <w:vAlign w:val="top"/>
          </w:tcPr>
          <w:p>
            <w:r/>
            <w:r>
              <w:rPr>
                <w:rFonts w:ascii="Aptos" w:hAnsi="Aptos"/>
                <w:sz w:val="15"/>
              </w:rPr>
              <w:t>Nom local normalisé sans perdre l’original.</w:t>
            </w:r>
          </w:p>
        </w:tc>
      </w:tr>
      <w:tr>
        <w:tc>
          <w:tcPr>
            <w:tcW w:type="dxa" w:w="3005"/>
            <w:tcMar>
              <w:top w:w="60" w:type="dxa"/>
              <w:start w:w="60" w:type="dxa"/>
              <w:bottom w:w="60" w:type="dxa"/>
              <w:end w:w="60" w:type="dxa"/>
            </w:tcMar>
            <w:vAlign w:val="top"/>
          </w:tcPr>
          <w:p>
            <w:r/>
            <w:r>
              <w:rPr>
                <w:rFonts w:ascii="Aptos" w:hAnsi="Aptos"/>
                <w:sz w:val="15"/>
              </w:rPr>
              <w:t>file_format</w:t>
            </w:r>
          </w:p>
        </w:tc>
        <w:tc>
          <w:tcPr>
            <w:tcW w:type="dxa" w:w="6293"/>
            <w:tcMar>
              <w:top w:w="60" w:type="dxa"/>
              <w:start w:w="60" w:type="dxa"/>
              <w:bottom w:w="60" w:type="dxa"/>
              <w:end w:w="60" w:type="dxa"/>
            </w:tcMar>
            <w:vAlign w:val="top"/>
          </w:tcPr>
          <w:p>
            <w:r/>
            <w:r>
              <w:rPr>
                <w:rFonts w:ascii="Aptos" w:hAnsi="Aptos"/>
                <w:sz w:val="15"/>
              </w:rPr>
              <w:t>PDF, XLS, XLSX, HTML, CSV, image.</w:t>
            </w:r>
          </w:p>
        </w:tc>
      </w:tr>
      <w:tr>
        <w:tc>
          <w:tcPr>
            <w:tcW w:type="dxa" w:w="3005"/>
            <w:tcMar>
              <w:top w:w="60" w:type="dxa"/>
              <w:start w:w="60" w:type="dxa"/>
              <w:bottom w:w="60" w:type="dxa"/>
              <w:end w:w="60" w:type="dxa"/>
            </w:tcMar>
            <w:vAlign w:val="top"/>
          </w:tcPr>
          <w:p>
            <w:r/>
            <w:r>
              <w:rPr>
                <w:rFonts w:ascii="Aptos" w:hAnsi="Aptos"/>
                <w:sz w:val="15"/>
              </w:rPr>
              <w:t>file_size</w:t>
            </w:r>
          </w:p>
        </w:tc>
        <w:tc>
          <w:tcPr>
            <w:tcW w:type="dxa" w:w="6293"/>
            <w:tcMar>
              <w:top w:w="60" w:type="dxa"/>
              <w:start w:w="60" w:type="dxa"/>
              <w:bottom w:w="60" w:type="dxa"/>
              <w:end w:w="60" w:type="dxa"/>
            </w:tcMar>
            <w:vAlign w:val="top"/>
          </w:tcPr>
          <w:p>
            <w:r/>
            <w:r>
              <w:rPr>
                <w:rFonts w:ascii="Aptos" w:hAnsi="Aptos"/>
                <w:sz w:val="15"/>
              </w:rPr>
              <w:t>Octets.</w:t>
            </w:r>
          </w:p>
        </w:tc>
      </w:tr>
      <w:tr>
        <w:tc>
          <w:tcPr>
            <w:tcW w:type="dxa" w:w="3005"/>
            <w:tcMar>
              <w:top w:w="60" w:type="dxa"/>
              <w:start w:w="60" w:type="dxa"/>
              <w:bottom w:w="60" w:type="dxa"/>
              <w:end w:w="60" w:type="dxa"/>
            </w:tcMar>
            <w:vAlign w:val="top"/>
          </w:tcPr>
          <w:p>
            <w:r/>
            <w:r>
              <w:rPr>
                <w:rFonts w:ascii="Aptos" w:hAnsi="Aptos"/>
                <w:sz w:val="15"/>
              </w:rPr>
              <w:t>sha256</w:t>
            </w:r>
          </w:p>
        </w:tc>
        <w:tc>
          <w:tcPr>
            <w:tcW w:type="dxa" w:w="6293"/>
            <w:tcMar>
              <w:top w:w="60" w:type="dxa"/>
              <w:start w:w="60" w:type="dxa"/>
              <w:bottom w:w="60" w:type="dxa"/>
              <w:end w:w="60" w:type="dxa"/>
            </w:tcMar>
            <w:vAlign w:val="top"/>
          </w:tcPr>
          <w:p>
            <w:r/>
            <w:r>
              <w:rPr>
                <w:rFonts w:ascii="Aptos" w:hAnsi="Aptos"/>
                <w:sz w:val="15"/>
              </w:rPr>
              <w:t>Empreinte du contenu.</w:t>
            </w:r>
          </w:p>
        </w:tc>
      </w:tr>
      <w:tr>
        <w:tc>
          <w:tcPr>
            <w:tcW w:type="dxa" w:w="3005"/>
            <w:tcMar>
              <w:top w:w="60" w:type="dxa"/>
              <w:start w:w="60" w:type="dxa"/>
              <w:bottom w:w="60" w:type="dxa"/>
              <w:end w:w="60" w:type="dxa"/>
            </w:tcMar>
            <w:vAlign w:val="top"/>
          </w:tcPr>
          <w:p>
            <w:r/>
            <w:r>
              <w:rPr>
                <w:rFonts w:ascii="Aptos" w:hAnsi="Aptos"/>
                <w:sz w:val="15"/>
              </w:rPr>
              <w:t>downloaded_at</w:t>
            </w:r>
          </w:p>
        </w:tc>
        <w:tc>
          <w:tcPr>
            <w:tcW w:type="dxa" w:w="6293"/>
            <w:tcMar>
              <w:top w:w="60" w:type="dxa"/>
              <w:start w:w="60" w:type="dxa"/>
              <w:bottom w:w="60" w:type="dxa"/>
              <w:end w:w="60" w:type="dxa"/>
            </w:tcMar>
            <w:vAlign w:val="top"/>
          </w:tcPr>
          <w:p>
            <w:r/>
            <w:r>
              <w:rPr>
                <w:rFonts w:ascii="Aptos" w:hAnsi="Aptos"/>
                <w:sz w:val="15"/>
              </w:rPr>
              <w:t>Horodatage UTC.</w:t>
            </w:r>
          </w:p>
        </w:tc>
      </w:tr>
      <w:tr>
        <w:tc>
          <w:tcPr>
            <w:tcW w:type="dxa" w:w="3005"/>
            <w:tcMar>
              <w:top w:w="60" w:type="dxa"/>
              <w:start w:w="60" w:type="dxa"/>
              <w:bottom w:w="60" w:type="dxa"/>
              <w:end w:w="60" w:type="dxa"/>
            </w:tcMar>
            <w:vAlign w:val="top"/>
          </w:tcPr>
          <w:p>
            <w:r/>
            <w:r>
              <w:rPr>
                <w:rFonts w:ascii="Aptos" w:hAnsi="Aptos"/>
                <w:sz w:val="15"/>
              </w:rPr>
              <w:t>http_status</w:t>
            </w:r>
          </w:p>
        </w:tc>
        <w:tc>
          <w:tcPr>
            <w:tcW w:type="dxa" w:w="6293"/>
            <w:tcMar>
              <w:top w:w="60" w:type="dxa"/>
              <w:start w:w="60" w:type="dxa"/>
              <w:bottom w:w="60" w:type="dxa"/>
              <w:end w:w="60" w:type="dxa"/>
            </w:tcMar>
            <w:vAlign w:val="top"/>
          </w:tcPr>
          <w:p>
            <w:r/>
            <w:r>
              <w:rPr>
                <w:rFonts w:ascii="Aptos" w:hAnsi="Aptos"/>
                <w:sz w:val="15"/>
              </w:rPr>
              <w:t>Statut de téléchargement.</w:t>
            </w:r>
          </w:p>
        </w:tc>
      </w:tr>
      <w:tr>
        <w:tc>
          <w:tcPr>
            <w:tcW w:type="dxa" w:w="3005"/>
            <w:tcMar>
              <w:top w:w="60" w:type="dxa"/>
              <w:start w:w="60" w:type="dxa"/>
              <w:bottom w:w="60" w:type="dxa"/>
              <w:end w:w="60" w:type="dxa"/>
            </w:tcMar>
            <w:vAlign w:val="top"/>
          </w:tcPr>
          <w:p>
            <w:r/>
            <w:r>
              <w:rPr>
                <w:rFonts w:ascii="Aptos" w:hAnsi="Aptos"/>
                <w:sz w:val="15"/>
              </w:rPr>
              <w:t>content_type</w:t>
            </w:r>
          </w:p>
        </w:tc>
        <w:tc>
          <w:tcPr>
            <w:tcW w:type="dxa" w:w="6293"/>
            <w:tcMar>
              <w:top w:w="60" w:type="dxa"/>
              <w:start w:w="60" w:type="dxa"/>
              <w:bottom w:w="60" w:type="dxa"/>
              <w:end w:w="60" w:type="dxa"/>
            </w:tcMar>
            <w:vAlign w:val="top"/>
          </w:tcPr>
          <w:p>
            <w:r/>
            <w:r>
              <w:rPr>
                <w:rFonts w:ascii="Aptos" w:hAnsi="Aptos"/>
                <w:sz w:val="15"/>
              </w:rPr>
              <w:t>Type MIME.</w:t>
            </w:r>
          </w:p>
        </w:tc>
      </w:tr>
      <w:tr>
        <w:tc>
          <w:tcPr>
            <w:tcW w:type="dxa" w:w="3005"/>
            <w:tcMar>
              <w:top w:w="60" w:type="dxa"/>
              <w:start w:w="60" w:type="dxa"/>
              <w:bottom w:w="60" w:type="dxa"/>
              <w:end w:w="60" w:type="dxa"/>
            </w:tcMar>
            <w:vAlign w:val="top"/>
          </w:tcPr>
          <w:p>
            <w:r/>
            <w:r>
              <w:rPr>
                <w:rFonts w:ascii="Aptos" w:hAnsi="Aptos"/>
                <w:sz w:val="15"/>
              </w:rPr>
              <w:t>open_status</w:t>
            </w:r>
          </w:p>
        </w:tc>
        <w:tc>
          <w:tcPr>
            <w:tcW w:type="dxa" w:w="6293"/>
            <w:tcMar>
              <w:top w:w="60" w:type="dxa"/>
              <w:start w:w="60" w:type="dxa"/>
              <w:bottom w:w="60" w:type="dxa"/>
              <w:end w:w="60" w:type="dxa"/>
            </w:tcMar>
            <w:vAlign w:val="top"/>
          </w:tcPr>
          <w:p>
            <w:r/>
            <w:r>
              <w:rPr>
                <w:rFonts w:ascii="Aptos" w:hAnsi="Aptos"/>
                <w:sz w:val="15"/>
              </w:rPr>
              <w:t>Lisible, partiel, corrompu, protégé.</w:t>
            </w:r>
          </w:p>
        </w:tc>
      </w:tr>
      <w:tr>
        <w:tc>
          <w:tcPr>
            <w:tcW w:type="dxa" w:w="3005"/>
            <w:tcMar>
              <w:top w:w="60" w:type="dxa"/>
              <w:start w:w="60" w:type="dxa"/>
              <w:bottom w:w="60" w:type="dxa"/>
              <w:end w:w="60" w:type="dxa"/>
            </w:tcMar>
            <w:vAlign w:val="top"/>
          </w:tcPr>
          <w:p>
            <w:r/>
            <w:r>
              <w:rPr>
                <w:rFonts w:ascii="Aptos" w:hAnsi="Aptos"/>
                <w:sz w:val="15"/>
              </w:rPr>
              <w:t>supersedes_document_id</w:t>
            </w:r>
          </w:p>
        </w:tc>
        <w:tc>
          <w:tcPr>
            <w:tcW w:type="dxa" w:w="6293"/>
            <w:tcMar>
              <w:top w:w="60" w:type="dxa"/>
              <w:start w:w="60" w:type="dxa"/>
              <w:bottom w:w="60" w:type="dxa"/>
              <w:end w:w="60" w:type="dxa"/>
            </w:tcMar>
            <w:vAlign w:val="top"/>
          </w:tcPr>
          <w:p>
            <w:r/>
            <w:r>
              <w:rPr>
                <w:rFonts w:ascii="Aptos" w:hAnsi="Aptos"/>
                <w:sz w:val="15"/>
              </w:rPr>
              <w:t>Lien vers publication remplacée.</w:t>
            </w:r>
          </w:p>
        </w:tc>
      </w:tr>
      <w:tr>
        <w:tc>
          <w:tcPr>
            <w:tcW w:type="dxa" w:w="3005"/>
            <w:tcMar>
              <w:top w:w="60" w:type="dxa"/>
              <w:start w:w="60" w:type="dxa"/>
              <w:bottom w:w="60" w:type="dxa"/>
              <w:end w:w="60" w:type="dxa"/>
            </w:tcMar>
            <w:vAlign w:val="top"/>
          </w:tcPr>
          <w:p>
            <w:r/>
            <w:r>
              <w:rPr>
                <w:rFonts w:ascii="Aptos" w:hAnsi="Aptos"/>
                <w:sz w:val="15"/>
              </w:rPr>
              <w:t>year_page</w:t>
            </w:r>
          </w:p>
        </w:tc>
        <w:tc>
          <w:tcPr>
            <w:tcW w:type="dxa" w:w="6293"/>
            <w:tcMar>
              <w:top w:w="60" w:type="dxa"/>
              <w:start w:w="60" w:type="dxa"/>
              <w:bottom w:w="60" w:type="dxa"/>
              <w:end w:w="60" w:type="dxa"/>
            </w:tcMar>
            <w:vAlign w:val="top"/>
          </w:tcPr>
          <w:p>
            <w:r/>
            <w:r>
              <w:rPr>
                <w:rFonts w:ascii="Aptos" w:hAnsi="Aptos"/>
                <w:sz w:val="15"/>
              </w:rPr>
              <w:t>Année de classement SEC.</w:t>
            </w:r>
          </w:p>
        </w:tc>
      </w:tr>
      <w:tr>
        <w:tc>
          <w:tcPr>
            <w:tcW w:type="dxa" w:w="3005"/>
            <w:tcMar>
              <w:top w:w="60" w:type="dxa"/>
              <w:start w:w="60" w:type="dxa"/>
              <w:bottom w:w="60" w:type="dxa"/>
              <w:end w:w="60" w:type="dxa"/>
            </w:tcMar>
            <w:vAlign w:val="top"/>
          </w:tcPr>
          <w:p>
            <w:r/>
            <w:r>
              <w:rPr>
                <w:rFonts w:ascii="Aptos" w:hAnsi="Aptos"/>
                <w:sz w:val="15"/>
              </w:rPr>
              <w:t>notes</w:t>
            </w:r>
          </w:p>
        </w:tc>
        <w:tc>
          <w:tcPr>
            <w:tcW w:type="dxa" w:w="6293"/>
            <w:tcMar>
              <w:top w:w="60" w:type="dxa"/>
              <w:start w:w="60" w:type="dxa"/>
              <w:bottom w:w="60" w:type="dxa"/>
              <w:end w:w="60" w:type="dxa"/>
            </w:tcMar>
            <w:vAlign w:val="top"/>
          </w:tcPr>
          <w:p>
            <w:r/>
            <w:r>
              <w:rPr>
                <w:rFonts w:ascii="Aptos" w:hAnsi="Aptos"/>
                <w:sz w:val="15"/>
              </w:rPr>
              <w:t>Anomalies et interventions.</w:t>
            </w:r>
          </w:p>
        </w:tc>
      </w:tr>
    </w:tbl>
    <w:p>
      <w:pPr>
        <w:widowControl/>
        <w:spacing w:after="0"/>
      </w:pPr>
    </w:p>
    <w:p>
      <w:pPr>
        <w:pStyle w:val="Heading2"/>
        <w:widowControl/>
      </w:pPr>
      <w:r>
        <w:t>4.2 Règles de téléchargement</w:t>
      </w:r>
    </w:p>
    <w:p>
      <w:pPr>
        <w:pStyle w:val="ListBullet"/>
        <w:widowControl/>
        <w:ind w:left="397" w:hanging="142"/>
      </w:pPr>
      <w:r>
        <w:rPr>
          <w:rFonts w:ascii="Aptos" w:hAnsi="Aptos"/>
          <w:sz w:val="18"/>
        </w:rPr>
        <w:t>Parcourir la page index, toutes les pages annuelles, les pages mensuelles et les archives associées.</w:t>
      </w:r>
    </w:p>
    <w:p>
      <w:pPr>
        <w:pStyle w:val="ListBullet"/>
        <w:widowControl/>
        <w:ind w:left="397" w:hanging="142"/>
      </w:pPr>
      <w:r>
        <w:rPr>
          <w:rFonts w:ascii="Aptos" w:hAnsi="Aptos"/>
          <w:sz w:val="18"/>
        </w:rPr>
        <w:t>Accepter PDF, XLS et XLSX ; ne pas exclure un PDF parce que la période voisine est en Excel.</w:t>
      </w:r>
    </w:p>
    <w:p>
      <w:pPr>
        <w:pStyle w:val="ListBullet"/>
        <w:widowControl/>
        <w:ind w:left="397" w:hanging="142"/>
      </w:pPr>
      <w:r>
        <w:rPr>
          <w:rFonts w:ascii="Aptos" w:hAnsi="Aptos"/>
          <w:sz w:val="18"/>
        </w:rPr>
        <w:t>Comparer l’empreinte SHA-256 avant de retélécharger ou de retraiter.</w:t>
      </w:r>
    </w:p>
    <w:p>
      <w:pPr>
        <w:pStyle w:val="ListBullet"/>
        <w:widowControl/>
        <w:ind w:left="397" w:hanging="142"/>
      </w:pPr>
      <w:r>
        <w:rPr>
          <w:rFonts w:ascii="Aptos" w:hAnsi="Aptos"/>
          <w:sz w:val="18"/>
        </w:rPr>
        <w:t>Conserver le nom original et une copie locale normalisée.</w:t>
      </w:r>
    </w:p>
    <w:p>
      <w:pPr>
        <w:pStyle w:val="ListBullet"/>
        <w:widowControl/>
        <w:ind w:left="397" w:hanging="142"/>
      </w:pPr>
      <w:r>
        <w:rPr>
          <w:rFonts w:ascii="Aptos" w:hAnsi="Aptos"/>
          <w:sz w:val="18"/>
        </w:rPr>
        <w:t>Journaliser les redirections, erreurs HTTP et changements de contenu sous la même URL.</w:t>
      </w:r>
    </w:p>
    <w:p>
      <w:pPr>
        <w:pStyle w:val="ListBullet"/>
        <w:widowControl/>
        <w:ind w:left="397" w:hanging="142"/>
      </w:pPr>
      <w:r>
        <w:rPr>
          <w:rFonts w:ascii="Aptos" w:hAnsi="Aptos"/>
          <w:sz w:val="18"/>
        </w:rPr>
        <w:t>Ne jamais remplacer silencieusement un fichier local par une version différente sous le même nom.</w:t>
      </w:r>
    </w:p>
    <w:p>
      <w:pPr>
        <w:pStyle w:val="ListBullet"/>
        <w:widowControl/>
        <w:ind w:left="397" w:hanging="142"/>
      </w:pPr>
      <w:r>
        <w:rPr>
          <w:rFonts w:ascii="Aptos" w:hAnsi="Aptos"/>
          <w:sz w:val="18"/>
        </w:rPr>
        <w:t>Conserver les fichiers corrompus comme preuves, avec statut et taille, même s’ils ne sont pas parsables.</w:t>
      </w:r>
    </w:p>
    <w:p>
      <w:pPr>
        <w:pStyle w:val="Heading2"/>
        <w:widowControl/>
      </w:pPr>
      <w:r>
        <w:t>4.3 Gestion des fichiers corrompus</w:t>
      </w:r>
    </w:p>
    <w:p>
      <w:pPr>
        <w:pStyle w:val="CodeNigeria"/>
        <w:widowControl/>
        <w:shd w:fill="F4F6F7"/>
      </w:pPr>
      <w:r>
        <w:rPr>
          <w:rFonts w:ascii="Liberation Mono" w:hAnsi="Liberation Mono"/>
          <w:color w:val="1E1E1E"/>
          <w:sz w:val="15"/>
        </w:rPr>
        <w:t>source_status = CORRUPT</w:t>
        <w:br/>
        <w:t>recovery_method = NONE | ADJACENT_REDUNDANCY | ALTERNATE_OFFICIAL_COPY</w:t>
        <w:br/>
        <w:t>recovered_valuation_date = &lt;date or null&gt;</w:t>
        <w:br/>
        <w:t>original_source_preserved = true</w:t>
        <w:br/>
        <w:t>imputation_allowed = false</w:t>
      </w:r>
    </w:p>
    <w:p>
      <w:pPr>
        <w:widowControl/>
      </w:pPr>
      <w:r>
        <w:rPr>
          <w:rFonts w:ascii="Aptos" w:hAnsi="Aptos"/>
          <w:sz w:val="19"/>
        </w:rPr>
        <w:t>Une période récupérée par redondance doit pointer vers la publication adjacente qui la reproduit. Elle n'est pas une invention. Une période sans source redondante, comme celle signalée au 17 août 2012 dans l'état de travail, reste explicitement manquante.</w:t>
      </w:r>
    </w:p>
    <w:p>
      <w:pPr>
        <w:pStyle w:val="Heading2"/>
        <w:widowControl/>
      </w:pPr>
      <w:r>
        <w:t>4.4 Index documentaire</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3118"/>
            <w:shd w:fill="D9EAF2"/>
            <w:tcMar>
              <w:top w:w="70" w:type="dxa"/>
              <w:start w:w="70" w:type="dxa"/>
              <w:bottom w:w="70" w:type="dxa"/>
              <w:end w:w="70" w:type="dxa"/>
            </w:tcMar>
            <w:vAlign w:val="center"/>
          </w:tcPr>
          <w:p>
            <w:r/>
            <w:r>
              <w:rPr>
                <w:rFonts w:ascii="Aptos" w:hAnsi="Aptos"/>
                <w:b/>
                <w:color w:val="123E5E"/>
                <w:sz w:val="15"/>
              </w:rPr>
              <w:t>Champ</w:t>
            </w:r>
          </w:p>
        </w:tc>
        <w:tc>
          <w:tcPr>
            <w:tcW w:type="dxa" w:w="6180"/>
            <w:shd w:fill="D9EAF2"/>
            <w:tcMar>
              <w:top w:w="70" w:type="dxa"/>
              <w:start w:w="70" w:type="dxa"/>
              <w:bottom w:w="70" w:type="dxa"/>
              <w:end w:w="70" w:type="dxa"/>
            </w:tcMar>
            <w:vAlign w:val="center"/>
          </w:tcPr>
          <w:p>
            <w:r/>
            <w:r>
              <w:rPr>
                <w:rFonts w:ascii="Aptos" w:hAnsi="Aptos"/>
                <w:b/>
                <w:color w:val="123E5E"/>
                <w:sz w:val="15"/>
              </w:rPr>
              <w:t>Usage</w:t>
            </w:r>
          </w:p>
        </w:tc>
      </w:tr>
      <w:tr>
        <w:tc>
          <w:tcPr>
            <w:tcW w:type="dxa" w:w="3118"/>
            <w:tcMar>
              <w:top w:w="60" w:type="dxa"/>
              <w:start w:w="60" w:type="dxa"/>
              <w:bottom w:w="60" w:type="dxa"/>
              <w:end w:w="60" w:type="dxa"/>
            </w:tcMar>
            <w:vAlign w:val="top"/>
          </w:tcPr>
          <w:p>
            <w:r/>
            <w:r>
              <w:rPr>
                <w:rFonts w:ascii="Aptos" w:hAnsi="Aptos"/>
                <w:sz w:val="15"/>
              </w:rPr>
              <w:t>document_id</w:t>
            </w:r>
          </w:p>
        </w:tc>
        <w:tc>
          <w:tcPr>
            <w:tcW w:type="dxa" w:w="6180"/>
            <w:tcMar>
              <w:top w:w="60" w:type="dxa"/>
              <w:start w:w="60" w:type="dxa"/>
              <w:bottom w:w="60" w:type="dxa"/>
              <w:end w:w="60" w:type="dxa"/>
            </w:tcMar>
            <w:vAlign w:val="top"/>
          </w:tcPr>
          <w:p>
            <w:r/>
            <w:r>
              <w:rPr>
                <w:rFonts w:ascii="Aptos" w:hAnsi="Aptos"/>
                <w:sz w:val="15"/>
              </w:rPr>
              <w:t>Identifiant stable</w:t>
            </w:r>
          </w:p>
        </w:tc>
      </w:tr>
      <w:tr>
        <w:tc>
          <w:tcPr>
            <w:tcW w:type="dxa" w:w="3118"/>
            <w:tcMar>
              <w:top w:w="60" w:type="dxa"/>
              <w:start w:w="60" w:type="dxa"/>
              <w:bottom w:w="60" w:type="dxa"/>
              <w:end w:w="60" w:type="dxa"/>
            </w:tcMar>
            <w:vAlign w:val="top"/>
          </w:tcPr>
          <w:p>
            <w:r/>
            <w:r>
              <w:rPr>
                <w:rFonts w:ascii="Aptos" w:hAnsi="Aptos"/>
                <w:sz w:val="15"/>
              </w:rPr>
              <w:t>document_type</w:t>
            </w:r>
          </w:p>
        </w:tc>
        <w:tc>
          <w:tcPr>
            <w:tcW w:type="dxa" w:w="6180"/>
            <w:tcMar>
              <w:top w:w="60" w:type="dxa"/>
              <w:start w:w="60" w:type="dxa"/>
              <w:bottom w:w="60" w:type="dxa"/>
              <w:end w:w="60" w:type="dxa"/>
            </w:tcMar>
            <w:vAlign w:val="top"/>
          </w:tcPr>
          <w:p>
            <w:r/>
            <w:r>
              <w:rPr>
                <w:rFonts w:ascii="Aptos" w:hAnsi="Aptos"/>
                <w:sz w:val="15"/>
              </w:rPr>
              <w:t>Prospectus, factsheet, annual report, notice, trust deed, etc.</w:t>
            </w:r>
          </w:p>
        </w:tc>
      </w:tr>
      <w:tr>
        <w:tc>
          <w:tcPr>
            <w:tcW w:type="dxa" w:w="3118"/>
            <w:tcMar>
              <w:top w:w="60" w:type="dxa"/>
              <w:start w:w="60" w:type="dxa"/>
              <w:bottom w:w="60" w:type="dxa"/>
              <w:end w:w="60" w:type="dxa"/>
            </w:tcMar>
            <w:vAlign w:val="top"/>
          </w:tcPr>
          <w:p>
            <w:r/>
            <w:r>
              <w:rPr>
                <w:rFonts w:ascii="Aptos" w:hAnsi="Aptos"/>
                <w:sz w:val="15"/>
              </w:rPr>
              <w:t>fund_ids</w:t>
            </w:r>
          </w:p>
        </w:tc>
        <w:tc>
          <w:tcPr>
            <w:tcW w:type="dxa" w:w="6180"/>
            <w:tcMar>
              <w:top w:w="60" w:type="dxa"/>
              <w:start w:w="60" w:type="dxa"/>
              <w:bottom w:w="60" w:type="dxa"/>
              <w:end w:w="60" w:type="dxa"/>
            </w:tcMar>
            <w:vAlign w:val="top"/>
          </w:tcPr>
          <w:p>
            <w:r/>
            <w:r>
              <w:rPr>
                <w:rFonts w:ascii="Aptos" w:hAnsi="Aptos"/>
                <w:sz w:val="15"/>
              </w:rPr>
              <w:t>Fonds ou classes reliés</w:t>
            </w:r>
          </w:p>
        </w:tc>
      </w:tr>
      <w:tr>
        <w:tc>
          <w:tcPr>
            <w:tcW w:type="dxa" w:w="3118"/>
            <w:tcMar>
              <w:top w:w="60" w:type="dxa"/>
              <w:start w:w="60" w:type="dxa"/>
              <w:bottom w:w="60" w:type="dxa"/>
              <w:end w:w="60" w:type="dxa"/>
            </w:tcMar>
            <w:vAlign w:val="top"/>
          </w:tcPr>
          <w:p>
            <w:r/>
            <w:r>
              <w:rPr>
                <w:rFonts w:ascii="Aptos" w:hAnsi="Aptos"/>
                <w:sz w:val="15"/>
              </w:rPr>
              <w:t>manager_ids</w:t>
            </w:r>
          </w:p>
        </w:tc>
        <w:tc>
          <w:tcPr>
            <w:tcW w:type="dxa" w:w="6180"/>
            <w:tcMar>
              <w:top w:w="60" w:type="dxa"/>
              <w:start w:w="60" w:type="dxa"/>
              <w:bottom w:w="60" w:type="dxa"/>
              <w:end w:w="60" w:type="dxa"/>
            </w:tcMar>
            <w:vAlign w:val="top"/>
          </w:tcPr>
          <w:p>
            <w:r/>
            <w:r>
              <w:rPr>
                <w:rFonts w:ascii="Aptos" w:hAnsi="Aptos"/>
                <w:sz w:val="15"/>
              </w:rPr>
              <w:t>Gestionnaires reliés</w:t>
            </w:r>
          </w:p>
        </w:tc>
      </w:tr>
      <w:tr>
        <w:tc>
          <w:tcPr>
            <w:tcW w:type="dxa" w:w="3118"/>
            <w:tcMar>
              <w:top w:w="60" w:type="dxa"/>
              <w:start w:w="60" w:type="dxa"/>
              <w:bottom w:w="60" w:type="dxa"/>
              <w:end w:w="60" w:type="dxa"/>
            </w:tcMar>
            <w:vAlign w:val="top"/>
          </w:tcPr>
          <w:p>
            <w:r/>
            <w:r>
              <w:rPr>
                <w:rFonts w:ascii="Aptos" w:hAnsi="Aptos"/>
                <w:sz w:val="15"/>
              </w:rPr>
              <w:t>effective_date</w:t>
            </w:r>
          </w:p>
        </w:tc>
        <w:tc>
          <w:tcPr>
            <w:tcW w:type="dxa" w:w="6180"/>
            <w:tcMar>
              <w:top w:w="60" w:type="dxa"/>
              <w:start w:w="60" w:type="dxa"/>
              <w:bottom w:w="60" w:type="dxa"/>
              <w:end w:w="60" w:type="dxa"/>
            </w:tcMar>
            <w:vAlign w:val="top"/>
          </w:tcPr>
          <w:p>
            <w:r/>
            <w:r>
              <w:rPr>
                <w:rFonts w:ascii="Aptos" w:hAnsi="Aptos"/>
                <w:sz w:val="15"/>
              </w:rPr>
              <w:t>Date d’effet si documentée</w:t>
            </w:r>
          </w:p>
        </w:tc>
      </w:tr>
      <w:tr>
        <w:tc>
          <w:tcPr>
            <w:tcW w:type="dxa" w:w="3118"/>
            <w:tcMar>
              <w:top w:w="60" w:type="dxa"/>
              <w:start w:w="60" w:type="dxa"/>
              <w:bottom w:w="60" w:type="dxa"/>
              <w:end w:w="60" w:type="dxa"/>
            </w:tcMar>
            <w:vAlign w:val="top"/>
          </w:tcPr>
          <w:p>
            <w:r/>
            <w:r>
              <w:rPr>
                <w:rFonts w:ascii="Aptos" w:hAnsi="Aptos"/>
                <w:sz w:val="15"/>
              </w:rPr>
              <w:t>publication_date</w:t>
            </w:r>
          </w:p>
        </w:tc>
        <w:tc>
          <w:tcPr>
            <w:tcW w:type="dxa" w:w="6180"/>
            <w:tcMar>
              <w:top w:w="60" w:type="dxa"/>
              <w:start w:w="60" w:type="dxa"/>
              <w:bottom w:w="60" w:type="dxa"/>
              <w:end w:w="60" w:type="dxa"/>
            </w:tcMar>
            <w:vAlign w:val="top"/>
          </w:tcPr>
          <w:p>
            <w:r/>
            <w:r>
              <w:rPr>
                <w:rFonts w:ascii="Aptos" w:hAnsi="Aptos"/>
                <w:sz w:val="15"/>
              </w:rPr>
              <w:t>Date de publication</w:t>
            </w:r>
          </w:p>
        </w:tc>
      </w:tr>
      <w:tr>
        <w:tc>
          <w:tcPr>
            <w:tcW w:type="dxa" w:w="3118"/>
            <w:tcMar>
              <w:top w:w="60" w:type="dxa"/>
              <w:start w:w="60" w:type="dxa"/>
              <w:bottom w:w="60" w:type="dxa"/>
              <w:end w:w="60" w:type="dxa"/>
            </w:tcMar>
            <w:vAlign w:val="top"/>
          </w:tcPr>
          <w:p>
            <w:r/>
            <w:r>
              <w:rPr>
                <w:rFonts w:ascii="Aptos" w:hAnsi="Aptos"/>
                <w:sz w:val="15"/>
              </w:rPr>
              <w:t>valid_from / valid_to</w:t>
            </w:r>
          </w:p>
        </w:tc>
        <w:tc>
          <w:tcPr>
            <w:tcW w:type="dxa" w:w="6180"/>
            <w:tcMar>
              <w:top w:w="60" w:type="dxa"/>
              <w:start w:w="60" w:type="dxa"/>
              <w:bottom w:w="60" w:type="dxa"/>
              <w:end w:w="60" w:type="dxa"/>
            </w:tcMar>
            <w:vAlign w:val="top"/>
          </w:tcPr>
          <w:p>
            <w:r/>
            <w:r>
              <w:rPr>
                <w:rFonts w:ascii="Aptos" w:hAnsi="Aptos"/>
                <w:sz w:val="15"/>
              </w:rPr>
              <w:t>Période d’applicabilité</w:t>
            </w:r>
          </w:p>
        </w:tc>
      </w:tr>
      <w:tr>
        <w:tc>
          <w:tcPr>
            <w:tcW w:type="dxa" w:w="3118"/>
            <w:tcMar>
              <w:top w:w="60" w:type="dxa"/>
              <w:start w:w="60" w:type="dxa"/>
              <w:bottom w:w="60" w:type="dxa"/>
              <w:end w:w="60" w:type="dxa"/>
            </w:tcMar>
            <w:vAlign w:val="top"/>
          </w:tcPr>
          <w:p>
            <w:r/>
            <w:r>
              <w:rPr>
                <w:rFonts w:ascii="Aptos" w:hAnsi="Aptos"/>
                <w:sz w:val="15"/>
              </w:rPr>
              <w:t>title_raw</w:t>
            </w:r>
          </w:p>
        </w:tc>
        <w:tc>
          <w:tcPr>
            <w:tcW w:type="dxa" w:w="6180"/>
            <w:tcMar>
              <w:top w:w="60" w:type="dxa"/>
              <w:start w:w="60" w:type="dxa"/>
              <w:bottom w:w="60" w:type="dxa"/>
              <w:end w:w="60" w:type="dxa"/>
            </w:tcMar>
            <w:vAlign w:val="top"/>
          </w:tcPr>
          <w:p>
            <w:r/>
            <w:r>
              <w:rPr>
                <w:rFonts w:ascii="Aptos" w:hAnsi="Aptos"/>
                <w:sz w:val="15"/>
              </w:rPr>
              <w:t>Titre exact</w:t>
            </w:r>
          </w:p>
        </w:tc>
      </w:tr>
      <w:tr>
        <w:tc>
          <w:tcPr>
            <w:tcW w:type="dxa" w:w="3118"/>
            <w:tcMar>
              <w:top w:w="60" w:type="dxa"/>
              <w:start w:w="60" w:type="dxa"/>
              <w:bottom w:w="60" w:type="dxa"/>
              <w:end w:w="60" w:type="dxa"/>
            </w:tcMar>
            <w:vAlign w:val="top"/>
          </w:tcPr>
          <w:p>
            <w:r/>
            <w:r>
              <w:rPr>
                <w:rFonts w:ascii="Aptos" w:hAnsi="Aptos"/>
                <w:sz w:val="15"/>
              </w:rPr>
              <w:t>language</w:t>
            </w:r>
          </w:p>
        </w:tc>
        <w:tc>
          <w:tcPr>
            <w:tcW w:type="dxa" w:w="6180"/>
            <w:tcMar>
              <w:top w:w="60" w:type="dxa"/>
              <w:start w:w="60" w:type="dxa"/>
              <w:bottom w:w="60" w:type="dxa"/>
              <w:end w:w="60" w:type="dxa"/>
            </w:tcMar>
            <w:vAlign w:val="top"/>
          </w:tcPr>
          <w:p>
            <w:r/>
            <w:r>
              <w:rPr>
                <w:rFonts w:ascii="Aptos" w:hAnsi="Aptos"/>
                <w:sz w:val="15"/>
              </w:rPr>
              <w:t>Langue</w:t>
            </w:r>
          </w:p>
        </w:tc>
      </w:tr>
      <w:tr>
        <w:tc>
          <w:tcPr>
            <w:tcW w:type="dxa" w:w="3118"/>
            <w:tcMar>
              <w:top w:w="60" w:type="dxa"/>
              <w:start w:w="60" w:type="dxa"/>
              <w:bottom w:w="60" w:type="dxa"/>
              <w:end w:w="60" w:type="dxa"/>
            </w:tcMar>
            <w:vAlign w:val="top"/>
          </w:tcPr>
          <w:p>
            <w:r/>
            <w:r>
              <w:rPr>
                <w:rFonts w:ascii="Aptos" w:hAnsi="Aptos"/>
                <w:sz w:val="15"/>
              </w:rPr>
              <w:t>pages</w:t>
            </w:r>
          </w:p>
        </w:tc>
        <w:tc>
          <w:tcPr>
            <w:tcW w:type="dxa" w:w="6180"/>
            <w:tcMar>
              <w:top w:w="60" w:type="dxa"/>
              <w:start w:w="60" w:type="dxa"/>
              <w:bottom w:w="60" w:type="dxa"/>
              <w:end w:w="60" w:type="dxa"/>
            </w:tcMar>
            <w:vAlign w:val="top"/>
          </w:tcPr>
          <w:p>
            <w:r/>
            <w:r>
              <w:rPr>
                <w:rFonts w:ascii="Aptos" w:hAnsi="Aptos"/>
                <w:sz w:val="15"/>
              </w:rPr>
              <w:t>Nombre de pages</w:t>
            </w:r>
          </w:p>
        </w:tc>
      </w:tr>
      <w:tr>
        <w:tc>
          <w:tcPr>
            <w:tcW w:type="dxa" w:w="3118"/>
            <w:tcMar>
              <w:top w:w="60" w:type="dxa"/>
              <w:start w:w="60" w:type="dxa"/>
              <w:bottom w:w="60" w:type="dxa"/>
              <w:end w:w="60" w:type="dxa"/>
            </w:tcMar>
            <w:vAlign w:val="top"/>
          </w:tcPr>
          <w:p>
            <w:r/>
            <w:r>
              <w:rPr>
                <w:rFonts w:ascii="Aptos" w:hAnsi="Aptos"/>
                <w:sz w:val="15"/>
              </w:rPr>
              <w:t>text_extraction_status</w:t>
            </w:r>
          </w:p>
        </w:tc>
        <w:tc>
          <w:tcPr>
            <w:tcW w:type="dxa" w:w="6180"/>
            <w:tcMar>
              <w:top w:w="60" w:type="dxa"/>
              <w:start w:w="60" w:type="dxa"/>
              <w:bottom w:w="60" w:type="dxa"/>
              <w:end w:w="60" w:type="dxa"/>
            </w:tcMar>
            <w:vAlign w:val="top"/>
          </w:tcPr>
          <w:p>
            <w:r/>
            <w:r>
              <w:rPr>
                <w:rFonts w:ascii="Aptos" w:hAnsi="Aptos"/>
                <w:sz w:val="15"/>
              </w:rPr>
              <w:t>Native, OCR, partielle, échec</w:t>
            </w:r>
          </w:p>
        </w:tc>
      </w:tr>
      <w:tr>
        <w:tc>
          <w:tcPr>
            <w:tcW w:type="dxa" w:w="3118"/>
            <w:tcMar>
              <w:top w:w="60" w:type="dxa"/>
              <w:start w:w="60" w:type="dxa"/>
              <w:bottom w:w="60" w:type="dxa"/>
              <w:end w:w="60" w:type="dxa"/>
            </w:tcMar>
            <w:vAlign w:val="top"/>
          </w:tcPr>
          <w:p>
            <w:r/>
            <w:r>
              <w:rPr>
                <w:rFonts w:ascii="Aptos" w:hAnsi="Aptos"/>
                <w:sz w:val="15"/>
              </w:rPr>
              <w:t>sha256</w:t>
            </w:r>
          </w:p>
        </w:tc>
        <w:tc>
          <w:tcPr>
            <w:tcW w:type="dxa" w:w="6180"/>
            <w:tcMar>
              <w:top w:w="60" w:type="dxa"/>
              <w:start w:w="60" w:type="dxa"/>
              <w:bottom w:w="60" w:type="dxa"/>
              <w:end w:w="60" w:type="dxa"/>
            </w:tcMar>
            <w:vAlign w:val="top"/>
          </w:tcPr>
          <w:p>
            <w:r/>
            <w:r>
              <w:rPr>
                <w:rFonts w:ascii="Aptos" w:hAnsi="Aptos"/>
                <w:sz w:val="15"/>
              </w:rPr>
              <w:t>Empreinte</w:t>
            </w:r>
          </w:p>
        </w:tc>
      </w:tr>
      <w:tr>
        <w:tc>
          <w:tcPr>
            <w:tcW w:type="dxa" w:w="3118"/>
            <w:tcMar>
              <w:top w:w="60" w:type="dxa"/>
              <w:start w:w="60" w:type="dxa"/>
              <w:bottom w:w="60" w:type="dxa"/>
              <w:end w:w="60" w:type="dxa"/>
            </w:tcMar>
            <w:vAlign w:val="top"/>
          </w:tcPr>
          <w:p>
            <w:r/>
            <w:r>
              <w:rPr>
                <w:rFonts w:ascii="Aptos" w:hAnsi="Aptos"/>
                <w:sz w:val="15"/>
              </w:rPr>
              <w:t>source_authority</w:t>
            </w:r>
          </w:p>
        </w:tc>
        <w:tc>
          <w:tcPr>
            <w:tcW w:type="dxa" w:w="6180"/>
            <w:tcMar>
              <w:top w:w="60" w:type="dxa"/>
              <w:start w:w="60" w:type="dxa"/>
              <w:bottom w:w="60" w:type="dxa"/>
              <w:end w:w="60" w:type="dxa"/>
            </w:tcMar>
            <w:vAlign w:val="top"/>
          </w:tcPr>
          <w:p>
            <w:r/>
            <w:r>
              <w:rPr>
                <w:rFonts w:ascii="Aptos" w:hAnsi="Aptos"/>
                <w:sz w:val="15"/>
              </w:rPr>
              <w:t>A à F</w:t>
            </w:r>
          </w:p>
        </w:tc>
      </w:tr>
      <w:tr>
        <w:tc>
          <w:tcPr>
            <w:tcW w:type="dxa" w:w="3118"/>
            <w:tcMar>
              <w:top w:w="60" w:type="dxa"/>
              <w:start w:w="60" w:type="dxa"/>
              <w:bottom w:w="60" w:type="dxa"/>
              <w:end w:w="60" w:type="dxa"/>
            </w:tcMar>
            <w:vAlign w:val="top"/>
          </w:tcPr>
          <w:p>
            <w:r/>
            <w:r>
              <w:rPr>
                <w:rFonts w:ascii="Aptos" w:hAnsi="Aptos"/>
                <w:sz w:val="15"/>
              </w:rPr>
              <w:t>url</w:t>
            </w:r>
          </w:p>
        </w:tc>
        <w:tc>
          <w:tcPr>
            <w:tcW w:type="dxa" w:w="6180"/>
            <w:tcMar>
              <w:top w:w="60" w:type="dxa"/>
              <w:start w:w="60" w:type="dxa"/>
              <w:bottom w:w="60" w:type="dxa"/>
              <w:end w:w="60" w:type="dxa"/>
            </w:tcMar>
            <w:vAlign w:val="top"/>
          </w:tcPr>
          <w:p>
            <w:r/>
            <w:r>
              <w:rPr>
                <w:rFonts w:ascii="Aptos" w:hAnsi="Aptos"/>
                <w:sz w:val="15"/>
              </w:rPr>
              <w:t>URL officielle ou archive</w:t>
            </w:r>
          </w:p>
        </w:tc>
      </w:tr>
      <w:tr>
        <w:tc>
          <w:tcPr>
            <w:tcW w:type="dxa" w:w="3118"/>
            <w:tcMar>
              <w:top w:w="60" w:type="dxa"/>
              <w:start w:w="60" w:type="dxa"/>
              <w:bottom w:w="60" w:type="dxa"/>
              <w:end w:w="60" w:type="dxa"/>
            </w:tcMar>
            <w:vAlign w:val="top"/>
          </w:tcPr>
          <w:p>
            <w:r/>
            <w:r>
              <w:rPr>
                <w:rFonts w:ascii="Aptos" w:hAnsi="Aptos"/>
                <w:sz w:val="15"/>
              </w:rPr>
              <w:t>wayback_url</w:t>
            </w:r>
          </w:p>
        </w:tc>
        <w:tc>
          <w:tcPr>
            <w:tcW w:type="dxa" w:w="6180"/>
            <w:tcMar>
              <w:top w:w="60" w:type="dxa"/>
              <w:start w:w="60" w:type="dxa"/>
              <w:bottom w:w="60" w:type="dxa"/>
              <w:end w:w="60" w:type="dxa"/>
            </w:tcMar>
            <w:vAlign w:val="top"/>
          </w:tcPr>
          <w:p>
            <w:r/>
            <w:r>
              <w:rPr>
                <w:rFonts w:ascii="Aptos" w:hAnsi="Aptos"/>
                <w:sz w:val="15"/>
              </w:rPr>
              <w:t>Capture historique éventuelle</w:t>
            </w:r>
          </w:p>
        </w:tc>
      </w:tr>
    </w:tbl>
    <w:p>
      <w:pPr>
        <w:widowControl/>
        <w:spacing w:after="0"/>
      </w:pPr>
    </w:p>
    <w:p>
      <w:pPr>
        <w:widowControl/>
      </w:pPr>
      <w:r>
        <w:br w:type="page"/>
      </w:r>
    </w:p>
    <w:p>
      <w:pPr>
        <w:widowControl/>
        <w:jc w:val="center"/>
      </w:pPr>
      <w:r>
        <w:rPr>
          <w:rFonts w:ascii="Aptos Display" w:hAnsi="Aptos Display"/>
          <w:b/>
          <w:color w:val="123E5E"/>
          <w:sz w:val="44"/>
        </w:rPr>
        <w:t>PARTIE V — COMPRÉHENSION DES CLASSEURS SEC NIGERIA</w:t>
      </w:r>
    </w:p>
    <w:p>
      <w:pPr>
        <w:widowControl/>
        <w:jc w:val="center"/>
      </w:pPr>
      <w:r>
        <w:rPr>
          <w:rFonts w:ascii="Aptos" w:hAnsi="Aptos"/>
          <w:i/>
          <w:color w:val="505050"/>
          <w:sz w:val="22"/>
        </w:rPr>
        <w:t>Détection dynamique des feuilles, dates et mesures</w:t>
      </w:r>
    </w:p>
    <w:p>
      <w:pPr>
        <w:widowControl/>
      </w:pPr>
    </w:p>
    <w:p>
      <w:pPr>
        <w:pStyle w:val="Heading1"/>
        <w:widowControl/>
      </w:pPr>
      <w:r>
        <w:t>5. Principe : le fichier est un conteneur</w:t>
      </w:r>
    </w:p>
    <w:p>
      <w:pPr>
        <w:widowControl/>
      </w:pPr>
      <w:r>
        <w:rPr>
          <w:rFonts w:ascii="Aptos" w:hAnsi="Aptos"/>
          <w:sz w:val="19"/>
        </w:rPr>
        <w:t>La méthode ne doit jamais dépendre uniquement du nom de fichier, de l'année ou du nom de la feuille. La vraie famille de structure résulte des en-têtes, dates, cellules fusionnées, mesures répétées, catégories, totaux et coordonnées réelles.</w:t>
      </w:r>
    </w:p>
    <w:tbl>
      <w:tblPr>
        <w:tblW w:type="auto" w:w="0"/>
        <w:jc w:val="center"/>
        <w:tblLayout w:type="autofit"/>
        <w:tblLook w:firstColumn="1" w:firstRow="1" w:lastColumn="0" w:lastRow="0" w:noHBand="0" w:noVBand="1" w:val="04A0"/>
      </w:tblPr>
      <w:tblGrid>
        <w:gridCol w:w="10200"/>
      </w:tblGrid>
      <w:tr>
        <w:tc>
          <w:tcPr>
            <w:tcW w:type="dxa" w:w="10200"/>
            <w:shd w:fill="FFF2CC"/>
            <w:tcMar>
              <w:top w:w="140" w:type="dxa"/>
              <w:start w:w="150" w:type="dxa"/>
              <w:bottom w:w="140" w:type="dxa"/>
              <w:end w:w="150" w:type="dxa"/>
            </w:tcMar>
          </w:tcPr>
          <w:p>
            <w:r>
              <w:rPr>
                <w:rFonts w:ascii="Aptos" w:hAnsi="Aptos"/>
                <w:b/>
                <w:color w:val="123E5E"/>
                <w:sz w:val="18"/>
              </w:rPr>
              <w:t xml:space="preserve">Avertissement — </w:t>
            </w:r>
            <w:r>
              <w:rPr>
                <w:rFonts w:ascii="Aptos" w:hAnsi="Aptos"/>
                <w:sz w:val="18"/>
              </w:rPr>
              <w:t>Une feuille appelée Data peut être horizontale. Une feuille appelée Sheet1 peut contenir la donnée principale. Weekly Valuation change avec le temps. Volatility Measure mélange dates et variations.</w:t>
            </w:r>
          </w:p>
        </w:tc>
      </w:tr>
    </w:tbl>
    <w:p>
      <w:pPr>
        <w:widowControl/>
        <w:spacing w:after="0"/>
      </w:pPr>
    </w:p>
    <w:p>
      <w:pPr>
        <w:pStyle w:val="Heading2"/>
        <w:widowControl/>
      </w:pPr>
      <w:r>
        <w:t>5.1 Signaux de classification</w:t>
      </w:r>
    </w:p>
    <w:p>
      <w:pPr>
        <w:pStyle w:val="ListBullet"/>
        <w:widowControl/>
        <w:ind w:left="397" w:hanging="142"/>
      </w:pPr>
      <w:r>
        <w:rPr>
          <w:rFonts w:ascii="Aptos" w:hAnsi="Aptos"/>
          <w:sz w:val="18"/>
        </w:rPr>
        <w:t>Nom de feuille normalisé et nom brut.</w:t>
      </w:r>
    </w:p>
    <w:p>
      <w:pPr>
        <w:pStyle w:val="ListBullet"/>
        <w:widowControl/>
        <w:ind w:left="397" w:hanging="142"/>
      </w:pPr>
      <w:r>
        <w:rPr>
          <w:rFonts w:ascii="Aptos" w:hAnsi="Aptos"/>
          <w:sz w:val="18"/>
        </w:rPr>
        <w:t>Dimensions de la zone utilisée et lignes/colonnes non vides.</w:t>
      </w:r>
    </w:p>
    <w:p>
      <w:pPr>
        <w:pStyle w:val="ListBullet"/>
        <w:widowControl/>
        <w:ind w:left="397" w:hanging="142"/>
      </w:pPr>
      <w:r>
        <w:rPr>
          <w:rFonts w:ascii="Aptos" w:hAnsi="Aptos"/>
          <w:sz w:val="18"/>
        </w:rPr>
        <w:t>Cellules fusionnées et valeurs des trois à dix premières lignes.</w:t>
      </w:r>
    </w:p>
    <w:p>
      <w:pPr>
        <w:pStyle w:val="ListBullet"/>
        <w:widowControl/>
        <w:ind w:left="397" w:hanging="142"/>
      </w:pPr>
      <w:r>
        <w:rPr>
          <w:rFonts w:ascii="Aptos" w:hAnsi="Aptos"/>
          <w:sz w:val="18"/>
        </w:rPr>
        <w:t>Détection de motifs de dates et de libellés « as at », « week ended » ou équivalents.</w:t>
      </w:r>
    </w:p>
    <w:p>
      <w:pPr>
        <w:pStyle w:val="ListBullet"/>
        <w:widowControl/>
        <w:ind w:left="397" w:hanging="142"/>
      </w:pPr>
      <w:r>
        <w:rPr>
          <w:rFonts w:ascii="Aptos" w:hAnsi="Aptos"/>
          <w:sz w:val="18"/>
        </w:rPr>
        <w:t>Sous-en-têtes : NAV, Unit Price, Bid Price, Offer Price, Yield, Unitholders, % Change.</w:t>
      </w:r>
    </w:p>
    <w:p>
      <w:pPr>
        <w:pStyle w:val="ListBullet"/>
        <w:widowControl/>
        <w:ind w:left="397" w:hanging="142"/>
      </w:pPr>
      <w:r>
        <w:rPr>
          <w:rFonts w:ascii="Aptos" w:hAnsi="Aptos"/>
          <w:sz w:val="18"/>
        </w:rPr>
        <w:t>Répétition horizontale de groupes de mesures.</w:t>
      </w:r>
    </w:p>
    <w:p>
      <w:pPr>
        <w:pStyle w:val="ListBullet"/>
        <w:widowControl/>
        <w:ind w:left="397" w:hanging="142"/>
      </w:pPr>
      <w:r>
        <w:rPr>
          <w:rFonts w:ascii="Aptos" w:hAnsi="Aptos"/>
          <w:sz w:val="18"/>
        </w:rPr>
        <w:t>Présence de catégories, subtotal, total, grand total.</w:t>
      </w:r>
    </w:p>
    <w:p>
      <w:pPr>
        <w:pStyle w:val="ListBullet"/>
        <w:widowControl/>
        <w:ind w:left="397" w:hanging="142"/>
      </w:pPr>
      <w:r>
        <w:rPr>
          <w:rFonts w:ascii="Aptos" w:hAnsi="Aptos"/>
          <w:sz w:val="18"/>
        </w:rPr>
        <w:t>Présence de formules, graphiques ou tableaux croisés.</w:t>
      </w:r>
    </w:p>
    <w:p>
      <w:pPr>
        <w:pStyle w:val="ListBullet"/>
        <w:widowControl/>
        <w:ind w:left="397" w:hanging="142"/>
      </w:pPr>
      <w:r>
        <w:rPr>
          <w:rFonts w:ascii="Aptos" w:hAnsi="Aptos"/>
          <w:sz w:val="18"/>
        </w:rPr>
        <w:t>Position des colonnes Fund Name et Fund Manager.</w:t>
      </w:r>
    </w:p>
    <w:p>
      <w:pPr>
        <w:pStyle w:val="ListBullet"/>
        <w:widowControl/>
        <w:ind w:left="397" w:hanging="142"/>
      </w:pPr>
      <w:r>
        <w:rPr>
          <w:rFonts w:ascii="Aptos" w:hAnsi="Aptos"/>
          <w:sz w:val="18"/>
        </w:rPr>
        <w:t>Taux de cellules numériques et de chaînes.</w:t>
      </w:r>
    </w:p>
    <w:p>
      <w:pPr>
        <w:pStyle w:val="Heading2"/>
        <w:widowControl/>
      </w:pPr>
      <w:r>
        <w:t>5.2 Familles observées</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2098"/>
            <w:shd w:fill="D9EAF2"/>
            <w:tcMar>
              <w:top w:w="70" w:type="dxa"/>
              <w:start w:w="70" w:type="dxa"/>
              <w:bottom w:w="70" w:type="dxa"/>
              <w:end w:w="70" w:type="dxa"/>
            </w:tcMar>
            <w:vAlign w:val="center"/>
          </w:tcPr>
          <w:p>
            <w:r/>
            <w:r>
              <w:rPr>
                <w:rFonts w:ascii="Aptos" w:hAnsi="Aptos"/>
                <w:b/>
                <w:color w:val="123E5E"/>
                <w:sz w:val="14"/>
              </w:rPr>
              <w:t>Famille</w:t>
            </w:r>
          </w:p>
        </w:tc>
        <w:tc>
          <w:tcPr>
            <w:tcW w:type="dxa" w:w="1814"/>
            <w:shd w:fill="D9EAF2"/>
            <w:tcMar>
              <w:top w:w="70" w:type="dxa"/>
              <w:start w:w="70" w:type="dxa"/>
              <w:bottom w:w="70" w:type="dxa"/>
              <w:end w:w="70" w:type="dxa"/>
            </w:tcMar>
            <w:vAlign w:val="center"/>
          </w:tcPr>
          <w:p>
            <w:r/>
            <w:r>
              <w:rPr>
                <w:rFonts w:ascii="Aptos" w:hAnsi="Aptos"/>
                <w:b/>
                <w:color w:val="123E5E"/>
                <w:sz w:val="14"/>
              </w:rPr>
              <w:t>Période indicative</w:t>
            </w:r>
          </w:p>
        </w:tc>
        <w:tc>
          <w:tcPr>
            <w:tcW w:type="dxa" w:w="2948"/>
            <w:shd w:fill="D9EAF2"/>
            <w:tcMar>
              <w:top w:w="70" w:type="dxa"/>
              <w:start w:w="70" w:type="dxa"/>
              <w:bottom w:w="70" w:type="dxa"/>
              <w:end w:w="70" w:type="dxa"/>
            </w:tcMar>
            <w:vAlign w:val="center"/>
          </w:tcPr>
          <w:p>
            <w:r/>
            <w:r>
              <w:rPr>
                <w:rFonts w:ascii="Aptos" w:hAnsi="Aptos"/>
                <w:b/>
                <w:color w:val="123E5E"/>
                <w:sz w:val="14"/>
              </w:rPr>
              <w:t>Structure</w:t>
            </w:r>
          </w:p>
        </w:tc>
        <w:tc>
          <w:tcPr>
            <w:tcW w:type="dxa" w:w="2948"/>
            <w:shd w:fill="D9EAF2"/>
            <w:tcMar>
              <w:top w:w="70" w:type="dxa"/>
              <w:start w:w="70" w:type="dxa"/>
              <w:bottom w:w="70" w:type="dxa"/>
              <w:end w:w="70" w:type="dxa"/>
            </w:tcMar>
            <w:vAlign w:val="center"/>
          </w:tcPr>
          <w:p>
            <w:r/>
            <w:r>
              <w:rPr>
                <w:rFonts w:ascii="Aptos" w:hAnsi="Aptos"/>
                <w:b/>
                <w:color w:val="123E5E"/>
                <w:sz w:val="14"/>
              </w:rPr>
              <w:t>Règle</w:t>
            </w:r>
          </w:p>
        </w:tc>
      </w:tr>
      <w:tr>
        <w:tc>
          <w:tcPr>
            <w:tcW w:type="dxa" w:w="2098"/>
            <w:tcMar>
              <w:top w:w="60" w:type="dxa"/>
              <w:start w:w="60" w:type="dxa"/>
              <w:bottom w:w="60" w:type="dxa"/>
              <w:end w:w="60" w:type="dxa"/>
            </w:tcMar>
            <w:vAlign w:val="top"/>
          </w:tcPr>
          <w:p>
            <w:r/>
            <w:r>
              <w:rPr>
                <w:rFonts w:ascii="Aptos" w:hAnsi="Aptos"/>
                <w:sz w:val="14"/>
              </w:rPr>
              <w:t>Sheet1 — anciens fichiers</w:t>
            </w:r>
          </w:p>
        </w:tc>
        <w:tc>
          <w:tcPr>
            <w:tcW w:type="dxa" w:w="1814"/>
            <w:tcMar>
              <w:top w:w="60" w:type="dxa"/>
              <w:start w:w="60" w:type="dxa"/>
              <w:bottom w:w="60" w:type="dxa"/>
              <w:end w:w="60" w:type="dxa"/>
            </w:tcMar>
            <w:vAlign w:val="top"/>
          </w:tcPr>
          <w:p>
            <w:r/>
            <w:r>
              <w:rPr>
                <w:rFonts w:ascii="Aptos" w:hAnsi="Aptos"/>
                <w:sz w:val="14"/>
              </w:rPr>
              <w:t>2011–2014 environ, mais non exclusif</w:t>
            </w:r>
          </w:p>
        </w:tc>
        <w:tc>
          <w:tcPr>
            <w:tcW w:type="dxa" w:w="2948"/>
            <w:tcMar>
              <w:top w:w="60" w:type="dxa"/>
              <w:start w:w="60" w:type="dxa"/>
              <w:bottom w:w="60" w:type="dxa"/>
              <w:end w:w="60" w:type="dxa"/>
            </w:tcMar>
            <w:vAlign w:val="top"/>
          </w:tcPr>
          <w:p>
            <w:r/>
            <w:r>
              <w:rPr>
                <w:rFonts w:ascii="Aptos" w:hAnsi="Aptos"/>
                <w:sz w:val="14"/>
              </w:rPr>
              <w:t>Une ou deux dates ; NAV et Unit Price ; colonnes supplémentaires possibles.</w:t>
            </w:r>
          </w:p>
        </w:tc>
        <w:tc>
          <w:tcPr>
            <w:tcW w:type="dxa" w:w="2948"/>
            <w:tcMar>
              <w:top w:w="60" w:type="dxa"/>
              <w:start w:w="60" w:type="dxa"/>
              <w:bottom w:w="60" w:type="dxa"/>
              <w:end w:w="60" w:type="dxa"/>
            </w:tcMar>
            <w:vAlign w:val="top"/>
          </w:tcPr>
          <w:p>
            <w:r/>
            <w:r>
              <w:rPr>
                <w:rFonts w:ascii="Aptos" w:hAnsi="Aptos"/>
                <w:sz w:val="14"/>
              </w:rPr>
              <w:t>Détecter les dates internes et associer chaque sous-en-tête à son bloc.</w:t>
            </w:r>
          </w:p>
        </w:tc>
      </w:tr>
      <w:tr>
        <w:tc>
          <w:tcPr>
            <w:tcW w:type="dxa" w:w="2098"/>
            <w:tcMar>
              <w:top w:w="60" w:type="dxa"/>
              <w:start w:w="60" w:type="dxa"/>
              <w:bottom w:w="60" w:type="dxa"/>
              <w:end w:w="60" w:type="dxa"/>
            </w:tcMar>
            <w:vAlign w:val="top"/>
          </w:tcPr>
          <w:p>
            <w:r/>
            <w:r>
              <w:rPr>
                <w:rFonts w:ascii="Aptos" w:hAnsi="Aptos"/>
                <w:sz w:val="14"/>
              </w:rPr>
              <w:t>Data</w:t>
            </w:r>
          </w:p>
        </w:tc>
        <w:tc>
          <w:tcPr>
            <w:tcW w:type="dxa" w:w="1814"/>
            <w:tcMar>
              <w:top w:w="60" w:type="dxa"/>
              <w:start w:w="60" w:type="dxa"/>
              <w:bottom w:w="60" w:type="dxa"/>
              <w:end w:w="60" w:type="dxa"/>
            </w:tcMar>
            <w:vAlign w:val="top"/>
          </w:tcPr>
          <w:p>
            <w:r/>
            <w:r>
              <w:rPr>
                <w:rFonts w:ascii="Aptos" w:hAnsi="Aptos"/>
                <w:sz w:val="14"/>
              </w:rPr>
              <w:t>2015–2022 principalement</w:t>
            </w:r>
          </w:p>
        </w:tc>
        <w:tc>
          <w:tcPr>
            <w:tcW w:type="dxa" w:w="2948"/>
            <w:tcMar>
              <w:top w:w="60" w:type="dxa"/>
              <w:start w:w="60" w:type="dxa"/>
              <w:bottom w:w="60" w:type="dxa"/>
              <w:end w:w="60" w:type="dxa"/>
            </w:tcMar>
            <w:vAlign w:val="top"/>
          </w:tcPr>
          <w:p>
            <w:r/>
            <w:r>
              <w:rPr>
                <w:rFonts w:ascii="Aptos" w:hAnsi="Aptos"/>
                <w:sz w:val="14"/>
              </w:rPr>
              <w:t>Deux semaines horizontales, parfois Unit Price puis Bid/Offer ; variations.</w:t>
            </w:r>
          </w:p>
        </w:tc>
        <w:tc>
          <w:tcPr>
            <w:tcW w:type="dxa" w:w="2948"/>
            <w:tcMar>
              <w:top w:w="60" w:type="dxa"/>
              <w:start w:w="60" w:type="dxa"/>
              <w:bottom w:w="60" w:type="dxa"/>
              <w:end w:w="60" w:type="dxa"/>
            </w:tcMar>
            <w:vAlign w:val="top"/>
          </w:tcPr>
          <w:p>
            <w:r/>
            <w:r>
              <w:rPr>
                <w:rFonts w:ascii="Aptos" w:hAnsi="Aptos"/>
                <w:sz w:val="14"/>
              </w:rPr>
              <w:t>Ne jamais lire verticalement sans preuve.</w:t>
            </w:r>
          </w:p>
        </w:tc>
      </w:tr>
      <w:tr>
        <w:tc>
          <w:tcPr>
            <w:tcW w:type="dxa" w:w="2098"/>
            <w:tcMar>
              <w:top w:w="60" w:type="dxa"/>
              <w:start w:w="60" w:type="dxa"/>
              <w:bottom w:w="60" w:type="dxa"/>
              <w:end w:w="60" w:type="dxa"/>
            </w:tcMar>
            <w:vAlign w:val="top"/>
          </w:tcPr>
          <w:p>
            <w:r/>
            <w:r>
              <w:rPr>
                <w:rFonts w:ascii="Aptos" w:hAnsi="Aptos"/>
                <w:sz w:val="14"/>
              </w:rPr>
              <w:t>Weekly Valuation</w:t>
            </w:r>
          </w:p>
        </w:tc>
        <w:tc>
          <w:tcPr>
            <w:tcW w:type="dxa" w:w="1814"/>
            <w:tcMar>
              <w:top w:w="60" w:type="dxa"/>
              <w:start w:w="60" w:type="dxa"/>
              <w:bottom w:w="60" w:type="dxa"/>
              <w:end w:w="60" w:type="dxa"/>
            </w:tcMar>
            <w:vAlign w:val="top"/>
          </w:tcPr>
          <w:p>
            <w:r/>
            <w:r>
              <w:rPr>
                <w:rFonts w:ascii="Aptos" w:hAnsi="Aptos"/>
                <w:sz w:val="14"/>
              </w:rPr>
              <w:t>2023–2026 principalement</w:t>
            </w:r>
          </w:p>
        </w:tc>
        <w:tc>
          <w:tcPr>
            <w:tcW w:type="dxa" w:w="2948"/>
            <w:tcMar>
              <w:top w:w="60" w:type="dxa"/>
              <w:start w:w="60" w:type="dxa"/>
              <w:bottom w:w="60" w:type="dxa"/>
              <w:end w:w="60" w:type="dxa"/>
            </w:tcMar>
            <w:vAlign w:val="top"/>
          </w:tcPr>
          <w:p>
            <w:r/>
            <w:r>
              <w:rPr>
                <w:rFonts w:ascii="Aptos" w:hAnsi="Aptos"/>
                <w:sz w:val="14"/>
              </w:rPr>
              <w:t>Semaine précédente et courante ; NAV, Bid, Offer, porteurs, rendements, NGN/USD.</w:t>
            </w:r>
          </w:p>
        </w:tc>
        <w:tc>
          <w:tcPr>
            <w:tcW w:type="dxa" w:w="2948"/>
            <w:tcMar>
              <w:top w:w="60" w:type="dxa"/>
              <w:start w:w="60" w:type="dxa"/>
              <w:bottom w:w="60" w:type="dxa"/>
              <w:end w:w="60" w:type="dxa"/>
            </w:tcMar>
            <w:vAlign w:val="top"/>
          </w:tcPr>
          <w:p>
            <w:r/>
            <w:r>
              <w:rPr>
                <w:rFonts w:ascii="Aptos" w:hAnsi="Aptos"/>
                <w:sz w:val="14"/>
              </w:rPr>
              <w:t>Cartographier les blocs par en-têtes, pas par pas fixe.</w:t>
            </w:r>
          </w:p>
        </w:tc>
      </w:tr>
      <w:tr>
        <w:tc>
          <w:tcPr>
            <w:tcW w:type="dxa" w:w="2098"/>
            <w:tcMar>
              <w:top w:w="60" w:type="dxa"/>
              <w:start w:w="60" w:type="dxa"/>
              <w:bottom w:w="60" w:type="dxa"/>
              <w:end w:w="60" w:type="dxa"/>
            </w:tcMar>
            <w:vAlign w:val="top"/>
          </w:tcPr>
          <w:p>
            <w:r/>
            <w:r>
              <w:rPr>
                <w:rFonts w:ascii="Aptos" w:hAnsi="Aptos"/>
                <w:sz w:val="14"/>
              </w:rPr>
              <w:t>Volatility Measure</w:t>
            </w:r>
          </w:p>
        </w:tc>
        <w:tc>
          <w:tcPr>
            <w:tcW w:type="dxa" w:w="1814"/>
            <w:tcMar>
              <w:top w:w="60" w:type="dxa"/>
              <w:start w:w="60" w:type="dxa"/>
              <w:bottom w:w="60" w:type="dxa"/>
              <w:end w:w="60" w:type="dxa"/>
            </w:tcMar>
            <w:vAlign w:val="top"/>
          </w:tcPr>
          <w:p>
            <w:r/>
            <w:r>
              <w:rPr>
                <w:rFonts w:ascii="Aptos" w:hAnsi="Aptos"/>
                <w:sz w:val="14"/>
              </w:rPr>
              <w:t>Plusieurs périodes</w:t>
            </w:r>
          </w:p>
        </w:tc>
        <w:tc>
          <w:tcPr>
            <w:tcW w:type="dxa" w:w="2948"/>
            <w:tcMar>
              <w:top w:w="60" w:type="dxa"/>
              <w:start w:w="60" w:type="dxa"/>
              <w:bottom w:w="60" w:type="dxa"/>
              <w:end w:w="60" w:type="dxa"/>
            </w:tcMar>
            <w:vAlign w:val="top"/>
          </w:tcPr>
          <w:p>
            <w:r/>
            <w:r>
              <w:rPr>
                <w:rFonts w:ascii="Aptos" w:hAnsi="Aptos"/>
                <w:sz w:val="14"/>
              </w:rPr>
              <w:t>Environ huit semaines, vraies mesures entrecoupées de variations.</w:t>
            </w:r>
          </w:p>
        </w:tc>
        <w:tc>
          <w:tcPr>
            <w:tcW w:type="dxa" w:w="2948"/>
            <w:tcMar>
              <w:top w:w="60" w:type="dxa"/>
              <w:start w:w="60" w:type="dxa"/>
              <w:bottom w:w="60" w:type="dxa"/>
              <w:end w:w="60" w:type="dxa"/>
            </w:tcMar>
            <w:vAlign w:val="top"/>
          </w:tcPr>
          <w:p>
            <w:r/>
            <w:r>
              <w:rPr>
                <w:rFonts w:ascii="Aptos" w:hAnsi="Aptos"/>
                <w:sz w:val="14"/>
              </w:rPr>
              <w:t>Source secondaire / contrôle ; exclure % Change des mesures absolues.</w:t>
            </w:r>
          </w:p>
        </w:tc>
      </w:tr>
      <w:tr>
        <w:tc>
          <w:tcPr>
            <w:tcW w:type="dxa" w:w="2098"/>
            <w:tcMar>
              <w:top w:w="60" w:type="dxa"/>
              <w:start w:w="60" w:type="dxa"/>
              <w:bottom w:w="60" w:type="dxa"/>
              <w:end w:w="60" w:type="dxa"/>
            </w:tcMar>
            <w:vAlign w:val="top"/>
          </w:tcPr>
          <w:p>
            <w:r/>
            <w:r>
              <w:rPr>
                <w:rFonts w:ascii="Aptos" w:hAnsi="Aptos"/>
                <w:sz w:val="14"/>
              </w:rPr>
              <w:t>NAV Comparison / Trend</w:t>
            </w:r>
          </w:p>
        </w:tc>
        <w:tc>
          <w:tcPr>
            <w:tcW w:type="dxa" w:w="1814"/>
            <w:tcMar>
              <w:top w:w="60" w:type="dxa"/>
              <w:start w:w="60" w:type="dxa"/>
              <w:bottom w:w="60" w:type="dxa"/>
              <w:end w:w="60" w:type="dxa"/>
            </w:tcMar>
            <w:vAlign w:val="top"/>
          </w:tcPr>
          <w:p>
            <w:r/>
            <w:r>
              <w:rPr>
                <w:rFonts w:ascii="Aptos" w:hAnsi="Aptos"/>
                <w:sz w:val="14"/>
              </w:rPr>
              <w:t>Dérivée</w:t>
            </w:r>
          </w:p>
        </w:tc>
        <w:tc>
          <w:tcPr>
            <w:tcW w:type="dxa" w:w="2948"/>
            <w:tcMar>
              <w:top w:w="60" w:type="dxa"/>
              <w:start w:w="60" w:type="dxa"/>
              <w:bottom w:w="60" w:type="dxa"/>
              <w:end w:w="60" w:type="dxa"/>
            </w:tcMar>
            <w:vAlign w:val="top"/>
          </w:tcPr>
          <w:p>
            <w:r/>
            <w:r>
              <w:rPr>
                <w:rFonts w:ascii="Aptos" w:hAnsi="Aptos"/>
                <w:sz w:val="14"/>
              </w:rPr>
              <w:t>Comparaisons, historiques ou formules.</w:t>
            </w:r>
          </w:p>
        </w:tc>
        <w:tc>
          <w:tcPr>
            <w:tcW w:type="dxa" w:w="2948"/>
            <w:tcMar>
              <w:top w:w="60" w:type="dxa"/>
              <w:start w:w="60" w:type="dxa"/>
              <w:bottom w:w="60" w:type="dxa"/>
              <w:end w:w="60" w:type="dxa"/>
            </w:tcMar>
            <w:vAlign w:val="top"/>
          </w:tcPr>
          <w:p>
            <w:r/>
            <w:r>
              <w:rPr>
                <w:rFonts w:ascii="Aptos" w:hAnsi="Aptos"/>
                <w:sz w:val="14"/>
              </w:rPr>
              <w:t>Contrôle seulement, pas nouvelles observations sans preuve.</w:t>
            </w:r>
          </w:p>
        </w:tc>
      </w:tr>
      <w:tr>
        <w:tc>
          <w:tcPr>
            <w:tcW w:type="dxa" w:w="2098"/>
            <w:tcMar>
              <w:top w:w="60" w:type="dxa"/>
              <w:start w:w="60" w:type="dxa"/>
              <w:bottom w:w="60" w:type="dxa"/>
              <w:end w:w="60" w:type="dxa"/>
            </w:tcMar>
            <w:vAlign w:val="top"/>
          </w:tcPr>
          <w:p>
            <w:r/>
            <w:r>
              <w:rPr>
                <w:rFonts w:ascii="Aptos" w:hAnsi="Aptos"/>
                <w:sz w:val="14"/>
              </w:rPr>
              <w:t>Market Share / Total NAV</w:t>
            </w:r>
          </w:p>
        </w:tc>
        <w:tc>
          <w:tcPr>
            <w:tcW w:type="dxa" w:w="1814"/>
            <w:tcMar>
              <w:top w:w="60" w:type="dxa"/>
              <w:start w:w="60" w:type="dxa"/>
              <w:bottom w:w="60" w:type="dxa"/>
              <w:end w:w="60" w:type="dxa"/>
            </w:tcMar>
            <w:vAlign w:val="top"/>
          </w:tcPr>
          <w:p>
            <w:r/>
            <w:r>
              <w:rPr>
                <w:rFonts w:ascii="Aptos" w:hAnsi="Aptos"/>
                <w:sz w:val="14"/>
              </w:rPr>
              <w:t>Agrégée</w:t>
            </w:r>
          </w:p>
        </w:tc>
        <w:tc>
          <w:tcPr>
            <w:tcW w:type="dxa" w:w="2948"/>
            <w:tcMar>
              <w:top w:w="60" w:type="dxa"/>
              <w:start w:w="60" w:type="dxa"/>
              <w:bottom w:w="60" w:type="dxa"/>
              <w:end w:w="60" w:type="dxa"/>
            </w:tcMar>
            <w:vAlign w:val="top"/>
          </w:tcPr>
          <w:p>
            <w:r/>
            <w:r>
              <w:rPr>
                <w:rFonts w:ascii="Aptos" w:hAnsi="Aptos"/>
                <w:sz w:val="14"/>
              </w:rPr>
              <w:t>Catégories, parts de marché, totaux.</w:t>
            </w:r>
          </w:p>
        </w:tc>
        <w:tc>
          <w:tcPr>
            <w:tcW w:type="dxa" w:w="2948"/>
            <w:tcMar>
              <w:top w:w="60" w:type="dxa"/>
              <w:start w:w="60" w:type="dxa"/>
              <w:bottom w:w="60" w:type="dxa"/>
              <w:end w:w="60" w:type="dxa"/>
            </w:tcMar>
            <w:vAlign w:val="top"/>
          </w:tcPr>
          <w:p>
            <w:r/>
            <w:r>
              <w:rPr>
                <w:rFonts w:ascii="Aptos" w:hAnsi="Aptos"/>
                <w:sz w:val="14"/>
              </w:rPr>
              <w:t>Ne jamais créer des fonds à partir d’agrégats.</w:t>
            </w:r>
          </w:p>
        </w:tc>
      </w:tr>
    </w:tbl>
    <w:p>
      <w:pPr>
        <w:widowControl/>
        <w:spacing w:after="0"/>
      </w:pPr>
    </w:p>
    <w:p>
      <w:pPr>
        <w:pStyle w:val="Heading2"/>
        <w:widowControl/>
      </w:pPr>
      <w:r>
        <w:t>5.3 Détection des blocs de dates</w:t>
      </w:r>
    </w:p>
    <w:p>
      <w:pPr>
        <w:pStyle w:val="CodeNigeria"/>
        <w:widowControl/>
        <w:shd w:fill="F4F6F7"/>
      </w:pPr>
      <w:r>
        <w:rPr>
          <w:rFonts w:ascii="Liberation Mono" w:hAnsi="Liberation Mono"/>
          <w:color w:val="1E1E1E"/>
          <w:sz w:val="15"/>
        </w:rPr>
        <w:t>for each candidate_date_cell:</w:t>
        <w:br/>
        <w:t xml:space="preserve">    span = determine_covered_columns(candidate_date_cell, merged_cells, next_date_cell)</w:t>
        <w:br/>
        <w:t xml:space="preserve">    headers = read_subheaders(span)</w:t>
        <w:br/>
        <w:t xml:space="preserve">    if headers contain absolute measures:</w:t>
        <w:br/>
        <w:t xml:space="preserve">        create date_block(date_raw, parsed_date, columns, role=current|previous|historical)</w:t>
        <w:br/>
        <w:t xml:space="preserve">    if headers only contain change/return/yield:</w:t>
        <w:br/>
        <w:t xml:space="preserve">        do not create valuation block</w:t>
      </w:r>
    </w:p>
    <w:p>
      <w:pPr>
        <w:pStyle w:val="ListBullet"/>
        <w:widowControl/>
        <w:ind w:left="397" w:hanging="142"/>
      </w:pPr>
      <w:r>
        <w:rPr>
          <w:rFonts w:ascii="Aptos" w:hAnsi="Aptos"/>
          <w:sz w:val="18"/>
        </w:rPr>
        <w:t>La date interne du bloc de la feuille principale est prioritaire.</w:t>
      </w:r>
    </w:p>
    <w:p>
      <w:pPr>
        <w:pStyle w:val="ListBullet"/>
        <w:widowControl/>
        <w:ind w:left="397" w:hanging="142"/>
      </w:pPr>
      <w:r>
        <w:rPr>
          <w:rFonts w:ascii="Aptos" w:hAnsi="Aptos"/>
          <w:sz w:val="18"/>
        </w:rPr>
        <w:t>Le nom du fichier et la date de publication servent au contrôle ou au fallback explicite.</w:t>
      </w:r>
    </w:p>
    <w:p>
      <w:pPr>
        <w:pStyle w:val="ListBullet"/>
        <w:widowControl/>
        <w:ind w:left="397" w:hanging="142"/>
      </w:pPr>
      <w:r>
        <w:rPr>
          <w:rFonts w:ascii="Aptos" w:hAnsi="Aptos"/>
          <w:sz w:val="18"/>
        </w:rPr>
        <w:t>Une colonne de variation n'est pas un troisième bloc de date.</w:t>
      </w:r>
    </w:p>
    <w:p>
      <w:pPr>
        <w:pStyle w:val="ListBullet"/>
        <w:widowControl/>
        <w:ind w:left="397" w:hanging="142"/>
      </w:pPr>
      <w:r>
        <w:rPr>
          <w:rFonts w:ascii="Aptos" w:hAnsi="Aptos"/>
          <w:sz w:val="18"/>
        </w:rPr>
        <w:t>Une même date peut apparaître comme current dans un fichier et previous dans le suivant.</w:t>
      </w:r>
    </w:p>
    <w:p>
      <w:pPr>
        <w:pStyle w:val="ListBullet"/>
        <w:widowControl/>
        <w:ind w:left="397" w:hanging="142"/>
      </w:pPr>
      <w:r>
        <w:rPr>
          <w:rFonts w:ascii="Aptos" w:hAnsi="Aptos"/>
          <w:sz w:val="18"/>
        </w:rPr>
        <w:t>Les dates d'une feuille dérivée ne doivent jamais corriger silencieusement la feuille principale.</w:t>
      </w:r>
    </w:p>
    <w:p>
      <w:pPr>
        <w:pStyle w:val="ListBullet"/>
        <w:widowControl/>
        <w:ind w:left="397" w:hanging="142"/>
      </w:pPr>
      <w:r>
        <w:rPr>
          <w:rFonts w:ascii="Aptos" w:hAnsi="Aptos"/>
          <w:sz w:val="18"/>
        </w:rPr>
        <w:t>Conserver date_raw, date_parsed, source de la date, rôle du bloc et confiance.</w:t>
      </w:r>
    </w:p>
    <w:p>
      <w:pPr>
        <w:pStyle w:val="Heading2"/>
        <w:widowControl/>
      </w:pPr>
      <w:r>
        <w:t>5.4 Rôles des blocs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814"/>
            <w:shd w:fill="D9EAF2"/>
            <w:tcMar>
              <w:top w:w="70" w:type="dxa"/>
              <w:start w:w="70" w:type="dxa"/>
              <w:bottom w:w="70" w:type="dxa"/>
              <w:end w:w="70" w:type="dxa"/>
            </w:tcMar>
            <w:vAlign w:val="center"/>
          </w:tcPr>
          <w:p>
            <w:r/>
            <w:r>
              <w:rPr>
                <w:rFonts w:ascii="Aptos" w:hAnsi="Aptos"/>
                <w:b/>
                <w:color w:val="123E5E"/>
                <w:sz w:val="16"/>
              </w:rPr>
              <w:t>Rôle</w:t>
            </w:r>
          </w:p>
        </w:tc>
        <w:tc>
          <w:tcPr>
            <w:tcW w:type="dxa" w:w="4082"/>
            <w:shd w:fill="D9EAF2"/>
            <w:tcMar>
              <w:top w:w="70" w:type="dxa"/>
              <w:start w:w="70" w:type="dxa"/>
              <w:bottom w:w="70" w:type="dxa"/>
              <w:end w:w="70" w:type="dxa"/>
            </w:tcMar>
            <w:vAlign w:val="center"/>
          </w:tcPr>
          <w:p>
            <w:r/>
            <w:r>
              <w:rPr>
                <w:rFonts w:ascii="Aptos" w:hAnsi="Aptos"/>
                <w:b/>
                <w:color w:val="123E5E"/>
                <w:sz w:val="16"/>
              </w:rPr>
              <w:t>Définition</w:t>
            </w:r>
          </w:p>
        </w:tc>
        <w:tc>
          <w:tcPr>
            <w:tcW w:type="dxa" w:w="3912"/>
            <w:shd w:fill="D9EAF2"/>
            <w:tcMar>
              <w:top w:w="70" w:type="dxa"/>
              <w:start w:w="70" w:type="dxa"/>
              <w:bottom w:w="70" w:type="dxa"/>
              <w:end w:w="70" w:type="dxa"/>
            </w:tcMar>
            <w:vAlign w:val="center"/>
          </w:tcPr>
          <w:p>
            <w:r/>
            <w:r>
              <w:rPr>
                <w:rFonts w:ascii="Aptos" w:hAnsi="Aptos"/>
                <w:b/>
                <w:color w:val="123E5E"/>
                <w:sz w:val="16"/>
              </w:rPr>
              <w:t>Priorité canonique</w:t>
            </w:r>
          </w:p>
        </w:tc>
      </w:tr>
      <w:tr>
        <w:tc>
          <w:tcPr>
            <w:tcW w:type="dxa" w:w="1814"/>
            <w:tcMar>
              <w:top w:w="60" w:type="dxa"/>
              <w:start w:w="60" w:type="dxa"/>
              <w:bottom w:w="60" w:type="dxa"/>
              <w:end w:w="60" w:type="dxa"/>
            </w:tcMar>
            <w:vAlign w:val="top"/>
          </w:tcPr>
          <w:p>
            <w:r/>
            <w:r>
              <w:rPr>
                <w:rFonts w:ascii="Aptos" w:hAnsi="Aptos"/>
                <w:sz w:val="16"/>
              </w:rPr>
              <w:t>current</w:t>
            </w:r>
          </w:p>
        </w:tc>
        <w:tc>
          <w:tcPr>
            <w:tcW w:type="dxa" w:w="4082"/>
            <w:tcMar>
              <w:top w:w="60" w:type="dxa"/>
              <w:start w:w="60" w:type="dxa"/>
              <w:bottom w:w="60" w:type="dxa"/>
              <w:end w:w="60" w:type="dxa"/>
            </w:tcMar>
            <w:vAlign w:val="top"/>
          </w:tcPr>
          <w:p>
            <w:r/>
            <w:r>
              <w:rPr>
                <w:rFonts w:ascii="Aptos" w:hAnsi="Aptos"/>
                <w:sz w:val="16"/>
              </w:rPr>
              <w:t>Date courante du rapport.</w:t>
            </w:r>
          </w:p>
        </w:tc>
        <w:tc>
          <w:tcPr>
            <w:tcW w:type="dxa" w:w="3912"/>
            <w:tcMar>
              <w:top w:w="60" w:type="dxa"/>
              <w:start w:w="60" w:type="dxa"/>
              <w:bottom w:w="60" w:type="dxa"/>
              <w:end w:w="60" w:type="dxa"/>
            </w:tcMar>
            <w:vAlign w:val="top"/>
          </w:tcPr>
          <w:p>
            <w:r/>
            <w:r>
              <w:rPr>
                <w:rFonts w:ascii="Aptos" w:hAnsi="Aptos"/>
                <w:sz w:val="16"/>
              </w:rPr>
              <w:t>1 — source préférée si complète et cohérente.</w:t>
            </w:r>
          </w:p>
        </w:tc>
      </w:tr>
      <w:tr>
        <w:tc>
          <w:tcPr>
            <w:tcW w:type="dxa" w:w="1814"/>
            <w:tcMar>
              <w:top w:w="60" w:type="dxa"/>
              <w:start w:w="60" w:type="dxa"/>
              <w:bottom w:w="60" w:type="dxa"/>
              <w:end w:w="60" w:type="dxa"/>
            </w:tcMar>
            <w:vAlign w:val="top"/>
          </w:tcPr>
          <w:p>
            <w:r/>
            <w:r>
              <w:rPr>
                <w:rFonts w:ascii="Aptos" w:hAnsi="Aptos"/>
                <w:sz w:val="16"/>
              </w:rPr>
              <w:t>previous</w:t>
            </w:r>
          </w:p>
        </w:tc>
        <w:tc>
          <w:tcPr>
            <w:tcW w:type="dxa" w:w="4082"/>
            <w:tcMar>
              <w:top w:w="60" w:type="dxa"/>
              <w:start w:w="60" w:type="dxa"/>
              <w:bottom w:w="60" w:type="dxa"/>
              <w:end w:w="60" w:type="dxa"/>
            </w:tcMar>
            <w:vAlign w:val="top"/>
          </w:tcPr>
          <w:p>
            <w:r/>
            <w:r>
              <w:rPr>
                <w:rFonts w:ascii="Aptos" w:hAnsi="Aptos"/>
                <w:sz w:val="16"/>
              </w:rPr>
              <w:t>Rappel de la semaine précédente.</w:t>
            </w:r>
          </w:p>
        </w:tc>
        <w:tc>
          <w:tcPr>
            <w:tcW w:type="dxa" w:w="3912"/>
            <w:tcMar>
              <w:top w:w="60" w:type="dxa"/>
              <w:start w:w="60" w:type="dxa"/>
              <w:bottom w:w="60" w:type="dxa"/>
              <w:end w:w="60" w:type="dxa"/>
            </w:tcMar>
            <w:vAlign w:val="top"/>
          </w:tcPr>
          <w:p>
            <w:r/>
            <w:r>
              <w:rPr>
                <w:rFonts w:ascii="Aptos" w:hAnsi="Aptos"/>
                <w:sz w:val="16"/>
              </w:rPr>
              <w:t>2 — redondance et récupération.</w:t>
            </w:r>
          </w:p>
        </w:tc>
      </w:tr>
      <w:tr>
        <w:tc>
          <w:tcPr>
            <w:tcW w:type="dxa" w:w="1814"/>
            <w:tcMar>
              <w:top w:w="60" w:type="dxa"/>
              <w:start w:w="60" w:type="dxa"/>
              <w:bottom w:w="60" w:type="dxa"/>
              <w:end w:w="60" w:type="dxa"/>
            </w:tcMar>
            <w:vAlign w:val="top"/>
          </w:tcPr>
          <w:p>
            <w:r/>
            <w:r>
              <w:rPr>
                <w:rFonts w:ascii="Aptos" w:hAnsi="Aptos"/>
                <w:sz w:val="16"/>
              </w:rPr>
              <w:t>historical</w:t>
            </w:r>
          </w:p>
        </w:tc>
        <w:tc>
          <w:tcPr>
            <w:tcW w:type="dxa" w:w="4082"/>
            <w:tcMar>
              <w:top w:w="60" w:type="dxa"/>
              <w:start w:w="60" w:type="dxa"/>
              <w:bottom w:w="60" w:type="dxa"/>
              <w:end w:w="60" w:type="dxa"/>
            </w:tcMar>
            <w:vAlign w:val="top"/>
          </w:tcPr>
          <w:p>
            <w:r/>
            <w:r>
              <w:rPr>
                <w:rFonts w:ascii="Aptos" w:hAnsi="Aptos"/>
                <w:sz w:val="16"/>
              </w:rPr>
              <w:t>Période antérieure dans Volatility/Trend.</w:t>
            </w:r>
          </w:p>
        </w:tc>
        <w:tc>
          <w:tcPr>
            <w:tcW w:type="dxa" w:w="3912"/>
            <w:tcMar>
              <w:top w:w="60" w:type="dxa"/>
              <w:start w:w="60" w:type="dxa"/>
              <w:bottom w:w="60" w:type="dxa"/>
              <w:end w:w="60" w:type="dxa"/>
            </w:tcMar>
            <w:vAlign w:val="top"/>
          </w:tcPr>
          <w:p>
            <w:r/>
            <w:r>
              <w:rPr>
                <w:rFonts w:ascii="Aptos" w:hAnsi="Aptos"/>
                <w:sz w:val="16"/>
              </w:rPr>
              <w:t>3 — contrôle ou récupération avec provenance.</w:t>
            </w:r>
          </w:p>
        </w:tc>
      </w:tr>
      <w:tr>
        <w:tc>
          <w:tcPr>
            <w:tcW w:type="dxa" w:w="1814"/>
            <w:tcMar>
              <w:top w:w="60" w:type="dxa"/>
              <w:start w:w="60" w:type="dxa"/>
              <w:bottom w:w="60" w:type="dxa"/>
              <w:end w:w="60" w:type="dxa"/>
            </w:tcMar>
            <w:vAlign w:val="top"/>
          </w:tcPr>
          <w:p>
            <w:r/>
            <w:r>
              <w:rPr>
                <w:rFonts w:ascii="Aptos" w:hAnsi="Aptos"/>
                <w:sz w:val="16"/>
              </w:rPr>
              <w:t>derived</w:t>
            </w:r>
          </w:p>
        </w:tc>
        <w:tc>
          <w:tcPr>
            <w:tcW w:type="dxa" w:w="4082"/>
            <w:tcMar>
              <w:top w:w="60" w:type="dxa"/>
              <w:start w:w="60" w:type="dxa"/>
              <w:bottom w:w="60" w:type="dxa"/>
              <w:end w:w="60" w:type="dxa"/>
            </w:tcMar>
            <w:vAlign w:val="top"/>
          </w:tcPr>
          <w:p>
            <w:r/>
            <w:r>
              <w:rPr>
                <w:rFonts w:ascii="Aptos" w:hAnsi="Aptos"/>
                <w:sz w:val="16"/>
              </w:rPr>
              <w:t>Variation, yield, différence, agrégat.</w:t>
            </w:r>
          </w:p>
        </w:tc>
        <w:tc>
          <w:tcPr>
            <w:tcW w:type="dxa" w:w="3912"/>
            <w:tcMar>
              <w:top w:w="60" w:type="dxa"/>
              <w:start w:w="60" w:type="dxa"/>
              <w:bottom w:w="60" w:type="dxa"/>
              <w:end w:w="60" w:type="dxa"/>
            </w:tcMar>
            <w:vAlign w:val="top"/>
          </w:tcPr>
          <w:p>
            <w:r/>
            <w:r>
              <w:rPr>
                <w:rFonts w:ascii="Aptos" w:hAnsi="Aptos"/>
                <w:sz w:val="16"/>
              </w:rPr>
              <w:t>Jamais utilisé comme valeur absolue.</w:t>
            </w:r>
          </w:p>
        </w:tc>
      </w:tr>
    </w:tbl>
    <w:p>
      <w:pPr>
        <w:widowControl/>
        <w:spacing w:after="0"/>
      </w:pPr>
    </w:p>
    <w:p>
      <w:pPr>
        <w:pStyle w:val="Heading2"/>
        <w:widowControl/>
      </w:pPr>
      <w:r>
        <w:t>5.5 Identification des lignes de fonds</w:t>
      </w:r>
    </w:p>
    <w:p>
      <w:pPr>
        <w:pStyle w:val="CodeNigeria"/>
        <w:widowControl/>
        <w:shd w:fill="F4F6F7"/>
      </w:pPr>
      <w:r>
        <w:rPr>
          <w:rFonts w:ascii="Liberation Mono" w:hAnsi="Liberation Mono"/>
          <w:color w:val="1E1E1E"/>
          <w:sz w:val="15"/>
        </w:rPr>
        <w:t>is_fund_row = (fund_name_cell not empty)</w:t>
        <w:br/>
        <w:t xml:space="preserve">              and not is_category_row(fund_name_cell)</w:t>
        <w:br/>
        <w:t xml:space="preserve">              and not is_total_row(fund_name_cell)</w:t>
        <w:br/>
        <w:t xml:space="preserve">              and has_at_least_one_measure_or_explicit_zero(row)</w:t>
      </w:r>
    </w:p>
    <w:p>
      <w:pPr>
        <w:widowControl/>
      </w:pPr>
      <w:r>
        <w:rPr>
          <w:rFonts w:ascii="Aptos" w:hAnsi="Aptos"/>
          <w:sz w:val="19"/>
        </w:rPr>
        <w:t>La présence du mot Fund n'est ni nécessaire ni suffisante. La liste de catégories et de totaux doit être versionnée. Les lignes de continuation dans les PDF doivent être rapprochées avec prudence et conserver les coordonnées d'origine.</w:t>
      </w:r>
    </w:p>
    <w:p>
      <w:pPr>
        <w:pStyle w:val="Heading2"/>
        <w:widowControl/>
      </w:pPr>
      <w:r>
        <w:t>5.6 Feuilles dérivées : usages autorisés</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835"/>
            <w:shd w:fill="D9EAF2"/>
            <w:tcMar>
              <w:top w:w="70" w:type="dxa"/>
              <w:start w:w="70" w:type="dxa"/>
              <w:bottom w:w="70" w:type="dxa"/>
              <w:end w:w="70" w:type="dxa"/>
            </w:tcMar>
            <w:vAlign w:val="center"/>
          </w:tcPr>
          <w:p>
            <w:r/>
            <w:r>
              <w:rPr>
                <w:rFonts w:ascii="Aptos" w:hAnsi="Aptos"/>
                <w:b/>
                <w:color w:val="123E5E"/>
                <w:sz w:val="16"/>
              </w:rPr>
              <w:t>Usage autorisé</w:t>
            </w:r>
          </w:p>
        </w:tc>
        <w:tc>
          <w:tcPr>
            <w:tcW w:type="dxa" w:w="6463"/>
            <w:shd w:fill="D9EAF2"/>
            <w:tcMar>
              <w:top w:w="70" w:type="dxa"/>
              <w:start w:w="70" w:type="dxa"/>
              <w:bottom w:w="70" w:type="dxa"/>
              <w:end w:w="70" w:type="dxa"/>
            </w:tcMar>
            <w:vAlign w:val="center"/>
          </w:tcPr>
          <w:p>
            <w:r/>
            <w:r>
              <w:rPr>
                <w:rFonts w:ascii="Aptos" w:hAnsi="Aptos"/>
                <w:b/>
                <w:color w:val="123E5E"/>
                <w:sz w:val="16"/>
              </w:rPr>
              <w:t>Exemple</w:t>
            </w:r>
          </w:p>
        </w:tc>
      </w:tr>
      <w:tr>
        <w:tc>
          <w:tcPr>
            <w:tcW w:type="dxa" w:w="2835"/>
            <w:tcMar>
              <w:top w:w="60" w:type="dxa"/>
              <w:start w:w="60" w:type="dxa"/>
              <w:bottom w:w="60" w:type="dxa"/>
              <w:end w:w="60" w:type="dxa"/>
            </w:tcMar>
            <w:vAlign w:val="top"/>
          </w:tcPr>
          <w:p>
            <w:r/>
            <w:r>
              <w:rPr>
                <w:rFonts w:ascii="Aptos" w:hAnsi="Aptos"/>
                <w:sz w:val="16"/>
              </w:rPr>
              <w:t>Réconciliation des totaux</w:t>
            </w:r>
          </w:p>
        </w:tc>
        <w:tc>
          <w:tcPr>
            <w:tcW w:type="dxa" w:w="6463"/>
            <w:tcMar>
              <w:top w:w="60" w:type="dxa"/>
              <w:start w:w="60" w:type="dxa"/>
              <w:bottom w:w="60" w:type="dxa"/>
              <w:end w:w="60" w:type="dxa"/>
            </w:tcMar>
            <w:vAlign w:val="top"/>
          </w:tcPr>
          <w:p>
            <w:r/>
            <w:r>
              <w:rPr>
                <w:rFonts w:ascii="Aptos" w:hAnsi="Aptos"/>
                <w:sz w:val="16"/>
              </w:rPr>
              <w:t>Somme des actifs nets par catégorie comparée au subtotal.</w:t>
            </w:r>
          </w:p>
        </w:tc>
      </w:tr>
      <w:tr>
        <w:tc>
          <w:tcPr>
            <w:tcW w:type="dxa" w:w="2835"/>
            <w:tcMar>
              <w:top w:w="60" w:type="dxa"/>
              <w:start w:w="60" w:type="dxa"/>
              <w:bottom w:w="60" w:type="dxa"/>
              <w:end w:w="60" w:type="dxa"/>
            </w:tcMar>
            <w:vAlign w:val="top"/>
          </w:tcPr>
          <w:p>
            <w:r/>
            <w:r>
              <w:rPr>
                <w:rFonts w:ascii="Aptos" w:hAnsi="Aptos"/>
                <w:sz w:val="16"/>
              </w:rPr>
              <w:t>Détection d’un fonds manquant</w:t>
            </w:r>
          </w:p>
        </w:tc>
        <w:tc>
          <w:tcPr>
            <w:tcW w:type="dxa" w:w="6463"/>
            <w:tcMar>
              <w:top w:w="60" w:type="dxa"/>
              <w:start w:w="60" w:type="dxa"/>
              <w:bottom w:w="60" w:type="dxa"/>
              <w:end w:w="60" w:type="dxa"/>
            </w:tcMar>
            <w:vAlign w:val="top"/>
          </w:tcPr>
          <w:p>
            <w:r/>
            <w:r>
              <w:rPr>
                <w:rFonts w:ascii="Aptos" w:hAnsi="Aptos"/>
                <w:sz w:val="16"/>
              </w:rPr>
              <w:t>Un nom figure dans Market Share mais pas dans l’extraction principale.</w:t>
            </w:r>
          </w:p>
        </w:tc>
      </w:tr>
      <w:tr>
        <w:tc>
          <w:tcPr>
            <w:tcW w:type="dxa" w:w="2835"/>
            <w:tcMar>
              <w:top w:w="60" w:type="dxa"/>
              <w:start w:w="60" w:type="dxa"/>
              <w:bottom w:w="60" w:type="dxa"/>
              <w:end w:w="60" w:type="dxa"/>
            </w:tcMar>
            <w:vAlign w:val="top"/>
          </w:tcPr>
          <w:p>
            <w:r/>
            <w:r>
              <w:rPr>
                <w:rFonts w:ascii="Aptos" w:hAnsi="Aptos"/>
                <w:sz w:val="16"/>
              </w:rPr>
              <w:t>Contrôle de date</w:t>
            </w:r>
          </w:p>
        </w:tc>
        <w:tc>
          <w:tcPr>
            <w:tcW w:type="dxa" w:w="6463"/>
            <w:tcMar>
              <w:top w:w="60" w:type="dxa"/>
              <w:start w:w="60" w:type="dxa"/>
              <w:bottom w:w="60" w:type="dxa"/>
              <w:end w:w="60" w:type="dxa"/>
            </w:tcMar>
            <w:vAlign w:val="top"/>
          </w:tcPr>
          <w:p>
            <w:r/>
            <w:r>
              <w:rPr>
                <w:rFonts w:ascii="Aptos" w:hAnsi="Aptos"/>
                <w:sz w:val="16"/>
              </w:rPr>
              <w:t>Une tendance confirme une date déjà identifiée.</w:t>
            </w:r>
          </w:p>
        </w:tc>
      </w:tr>
      <w:tr>
        <w:tc>
          <w:tcPr>
            <w:tcW w:type="dxa" w:w="2835"/>
            <w:tcMar>
              <w:top w:w="60" w:type="dxa"/>
              <w:start w:w="60" w:type="dxa"/>
              <w:bottom w:w="60" w:type="dxa"/>
              <w:end w:w="60" w:type="dxa"/>
            </w:tcMar>
            <w:vAlign w:val="top"/>
          </w:tcPr>
          <w:p>
            <w:r/>
            <w:r>
              <w:rPr>
                <w:rFonts w:ascii="Aptos" w:hAnsi="Aptos"/>
                <w:sz w:val="16"/>
              </w:rPr>
              <w:t>Détection de rupture</w:t>
            </w:r>
          </w:p>
        </w:tc>
        <w:tc>
          <w:tcPr>
            <w:tcW w:type="dxa" w:w="6463"/>
            <w:tcMar>
              <w:top w:w="60" w:type="dxa"/>
              <w:start w:w="60" w:type="dxa"/>
              <w:bottom w:w="60" w:type="dxa"/>
              <w:end w:w="60" w:type="dxa"/>
            </w:tcMar>
            <w:vAlign w:val="top"/>
          </w:tcPr>
          <w:p>
            <w:r/>
            <w:r>
              <w:rPr>
                <w:rFonts w:ascii="Aptos" w:hAnsi="Aptos"/>
                <w:sz w:val="16"/>
              </w:rPr>
              <w:t>Un fonds disparaît anormalement d’un graphique historique.</w:t>
            </w:r>
          </w:p>
        </w:tc>
      </w:tr>
      <w:tr>
        <w:tc>
          <w:tcPr>
            <w:tcW w:type="dxa" w:w="2835"/>
            <w:tcMar>
              <w:top w:w="60" w:type="dxa"/>
              <w:start w:w="60" w:type="dxa"/>
              <w:bottom w:w="60" w:type="dxa"/>
              <w:end w:w="60" w:type="dxa"/>
            </w:tcMar>
            <w:vAlign w:val="top"/>
          </w:tcPr>
          <w:p>
            <w:r/>
            <w:r>
              <w:rPr>
                <w:rFonts w:ascii="Aptos" w:hAnsi="Aptos"/>
                <w:sz w:val="16"/>
              </w:rPr>
              <w:t>Validation de variation</w:t>
            </w:r>
          </w:p>
        </w:tc>
        <w:tc>
          <w:tcPr>
            <w:tcW w:type="dxa" w:w="6463"/>
            <w:tcMar>
              <w:top w:w="60" w:type="dxa"/>
              <w:start w:w="60" w:type="dxa"/>
              <w:bottom w:w="60" w:type="dxa"/>
              <w:end w:w="60" w:type="dxa"/>
            </w:tcMar>
            <w:vAlign w:val="top"/>
          </w:tcPr>
          <w:p>
            <w:r/>
            <w:r>
              <w:rPr>
                <w:rFonts w:ascii="Aptos" w:hAnsi="Aptos"/>
                <w:sz w:val="16"/>
              </w:rPr>
              <w:t>Comparer une variation calculée à la variation publiée.</w:t>
            </w:r>
          </w:p>
        </w:tc>
      </w:tr>
    </w:tbl>
    <w:p>
      <w:pPr>
        <w:widowControl/>
        <w:spacing w:after="0"/>
      </w:pPr>
    </w:p>
    <w:p>
      <w:pPr>
        <w:widowControl/>
      </w:pPr>
      <w:r>
        <w:br w:type="page"/>
      </w:r>
    </w:p>
    <w:p>
      <w:pPr>
        <w:widowControl/>
        <w:jc w:val="center"/>
      </w:pPr>
      <w:r>
        <w:rPr>
          <w:rFonts w:ascii="Aptos Display" w:hAnsi="Aptos Display"/>
          <w:b/>
          <w:color w:val="123E5E"/>
          <w:sz w:val="44"/>
        </w:rPr>
        <w:t>PARTIE VI — SÉMANTIQUE FINANCIÈRE ET PARSING</w:t>
      </w:r>
    </w:p>
    <w:p>
      <w:pPr>
        <w:widowControl/>
        <w:jc w:val="center"/>
      </w:pPr>
      <w:r>
        <w:rPr>
          <w:rFonts w:ascii="Aptos" w:hAnsi="Aptos"/>
          <w:i/>
          <w:color w:val="505050"/>
          <w:sz w:val="22"/>
        </w:rPr>
        <w:t>Conserver chaque mesure telle qu’elle est publiée</w:t>
      </w:r>
    </w:p>
    <w:p>
      <w:pPr>
        <w:widowControl/>
      </w:pPr>
    </w:p>
    <w:p>
      <w:pPr>
        <w:pStyle w:val="Heading1"/>
        <w:widowControl/>
      </w:pPr>
      <w:r>
        <w:t>6. Dictionnaire des mesures</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2268"/>
            <w:shd w:fill="D9EAF2"/>
            <w:tcMar>
              <w:top w:w="70" w:type="dxa"/>
              <w:start w:w="70" w:type="dxa"/>
              <w:bottom w:w="70" w:type="dxa"/>
              <w:end w:w="70" w:type="dxa"/>
            </w:tcMar>
            <w:vAlign w:val="center"/>
          </w:tcPr>
          <w:p>
            <w:r/>
            <w:r>
              <w:rPr>
                <w:rFonts w:ascii="Aptos" w:hAnsi="Aptos"/>
                <w:b/>
                <w:color w:val="123E5E"/>
                <w:sz w:val="15"/>
              </w:rPr>
              <w:t>Champ canonique</w:t>
            </w:r>
          </w:p>
        </w:tc>
        <w:tc>
          <w:tcPr>
            <w:tcW w:type="dxa" w:w="3005"/>
            <w:shd w:fill="D9EAF2"/>
            <w:tcMar>
              <w:top w:w="70" w:type="dxa"/>
              <w:start w:w="70" w:type="dxa"/>
              <w:bottom w:w="70" w:type="dxa"/>
              <w:end w:w="70" w:type="dxa"/>
            </w:tcMar>
            <w:vAlign w:val="center"/>
          </w:tcPr>
          <w:p>
            <w:r/>
            <w:r>
              <w:rPr>
                <w:rFonts w:ascii="Aptos" w:hAnsi="Aptos"/>
                <w:b/>
                <w:color w:val="123E5E"/>
                <w:sz w:val="15"/>
              </w:rPr>
              <w:t>Libellés source</w:t>
            </w:r>
          </w:p>
        </w:tc>
        <w:tc>
          <w:tcPr>
            <w:tcW w:type="dxa" w:w="2494"/>
            <w:shd w:fill="D9EAF2"/>
            <w:tcMar>
              <w:top w:w="70" w:type="dxa"/>
              <w:start w:w="70" w:type="dxa"/>
              <w:bottom w:w="70" w:type="dxa"/>
              <w:end w:w="70" w:type="dxa"/>
            </w:tcMar>
            <w:vAlign w:val="center"/>
          </w:tcPr>
          <w:p>
            <w:r/>
            <w:r>
              <w:rPr>
                <w:rFonts w:ascii="Aptos" w:hAnsi="Aptos"/>
                <w:b/>
                <w:color w:val="123E5E"/>
                <w:sz w:val="15"/>
              </w:rPr>
              <w:t>Sens</w:t>
            </w:r>
          </w:p>
        </w:tc>
        <w:tc>
          <w:tcPr>
            <w:tcW w:type="dxa" w:w="1531"/>
            <w:shd w:fill="D9EAF2"/>
            <w:tcMar>
              <w:top w:w="70" w:type="dxa"/>
              <w:start w:w="70" w:type="dxa"/>
              <w:bottom w:w="70" w:type="dxa"/>
              <w:end w:w="70" w:type="dxa"/>
            </w:tcMar>
            <w:vAlign w:val="center"/>
          </w:tcPr>
          <w:p>
            <w:r/>
            <w:r>
              <w:rPr>
                <w:rFonts w:ascii="Aptos" w:hAnsi="Aptos"/>
                <w:b/>
                <w:color w:val="123E5E"/>
                <w:sz w:val="15"/>
              </w:rPr>
              <w:t>Unité</w:t>
            </w:r>
          </w:p>
        </w:tc>
      </w:tr>
      <w:tr>
        <w:tc>
          <w:tcPr>
            <w:tcW w:type="dxa" w:w="2268"/>
            <w:tcMar>
              <w:top w:w="60" w:type="dxa"/>
              <w:start w:w="60" w:type="dxa"/>
              <w:bottom w:w="60" w:type="dxa"/>
              <w:end w:w="60" w:type="dxa"/>
            </w:tcMar>
            <w:vAlign w:val="top"/>
          </w:tcPr>
          <w:p>
            <w:r/>
            <w:r>
              <w:rPr>
                <w:rFonts w:ascii="Aptos" w:hAnsi="Aptos"/>
                <w:sz w:val="15"/>
              </w:rPr>
              <w:t>net_assets_total</w:t>
            </w:r>
          </w:p>
        </w:tc>
        <w:tc>
          <w:tcPr>
            <w:tcW w:type="dxa" w:w="3005"/>
            <w:tcMar>
              <w:top w:w="60" w:type="dxa"/>
              <w:start w:w="60" w:type="dxa"/>
              <w:bottom w:w="60" w:type="dxa"/>
              <w:end w:w="60" w:type="dxa"/>
            </w:tcMar>
            <w:vAlign w:val="top"/>
          </w:tcPr>
          <w:p>
            <w:r/>
            <w:r>
              <w:rPr>
                <w:rFonts w:ascii="Aptos" w:hAnsi="Aptos"/>
                <w:sz w:val="15"/>
              </w:rPr>
              <w:t>NAV / Net Asset Value lorsque le tableau présente l’encours total</w:t>
            </w:r>
          </w:p>
        </w:tc>
        <w:tc>
          <w:tcPr>
            <w:tcW w:type="dxa" w:w="2494"/>
            <w:tcMar>
              <w:top w:w="60" w:type="dxa"/>
              <w:start w:w="60" w:type="dxa"/>
              <w:bottom w:w="60" w:type="dxa"/>
              <w:end w:w="60" w:type="dxa"/>
            </w:tcMar>
            <w:vAlign w:val="top"/>
          </w:tcPr>
          <w:p>
            <w:r/>
            <w:r>
              <w:rPr>
                <w:rFonts w:ascii="Aptos" w:hAnsi="Aptos"/>
                <w:sz w:val="15"/>
              </w:rPr>
              <w:t>Montant global</w:t>
            </w:r>
          </w:p>
        </w:tc>
        <w:tc>
          <w:tcPr>
            <w:tcW w:type="dxa" w:w="1531"/>
            <w:tcMar>
              <w:top w:w="60" w:type="dxa"/>
              <w:start w:w="60" w:type="dxa"/>
              <w:bottom w:w="60" w:type="dxa"/>
              <w:end w:w="60" w:type="dxa"/>
            </w:tcMar>
            <w:vAlign w:val="top"/>
          </w:tcPr>
          <w:p>
            <w:r/>
            <w:r>
              <w:rPr>
                <w:rFonts w:ascii="Aptos" w:hAnsi="Aptos"/>
                <w:sz w:val="15"/>
              </w:rPr>
              <w:t>NGN, USD ou autre</w:t>
            </w:r>
          </w:p>
        </w:tc>
      </w:tr>
      <w:tr>
        <w:tc>
          <w:tcPr>
            <w:tcW w:type="dxa" w:w="2268"/>
            <w:tcMar>
              <w:top w:w="60" w:type="dxa"/>
              <w:start w:w="60" w:type="dxa"/>
              <w:bottom w:w="60" w:type="dxa"/>
              <w:end w:w="60" w:type="dxa"/>
            </w:tcMar>
            <w:vAlign w:val="top"/>
          </w:tcPr>
          <w:p>
            <w:r/>
            <w:r>
              <w:rPr>
                <w:rFonts w:ascii="Aptos" w:hAnsi="Aptos"/>
                <w:sz w:val="15"/>
              </w:rPr>
              <w:t>unit_price</w:t>
            </w:r>
          </w:p>
        </w:tc>
        <w:tc>
          <w:tcPr>
            <w:tcW w:type="dxa" w:w="3005"/>
            <w:tcMar>
              <w:top w:w="60" w:type="dxa"/>
              <w:start w:w="60" w:type="dxa"/>
              <w:bottom w:w="60" w:type="dxa"/>
              <w:end w:w="60" w:type="dxa"/>
            </w:tcMar>
            <w:vAlign w:val="top"/>
          </w:tcPr>
          <w:p>
            <w:r/>
            <w:r>
              <w:rPr>
                <w:rFonts w:ascii="Aptos" w:hAnsi="Aptos"/>
                <w:sz w:val="15"/>
              </w:rPr>
              <w:t>Unit Price / Unit Value / NAV per Unit explicitement indiqué</w:t>
            </w:r>
          </w:p>
        </w:tc>
        <w:tc>
          <w:tcPr>
            <w:tcW w:type="dxa" w:w="2494"/>
            <w:tcMar>
              <w:top w:w="60" w:type="dxa"/>
              <w:start w:w="60" w:type="dxa"/>
              <w:bottom w:w="60" w:type="dxa"/>
              <w:end w:w="60" w:type="dxa"/>
            </w:tcMar>
            <w:vAlign w:val="top"/>
          </w:tcPr>
          <w:p>
            <w:r/>
            <w:r>
              <w:rPr>
                <w:rFonts w:ascii="Aptos" w:hAnsi="Aptos"/>
                <w:sz w:val="15"/>
              </w:rPr>
              <w:t>Prix par part</w:t>
            </w:r>
          </w:p>
        </w:tc>
        <w:tc>
          <w:tcPr>
            <w:tcW w:type="dxa" w:w="1531"/>
            <w:tcMar>
              <w:top w:w="60" w:type="dxa"/>
              <w:start w:w="60" w:type="dxa"/>
              <w:bottom w:w="60" w:type="dxa"/>
              <w:end w:w="60" w:type="dxa"/>
            </w:tcMar>
            <w:vAlign w:val="top"/>
          </w:tcPr>
          <w:p>
            <w:r/>
            <w:r>
              <w:rPr>
                <w:rFonts w:ascii="Aptos" w:hAnsi="Aptos"/>
                <w:sz w:val="15"/>
              </w:rPr>
              <w:t>Devise de la classe</w:t>
            </w:r>
          </w:p>
        </w:tc>
      </w:tr>
      <w:tr>
        <w:tc>
          <w:tcPr>
            <w:tcW w:type="dxa" w:w="2268"/>
            <w:tcMar>
              <w:top w:w="60" w:type="dxa"/>
              <w:start w:w="60" w:type="dxa"/>
              <w:bottom w:w="60" w:type="dxa"/>
              <w:end w:w="60" w:type="dxa"/>
            </w:tcMar>
            <w:vAlign w:val="top"/>
          </w:tcPr>
          <w:p>
            <w:r/>
            <w:r>
              <w:rPr>
                <w:rFonts w:ascii="Aptos" w:hAnsi="Aptos"/>
                <w:sz w:val="15"/>
              </w:rPr>
              <w:t>bid_price</w:t>
            </w:r>
          </w:p>
        </w:tc>
        <w:tc>
          <w:tcPr>
            <w:tcW w:type="dxa" w:w="3005"/>
            <w:tcMar>
              <w:top w:w="60" w:type="dxa"/>
              <w:start w:w="60" w:type="dxa"/>
              <w:bottom w:w="60" w:type="dxa"/>
              <w:end w:w="60" w:type="dxa"/>
            </w:tcMar>
            <w:vAlign w:val="top"/>
          </w:tcPr>
          <w:p>
            <w:r/>
            <w:r>
              <w:rPr>
                <w:rFonts w:ascii="Aptos" w:hAnsi="Aptos"/>
                <w:sz w:val="15"/>
              </w:rPr>
              <w:t>Bid Price / redemption price</w:t>
            </w:r>
          </w:p>
        </w:tc>
        <w:tc>
          <w:tcPr>
            <w:tcW w:type="dxa" w:w="2494"/>
            <w:tcMar>
              <w:top w:w="60" w:type="dxa"/>
              <w:start w:w="60" w:type="dxa"/>
              <w:bottom w:w="60" w:type="dxa"/>
              <w:end w:w="60" w:type="dxa"/>
            </w:tcMar>
            <w:vAlign w:val="top"/>
          </w:tcPr>
          <w:p>
            <w:r/>
            <w:r>
              <w:rPr>
                <w:rFonts w:ascii="Aptos" w:hAnsi="Aptos"/>
                <w:sz w:val="15"/>
              </w:rPr>
              <w:t>Prix de rachat</w:t>
            </w:r>
          </w:p>
        </w:tc>
        <w:tc>
          <w:tcPr>
            <w:tcW w:type="dxa" w:w="1531"/>
            <w:tcMar>
              <w:top w:w="60" w:type="dxa"/>
              <w:start w:w="60" w:type="dxa"/>
              <w:bottom w:w="60" w:type="dxa"/>
              <w:end w:w="60" w:type="dxa"/>
            </w:tcMar>
            <w:vAlign w:val="top"/>
          </w:tcPr>
          <w:p>
            <w:r/>
            <w:r>
              <w:rPr>
                <w:rFonts w:ascii="Aptos" w:hAnsi="Aptos"/>
                <w:sz w:val="15"/>
              </w:rPr>
              <w:t>Devise de la classe</w:t>
            </w:r>
          </w:p>
        </w:tc>
      </w:tr>
      <w:tr>
        <w:tc>
          <w:tcPr>
            <w:tcW w:type="dxa" w:w="2268"/>
            <w:tcMar>
              <w:top w:w="60" w:type="dxa"/>
              <w:start w:w="60" w:type="dxa"/>
              <w:bottom w:w="60" w:type="dxa"/>
              <w:end w:w="60" w:type="dxa"/>
            </w:tcMar>
            <w:vAlign w:val="top"/>
          </w:tcPr>
          <w:p>
            <w:r/>
            <w:r>
              <w:rPr>
                <w:rFonts w:ascii="Aptos" w:hAnsi="Aptos"/>
                <w:sz w:val="15"/>
              </w:rPr>
              <w:t>offer_price</w:t>
            </w:r>
          </w:p>
        </w:tc>
        <w:tc>
          <w:tcPr>
            <w:tcW w:type="dxa" w:w="3005"/>
            <w:tcMar>
              <w:top w:w="60" w:type="dxa"/>
              <w:start w:w="60" w:type="dxa"/>
              <w:bottom w:w="60" w:type="dxa"/>
              <w:end w:w="60" w:type="dxa"/>
            </w:tcMar>
            <w:vAlign w:val="top"/>
          </w:tcPr>
          <w:p>
            <w:r/>
            <w:r>
              <w:rPr>
                <w:rFonts w:ascii="Aptos" w:hAnsi="Aptos"/>
                <w:sz w:val="15"/>
              </w:rPr>
              <w:t>Offer Price / subscription price</w:t>
            </w:r>
          </w:p>
        </w:tc>
        <w:tc>
          <w:tcPr>
            <w:tcW w:type="dxa" w:w="2494"/>
            <w:tcMar>
              <w:top w:w="60" w:type="dxa"/>
              <w:start w:w="60" w:type="dxa"/>
              <w:bottom w:w="60" w:type="dxa"/>
              <w:end w:w="60" w:type="dxa"/>
            </w:tcMar>
            <w:vAlign w:val="top"/>
          </w:tcPr>
          <w:p>
            <w:r/>
            <w:r>
              <w:rPr>
                <w:rFonts w:ascii="Aptos" w:hAnsi="Aptos"/>
                <w:sz w:val="15"/>
              </w:rPr>
              <w:t>Prix de souscription</w:t>
            </w:r>
          </w:p>
        </w:tc>
        <w:tc>
          <w:tcPr>
            <w:tcW w:type="dxa" w:w="1531"/>
            <w:tcMar>
              <w:top w:w="60" w:type="dxa"/>
              <w:start w:w="60" w:type="dxa"/>
              <w:bottom w:w="60" w:type="dxa"/>
              <w:end w:w="60" w:type="dxa"/>
            </w:tcMar>
            <w:vAlign w:val="top"/>
          </w:tcPr>
          <w:p>
            <w:r/>
            <w:r>
              <w:rPr>
                <w:rFonts w:ascii="Aptos" w:hAnsi="Aptos"/>
                <w:sz w:val="15"/>
              </w:rPr>
              <w:t>Devise de la classe</w:t>
            </w:r>
          </w:p>
        </w:tc>
      </w:tr>
      <w:tr>
        <w:tc>
          <w:tcPr>
            <w:tcW w:type="dxa" w:w="2268"/>
            <w:tcMar>
              <w:top w:w="60" w:type="dxa"/>
              <w:start w:w="60" w:type="dxa"/>
              <w:bottom w:w="60" w:type="dxa"/>
              <w:end w:w="60" w:type="dxa"/>
            </w:tcMar>
            <w:vAlign w:val="top"/>
          </w:tcPr>
          <w:p>
            <w:r/>
            <w:r>
              <w:rPr>
                <w:rFonts w:ascii="Aptos" w:hAnsi="Aptos"/>
                <w:sz w:val="15"/>
              </w:rPr>
              <w:t>unitholders</w:t>
            </w:r>
          </w:p>
        </w:tc>
        <w:tc>
          <w:tcPr>
            <w:tcW w:type="dxa" w:w="3005"/>
            <w:tcMar>
              <w:top w:w="60" w:type="dxa"/>
              <w:start w:w="60" w:type="dxa"/>
              <w:bottom w:w="60" w:type="dxa"/>
              <w:end w:w="60" w:type="dxa"/>
            </w:tcMar>
            <w:vAlign w:val="top"/>
          </w:tcPr>
          <w:p>
            <w:r/>
            <w:r>
              <w:rPr>
                <w:rFonts w:ascii="Aptos" w:hAnsi="Aptos"/>
                <w:sz w:val="15"/>
              </w:rPr>
              <w:t>Unitholders</w:t>
            </w:r>
          </w:p>
        </w:tc>
        <w:tc>
          <w:tcPr>
            <w:tcW w:type="dxa" w:w="2494"/>
            <w:tcMar>
              <w:top w:w="60" w:type="dxa"/>
              <w:start w:w="60" w:type="dxa"/>
              <w:bottom w:w="60" w:type="dxa"/>
              <w:end w:w="60" w:type="dxa"/>
            </w:tcMar>
            <w:vAlign w:val="top"/>
          </w:tcPr>
          <w:p>
            <w:r/>
            <w:r>
              <w:rPr>
                <w:rFonts w:ascii="Aptos" w:hAnsi="Aptos"/>
                <w:sz w:val="15"/>
              </w:rPr>
              <w:t>Nombre de porteurs</w:t>
            </w:r>
          </w:p>
        </w:tc>
        <w:tc>
          <w:tcPr>
            <w:tcW w:type="dxa" w:w="1531"/>
            <w:tcMar>
              <w:top w:w="60" w:type="dxa"/>
              <w:start w:w="60" w:type="dxa"/>
              <w:bottom w:w="60" w:type="dxa"/>
              <w:end w:w="60" w:type="dxa"/>
            </w:tcMar>
            <w:vAlign w:val="top"/>
          </w:tcPr>
          <w:p>
            <w:r/>
            <w:r>
              <w:rPr>
                <w:rFonts w:ascii="Aptos" w:hAnsi="Aptos"/>
                <w:sz w:val="15"/>
              </w:rPr>
              <w:t>Compte</w:t>
            </w:r>
          </w:p>
        </w:tc>
      </w:tr>
      <w:tr>
        <w:tc>
          <w:tcPr>
            <w:tcW w:type="dxa" w:w="2268"/>
            <w:tcMar>
              <w:top w:w="60" w:type="dxa"/>
              <w:start w:w="60" w:type="dxa"/>
              <w:bottom w:w="60" w:type="dxa"/>
              <w:end w:w="60" w:type="dxa"/>
            </w:tcMar>
            <w:vAlign w:val="top"/>
          </w:tcPr>
          <w:p>
            <w:r/>
            <w:r>
              <w:rPr>
                <w:rFonts w:ascii="Aptos" w:hAnsi="Aptos"/>
                <w:sz w:val="15"/>
              </w:rPr>
              <w:t>units_outstanding</w:t>
            </w:r>
          </w:p>
        </w:tc>
        <w:tc>
          <w:tcPr>
            <w:tcW w:type="dxa" w:w="3005"/>
            <w:tcMar>
              <w:top w:w="60" w:type="dxa"/>
              <w:start w:w="60" w:type="dxa"/>
              <w:bottom w:w="60" w:type="dxa"/>
              <w:end w:w="60" w:type="dxa"/>
            </w:tcMar>
            <w:vAlign w:val="top"/>
          </w:tcPr>
          <w:p>
            <w:r/>
            <w:r>
              <w:rPr>
                <w:rFonts w:ascii="Aptos" w:hAnsi="Aptos"/>
                <w:sz w:val="15"/>
              </w:rPr>
              <w:t>Number of Units / Units in issue</w:t>
            </w:r>
          </w:p>
        </w:tc>
        <w:tc>
          <w:tcPr>
            <w:tcW w:type="dxa" w:w="2494"/>
            <w:tcMar>
              <w:top w:w="60" w:type="dxa"/>
              <w:start w:w="60" w:type="dxa"/>
              <w:bottom w:w="60" w:type="dxa"/>
              <w:end w:w="60" w:type="dxa"/>
            </w:tcMar>
            <w:vAlign w:val="top"/>
          </w:tcPr>
          <w:p>
            <w:r/>
            <w:r>
              <w:rPr>
                <w:rFonts w:ascii="Aptos" w:hAnsi="Aptos"/>
                <w:sz w:val="15"/>
              </w:rPr>
              <w:t>Nombre d’unités</w:t>
            </w:r>
          </w:p>
        </w:tc>
        <w:tc>
          <w:tcPr>
            <w:tcW w:type="dxa" w:w="1531"/>
            <w:tcMar>
              <w:top w:w="60" w:type="dxa"/>
              <w:start w:w="60" w:type="dxa"/>
              <w:bottom w:w="60" w:type="dxa"/>
              <w:end w:w="60" w:type="dxa"/>
            </w:tcMar>
            <w:vAlign w:val="top"/>
          </w:tcPr>
          <w:p>
            <w:r/>
            <w:r>
              <w:rPr>
                <w:rFonts w:ascii="Aptos" w:hAnsi="Aptos"/>
                <w:sz w:val="15"/>
              </w:rPr>
              <w:t>Unités</w:t>
            </w:r>
          </w:p>
        </w:tc>
      </w:tr>
      <w:tr>
        <w:tc>
          <w:tcPr>
            <w:tcW w:type="dxa" w:w="2268"/>
            <w:tcMar>
              <w:top w:w="60" w:type="dxa"/>
              <w:start w:w="60" w:type="dxa"/>
              <w:bottom w:w="60" w:type="dxa"/>
              <w:end w:w="60" w:type="dxa"/>
            </w:tcMar>
            <w:vAlign w:val="top"/>
          </w:tcPr>
          <w:p>
            <w:r/>
            <w:r>
              <w:rPr>
                <w:rFonts w:ascii="Aptos" w:hAnsi="Aptos"/>
                <w:sz w:val="15"/>
              </w:rPr>
              <w:t>yield_wtd</w:t>
            </w:r>
          </w:p>
        </w:tc>
        <w:tc>
          <w:tcPr>
            <w:tcW w:type="dxa" w:w="3005"/>
            <w:tcMar>
              <w:top w:w="60" w:type="dxa"/>
              <w:start w:w="60" w:type="dxa"/>
              <w:bottom w:w="60" w:type="dxa"/>
              <w:end w:w="60" w:type="dxa"/>
            </w:tcMar>
            <w:vAlign w:val="top"/>
          </w:tcPr>
          <w:p>
            <w:r/>
            <w:r>
              <w:rPr>
                <w:rFonts w:ascii="Aptos" w:hAnsi="Aptos"/>
                <w:sz w:val="15"/>
              </w:rPr>
              <w:t>Yield WTD</w:t>
            </w:r>
          </w:p>
        </w:tc>
        <w:tc>
          <w:tcPr>
            <w:tcW w:type="dxa" w:w="2494"/>
            <w:tcMar>
              <w:top w:w="60" w:type="dxa"/>
              <w:start w:w="60" w:type="dxa"/>
              <w:bottom w:w="60" w:type="dxa"/>
              <w:end w:w="60" w:type="dxa"/>
            </w:tcMar>
            <w:vAlign w:val="top"/>
          </w:tcPr>
          <w:p>
            <w:r/>
            <w:r>
              <w:rPr>
                <w:rFonts w:ascii="Aptos" w:hAnsi="Aptos"/>
                <w:sz w:val="15"/>
              </w:rPr>
              <w:t>Rendement</w:t>
            </w:r>
          </w:p>
        </w:tc>
        <w:tc>
          <w:tcPr>
            <w:tcW w:type="dxa" w:w="1531"/>
            <w:tcMar>
              <w:top w:w="60" w:type="dxa"/>
              <w:start w:w="60" w:type="dxa"/>
              <w:bottom w:w="60" w:type="dxa"/>
              <w:end w:w="60" w:type="dxa"/>
            </w:tcMar>
            <w:vAlign w:val="top"/>
          </w:tcPr>
          <w:p>
            <w:r/>
            <w:r>
              <w:rPr>
                <w:rFonts w:ascii="Aptos" w:hAnsi="Aptos"/>
                <w:sz w:val="15"/>
              </w:rPr>
              <w:t>Pourcentage</w:t>
            </w:r>
          </w:p>
        </w:tc>
      </w:tr>
      <w:tr>
        <w:tc>
          <w:tcPr>
            <w:tcW w:type="dxa" w:w="2268"/>
            <w:tcMar>
              <w:top w:w="60" w:type="dxa"/>
              <w:start w:w="60" w:type="dxa"/>
              <w:bottom w:w="60" w:type="dxa"/>
              <w:end w:w="60" w:type="dxa"/>
            </w:tcMar>
            <w:vAlign w:val="top"/>
          </w:tcPr>
          <w:p>
            <w:r/>
            <w:r>
              <w:rPr>
                <w:rFonts w:ascii="Aptos" w:hAnsi="Aptos"/>
                <w:sz w:val="15"/>
              </w:rPr>
              <w:t>yield_ytd</w:t>
            </w:r>
          </w:p>
        </w:tc>
        <w:tc>
          <w:tcPr>
            <w:tcW w:type="dxa" w:w="3005"/>
            <w:tcMar>
              <w:top w:w="60" w:type="dxa"/>
              <w:start w:w="60" w:type="dxa"/>
              <w:bottom w:w="60" w:type="dxa"/>
              <w:end w:w="60" w:type="dxa"/>
            </w:tcMar>
            <w:vAlign w:val="top"/>
          </w:tcPr>
          <w:p>
            <w:r/>
            <w:r>
              <w:rPr>
                <w:rFonts w:ascii="Aptos" w:hAnsi="Aptos"/>
                <w:sz w:val="15"/>
              </w:rPr>
              <w:t>Yield YTD</w:t>
            </w:r>
          </w:p>
        </w:tc>
        <w:tc>
          <w:tcPr>
            <w:tcW w:type="dxa" w:w="2494"/>
            <w:tcMar>
              <w:top w:w="60" w:type="dxa"/>
              <w:start w:w="60" w:type="dxa"/>
              <w:bottom w:w="60" w:type="dxa"/>
              <w:end w:w="60" w:type="dxa"/>
            </w:tcMar>
            <w:vAlign w:val="top"/>
          </w:tcPr>
          <w:p>
            <w:r/>
            <w:r>
              <w:rPr>
                <w:rFonts w:ascii="Aptos" w:hAnsi="Aptos"/>
                <w:sz w:val="15"/>
              </w:rPr>
              <w:t>Rendement</w:t>
            </w:r>
          </w:p>
        </w:tc>
        <w:tc>
          <w:tcPr>
            <w:tcW w:type="dxa" w:w="1531"/>
            <w:tcMar>
              <w:top w:w="60" w:type="dxa"/>
              <w:start w:w="60" w:type="dxa"/>
              <w:bottom w:w="60" w:type="dxa"/>
              <w:end w:w="60" w:type="dxa"/>
            </w:tcMar>
            <w:vAlign w:val="top"/>
          </w:tcPr>
          <w:p>
            <w:r/>
            <w:r>
              <w:rPr>
                <w:rFonts w:ascii="Aptos" w:hAnsi="Aptos"/>
                <w:sz w:val="15"/>
              </w:rPr>
              <w:t>Pourcentage</w:t>
            </w:r>
          </w:p>
        </w:tc>
      </w:tr>
      <w:tr>
        <w:tc>
          <w:tcPr>
            <w:tcW w:type="dxa" w:w="2268"/>
            <w:tcMar>
              <w:top w:w="60" w:type="dxa"/>
              <w:start w:w="60" w:type="dxa"/>
              <w:bottom w:w="60" w:type="dxa"/>
              <w:end w:w="60" w:type="dxa"/>
            </w:tcMar>
            <w:vAlign w:val="top"/>
          </w:tcPr>
          <w:p>
            <w:r/>
            <w:r>
              <w:rPr>
                <w:rFonts w:ascii="Aptos" w:hAnsi="Aptos"/>
                <w:sz w:val="15"/>
              </w:rPr>
              <w:t>market_share</w:t>
            </w:r>
          </w:p>
        </w:tc>
        <w:tc>
          <w:tcPr>
            <w:tcW w:type="dxa" w:w="3005"/>
            <w:tcMar>
              <w:top w:w="60" w:type="dxa"/>
              <w:start w:w="60" w:type="dxa"/>
              <w:bottom w:w="60" w:type="dxa"/>
              <w:end w:w="60" w:type="dxa"/>
            </w:tcMar>
            <w:vAlign w:val="top"/>
          </w:tcPr>
          <w:p>
            <w:r/>
            <w:r>
              <w:rPr>
                <w:rFonts w:ascii="Aptos" w:hAnsi="Aptos"/>
                <w:sz w:val="15"/>
              </w:rPr>
              <w:t>% to Total / % on Total</w:t>
            </w:r>
          </w:p>
        </w:tc>
        <w:tc>
          <w:tcPr>
            <w:tcW w:type="dxa" w:w="2494"/>
            <w:tcMar>
              <w:top w:w="60" w:type="dxa"/>
              <w:start w:w="60" w:type="dxa"/>
              <w:bottom w:w="60" w:type="dxa"/>
              <w:end w:w="60" w:type="dxa"/>
            </w:tcMar>
            <w:vAlign w:val="top"/>
          </w:tcPr>
          <w:p>
            <w:r/>
            <w:r>
              <w:rPr>
                <w:rFonts w:ascii="Aptos" w:hAnsi="Aptos"/>
                <w:sz w:val="15"/>
              </w:rPr>
              <w:t>Part de l’encours agrégé</w:t>
            </w:r>
          </w:p>
        </w:tc>
        <w:tc>
          <w:tcPr>
            <w:tcW w:type="dxa" w:w="1531"/>
            <w:tcMar>
              <w:top w:w="60" w:type="dxa"/>
              <w:start w:w="60" w:type="dxa"/>
              <w:bottom w:w="60" w:type="dxa"/>
              <w:end w:w="60" w:type="dxa"/>
            </w:tcMar>
            <w:vAlign w:val="top"/>
          </w:tcPr>
          <w:p>
            <w:r/>
            <w:r>
              <w:rPr>
                <w:rFonts w:ascii="Aptos" w:hAnsi="Aptos"/>
                <w:sz w:val="15"/>
              </w:rPr>
              <w:t>Pourcentage</w:t>
            </w:r>
          </w:p>
        </w:tc>
      </w:tr>
      <w:tr>
        <w:tc>
          <w:tcPr>
            <w:tcW w:type="dxa" w:w="2268"/>
            <w:tcMar>
              <w:top w:w="60" w:type="dxa"/>
              <w:start w:w="60" w:type="dxa"/>
              <w:bottom w:w="60" w:type="dxa"/>
              <w:end w:w="60" w:type="dxa"/>
            </w:tcMar>
            <w:vAlign w:val="top"/>
          </w:tcPr>
          <w:p>
            <w:r/>
            <w:r>
              <w:rPr>
                <w:rFonts w:ascii="Aptos" w:hAnsi="Aptos"/>
                <w:sz w:val="15"/>
              </w:rPr>
              <w:t>nav_change_pct</w:t>
            </w:r>
          </w:p>
        </w:tc>
        <w:tc>
          <w:tcPr>
            <w:tcW w:type="dxa" w:w="3005"/>
            <w:tcMar>
              <w:top w:w="60" w:type="dxa"/>
              <w:start w:w="60" w:type="dxa"/>
              <w:bottom w:w="60" w:type="dxa"/>
              <w:end w:w="60" w:type="dxa"/>
            </w:tcMar>
            <w:vAlign w:val="top"/>
          </w:tcPr>
          <w:p>
            <w:r/>
            <w:r>
              <w:rPr>
                <w:rFonts w:ascii="Aptos" w:hAnsi="Aptos"/>
                <w:sz w:val="15"/>
              </w:rPr>
              <w:t>NAV % Change</w:t>
            </w:r>
          </w:p>
        </w:tc>
        <w:tc>
          <w:tcPr>
            <w:tcW w:type="dxa" w:w="2494"/>
            <w:tcMar>
              <w:top w:w="60" w:type="dxa"/>
              <w:start w:w="60" w:type="dxa"/>
              <w:bottom w:w="60" w:type="dxa"/>
              <w:end w:w="60" w:type="dxa"/>
            </w:tcMar>
            <w:vAlign w:val="top"/>
          </w:tcPr>
          <w:p>
            <w:r/>
            <w:r>
              <w:rPr>
                <w:rFonts w:ascii="Aptos" w:hAnsi="Aptos"/>
                <w:sz w:val="15"/>
              </w:rPr>
              <w:t>Variation de l’actif net</w:t>
            </w:r>
          </w:p>
        </w:tc>
        <w:tc>
          <w:tcPr>
            <w:tcW w:type="dxa" w:w="1531"/>
            <w:tcMar>
              <w:top w:w="60" w:type="dxa"/>
              <w:start w:w="60" w:type="dxa"/>
              <w:bottom w:w="60" w:type="dxa"/>
              <w:end w:w="60" w:type="dxa"/>
            </w:tcMar>
            <w:vAlign w:val="top"/>
          </w:tcPr>
          <w:p>
            <w:r/>
            <w:r>
              <w:rPr>
                <w:rFonts w:ascii="Aptos" w:hAnsi="Aptos"/>
                <w:sz w:val="15"/>
              </w:rPr>
              <w:t>Pourcentage</w:t>
            </w:r>
          </w:p>
        </w:tc>
      </w:tr>
      <w:tr>
        <w:tc>
          <w:tcPr>
            <w:tcW w:type="dxa" w:w="2268"/>
            <w:tcMar>
              <w:top w:w="60" w:type="dxa"/>
              <w:start w:w="60" w:type="dxa"/>
              <w:bottom w:w="60" w:type="dxa"/>
              <w:end w:w="60" w:type="dxa"/>
            </w:tcMar>
            <w:vAlign w:val="top"/>
          </w:tcPr>
          <w:p>
            <w:r/>
            <w:r>
              <w:rPr>
                <w:rFonts w:ascii="Aptos" w:hAnsi="Aptos"/>
                <w:sz w:val="15"/>
              </w:rPr>
              <w:t>price_change_pct</w:t>
            </w:r>
          </w:p>
        </w:tc>
        <w:tc>
          <w:tcPr>
            <w:tcW w:type="dxa" w:w="3005"/>
            <w:tcMar>
              <w:top w:w="60" w:type="dxa"/>
              <w:start w:w="60" w:type="dxa"/>
              <w:bottom w:w="60" w:type="dxa"/>
              <w:end w:w="60" w:type="dxa"/>
            </w:tcMar>
            <w:vAlign w:val="top"/>
          </w:tcPr>
          <w:p>
            <w:r/>
            <w:r>
              <w:rPr>
                <w:rFonts w:ascii="Aptos" w:hAnsi="Aptos"/>
                <w:sz w:val="15"/>
              </w:rPr>
              <w:t>Unit/Bid/Offer Price % Change</w:t>
            </w:r>
          </w:p>
        </w:tc>
        <w:tc>
          <w:tcPr>
            <w:tcW w:type="dxa" w:w="2494"/>
            <w:tcMar>
              <w:top w:w="60" w:type="dxa"/>
              <w:start w:w="60" w:type="dxa"/>
              <w:bottom w:w="60" w:type="dxa"/>
              <w:end w:w="60" w:type="dxa"/>
            </w:tcMar>
            <w:vAlign w:val="top"/>
          </w:tcPr>
          <w:p>
            <w:r/>
            <w:r>
              <w:rPr>
                <w:rFonts w:ascii="Aptos" w:hAnsi="Aptos"/>
                <w:sz w:val="15"/>
              </w:rPr>
              <w:t>Variation de prix</w:t>
            </w:r>
          </w:p>
        </w:tc>
        <w:tc>
          <w:tcPr>
            <w:tcW w:type="dxa" w:w="1531"/>
            <w:tcMar>
              <w:top w:w="60" w:type="dxa"/>
              <w:start w:w="60" w:type="dxa"/>
              <w:bottom w:w="60" w:type="dxa"/>
              <w:end w:w="60" w:type="dxa"/>
            </w:tcMar>
            <w:vAlign w:val="top"/>
          </w:tcPr>
          <w:p>
            <w:r/>
            <w:r>
              <w:rPr>
                <w:rFonts w:ascii="Aptos" w:hAnsi="Aptos"/>
                <w:sz w:val="15"/>
              </w:rPr>
              <w:t>Pourcentage</w:t>
            </w:r>
          </w:p>
        </w:tc>
      </w:tr>
      <w:tr>
        <w:tc>
          <w:tcPr>
            <w:tcW w:type="dxa" w:w="2268"/>
            <w:tcMar>
              <w:top w:w="60" w:type="dxa"/>
              <w:start w:w="60" w:type="dxa"/>
              <w:bottom w:w="60" w:type="dxa"/>
              <w:end w:w="60" w:type="dxa"/>
            </w:tcMar>
            <w:vAlign w:val="top"/>
          </w:tcPr>
          <w:p>
            <w:r/>
            <w:r>
              <w:rPr>
                <w:rFonts w:ascii="Aptos" w:hAnsi="Aptos"/>
                <w:sz w:val="15"/>
              </w:rPr>
              <w:t>distribution</w:t>
            </w:r>
          </w:p>
        </w:tc>
        <w:tc>
          <w:tcPr>
            <w:tcW w:type="dxa" w:w="3005"/>
            <w:tcMar>
              <w:top w:w="60" w:type="dxa"/>
              <w:start w:w="60" w:type="dxa"/>
              <w:bottom w:w="60" w:type="dxa"/>
              <w:end w:w="60" w:type="dxa"/>
            </w:tcMar>
            <w:vAlign w:val="top"/>
          </w:tcPr>
          <w:p>
            <w:r/>
            <w:r>
              <w:rPr>
                <w:rFonts w:ascii="Aptos" w:hAnsi="Aptos"/>
                <w:sz w:val="15"/>
              </w:rPr>
              <w:t>Dividend / distribution</w:t>
            </w:r>
          </w:p>
        </w:tc>
        <w:tc>
          <w:tcPr>
            <w:tcW w:type="dxa" w:w="2494"/>
            <w:tcMar>
              <w:top w:w="60" w:type="dxa"/>
              <w:start w:w="60" w:type="dxa"/>
              <w:bottom w:w="60" w:type="dxa"/>
              <w:end w:w="60" w:type="dxa"/>
            </w:tcMar>
            <w:vAlign w:val="top"/>
          </w:tcPr>
          <w:p>
            <w:r/>
            <w:r>
              <w:rPr>
                <w:rFonts w:ascii="Aptos" w:hAnsi="Aptos"/>
                <w:sz w:val="15"/>
              </w:rPr>
              <w:t>Montant distribué</w:t>
            </w:r>
          </w:p>
        </w:tc>
        <w:tc>
          <w:tcPr>
            <w:tcW w:type="dxa" w:w="1531"/>
            <w:tcMar>
              <w:top w:w="60" w:type="dxa"/>
              <w:start w:w="60" w:type="dxa"/>
              <w:bottom w:w="60" w:type="dxa"/>
              <w:end w:w="60" w:type="dxa"/>
            </w:tcMar>
            <w:vAlign w:val="top"/>
          </w:tcPr>
          <w:p>
            <w:r/>
            <w:r>
              <w:rPr>
                <w:rFonts w:ascii="Aptos" w:hAnsi="Aptos"/>
                <w:sz w:val="15"/>
              </w:rPr>
              <w:t>Devise par part</w:t>
            </w:r>
          </w:p>
        </w:tc>
      </w:tr>
    </w:tbl>
    <w:p>
      <w:pPr>
        <w:widowControl/>
        <w:spacing w:after="0"/>
      </w:pPr>
    </w:p>
    <w:p>
      <w:pPr>
        <w:pStyle w:val="Heading2"/>
        <w:widowControl/>
      </w:pPr>
      <w:r>
        <w:t>6.1 Valeur de compatibilité</w:t>
      </w:r>
    </w:p>
    <w:p>
      <w:pPr>
        <w:widowControl/>
      </w:pPr>
      <w:r>
        <w:rPr>
          <w:rFonts w:ascii="Aptos" w:hAnsi="Aptos"/>
          <w:sz w:val="19"/>
        </w:rPr>
        <w:t>La couche source ne doit jamais inventer une Unit Price. Si l'application exige un champ unique valorisations.value, la valeur choisie doit être stockée séparément avec une base de sélection explicite.</w:t>
      </w:r>
    </w:p>
    <w:p>
      <w:pPr>
        <w:pStyle w:val="CodeNigeria"/>
        <w:widowControl/>
        <w:shd w:fill="F4F6F7"/>
      </w:pPr>
      <w:r>
        <w:rPr>
          <w:rFonts w:ascii="Liberation Mono" w:hAnsi="Liberation Mono"/>
          <w:color w:val="1E1E1E"/>
          <w:sz w:val="15"/>
        </w:rPr>
        <w:t>selected_valuation_value =</w:t>
        <w:br/>
        <w:t xml:space="preserve">    unit_price, if explicit_unit_price exists</w:t>
        <w:br/>
        <w:t xml:space="preserve">    else offer_price, only if product policy explicitly chooses offer as display proxy</w:t>
        <w:br/>
        <w:t xml:space="preserve">    else bid_price, only as documented fallback</w:t>
        <w:br/>
        <w:t xml:space="preserve">    else null</w:t>
        <w:br/>
        <w:br/>
        <w:t>selected_value_basis = explicit_unit_price | offer_proxy | bid_fallback | unavailable</w:t>
      </w:r>
    </w:p>
    <w:tbl>
      <w:tblPr>
        <w:tblW w:type="auto" w:w="0"/>
        <w:jc w:val="center"/>
        <w:tblLayout w:type="autofit"/>
        <w:tblLook w:firstColumn="1" w:firstRow="1" w:lastColumn="0" w:lastRow="0" w:noHBand="0" w:noVBand="1" w:val="04A0"/>
      </w:tblPr>
      <w:tblGrid>
        <w:gridCol w:w="10200"/>
      </w:tblGrid>
      <w:tr>
        <w:tc>
          <w:tcPr>
            <w:tcW w:type="dxa" w:w="10200"/>
            <w:shd w:fill="EAF3F8"/>
            <w:tcMar>
              <w:top w:w="140" w:type="dxa"/>
              <w:start w:w="150" w:type="dxa"/>
              <w:bottom w:w="140" w:type="dxa"/>
              <w:end w:w="150" w:type="dxa"/>
            </w:tcMar>
          </w:tcPr>
          <w:p>
            <w:r>
              <w:rPr>
                <w:rFonts w:ascii="Aptos" w:hAnsi="Aptos"/>
                <w:b/>
                <w:color w:val="123E5E"/>
                <w:sz w:val="18"/>
              </w:rPr>
              <w:t xml:space="preserve">Nuance impérative — </w:t>
            </w:r>
            <w:r>
              <w:rPr>
                <w:rFonts w:ascii="Aptos" w:hAnsi="Aptos"/>
                <w:sz w:val="18"/>
              </w:rPr>
              <w:t>Le choix d'Offer Price comme valeur d'affichage ne transforme pas Offer Price en Unit Price. Le champ source unit_price reste nul si la source ne publie pas de prix unitaire explicite.</w:t>
            </w:r>
          </w:p>
        </w:tc>
      </w:tr>
    </w:tbl>
    <w:p>
      <w:pPr>
        <w:widowControl/>
        <w:spacing w:after="0"/>
      </w:pPr>
    </w:p>
    <w:p>
      <w:pPr>
        <w:pStyle w:val="Heading2"/>
        <w:widowControl/>
      </w:pPr>
      <w:r>
        <w:t>6.2 Devises par mesure</w:t>
      </w:r>
    </w:p>
    <w:p>
      <w:pPr>
        <w:pStyle w:val="ListBullet"/>
        <w:widowControl/>
        <w:ind w:left="397" w:hanging="142"/>
      </w:pPr>
      <w:r>
        <w:rPr>
          <w:rFonts w:ascii="Aptos" w:hAnsi="Aptos"/>
          <w:sz w:val="18"/>
        </w:rPr>
        <w:t>Attacher la devise à chaque mesure, pas uniquement au fonds.</w:t>
      </w:r>
    </w:p>
    <w:p>
      <w:pPr>
        <w:pStyle w:val="ListBullet"/>
        <w:widowControl/>
        <w:ind w:left="397" w:hanging="142"/>
      </w:pPr>
      <w:r>
        <w:rPr>
          <w:rFonts w:ascii="Aptos" w:hAnsi="Aptos"/>
          <w:sz w:val="18"/>
        </w:rPr>
        <w:t>Un fonds dollar peut publier NAV USD, contre-valeur NAV NGN, Bid USD/NGN et Offer USD/NGN.</w:t>
      </w:r>
    </w:p>
    <w:p>
      <w:pPr>
        <w:pStyle w:val="ListBullet"/>
        <w:widowControl/>
        <w:ind w:left="397" w:hanging="142"/>
      </w:pPr>
      <w:r>
        <w:rPr>
          <w:rFonts w:ascii="Aptos" w:hAnsi="Aptos"/>
          <w:sz w:val="18"/>
        </w:rPr>
        <w:t>Ne jamais mélanger des valeurs NGN et USD dans une même série.</w:t>
      </w:r>
    </w:p>
    <w:p>
      <w:pPr>
        <w:pStyle w:val="ListBullet"/>
        <w:widowControl/>
        <w:ind w:left="397" w:hanging="142"/>
      </w:pPr>
      <w:r>
        <w:rPr>
          <w:rFonts w:ascii="Aptos" w:hAnsi="Aptos"/>
          <w:sz w:val="18"/>
        </w:rPr>
        <w:t>Ne jamais convertir automatiquement dans la couche d'extraction.</w:t>
      </w:r>
    </w:p>
    <w:p>
      <w:pPr>
        <w:pStyle w:val="ListBullet"/>
        <w:widowControl/>
        <w:ind w:left="397" w:hanging="142"/>
      </w:pPr>
      <w:r>
        <w:rPr>
          <w:rFonts w:ascii="Aptos" w:hAnsi="Aptos"/>
          <w:sz w:val="18"/>
        </w:rPr>
        <w:t>Une conversion analytique doit conserver taux, source, date, méthode, valeur originale et valeur convertie.</w:t>
      </w:r>
    </w:p>
    <w:p>
      <w:pPr>
        <w:pStyle w:val="ListBullet"/>
        <w:widowControl/>
        <w:ind w:left="397" w:hanging="142"/>
      </w:pPr>
      <w:r>
        <w:rPr>
          <w:rFonts w:ascii="Aptos" w:hAnsi="Aptos"/>
          <w:sz w:val="18"/>
        </w:rPr>
        <w:t>Les symboles $, USD, N, ₦, NGN et les en-têtes fusionnés doivent être interprétés ensemble.</w:t>
      </w:r>
    </w:p>
    <w:p>
      <w:pPr>
        <w:pStyle w:val="Heading2"/>
        <w:widowControl/>
      </w:pPr>
      <w:r>
        <w:t>6.3 Parsing numérique robuste</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268"/>
            <w:shd w:fill="D9EAF2"/>
            <w:tcMar>
              <w:top w:w="70" w:type="dxa"/>
              <w:start w:w="70" w:type="dxa"/>
              <w:bottom w:w="70" w:type="dxa"/>
              <w:end w:w="70" w:type="dxa"/>
            </w:tcMar>
            <w:vAlign w:val="center"/>
          </w:tcPr>
          <w:p>
            <w:r/>
            <w:r>
              <w:rPr>
                <w:rFonts w:ascii="Aptos" w:hAnsi="Aptos"/>
                <w:b/>
                <w:color w:val="123E5E"/>
                <w:sz w:val="15"/>
              </w:rPr>
              <w:t>Exemple</w:t>
            </w:r>
          </w:p>
        </w:tc>
        <w:tc>
          <w:tcPr>
            <w:tcW w:type="dxa" w:w="3515"/>
            <w:shd w:fill="D9EAF2"/>
            <w:tcMar>
              <w:top w:w="70" w:type="dxa"/>
              <w:start w:w="70" w:type="dxa"/>
              <w:bottom w:w="70" w:type="dxa"/>
              <w:end w:w="70" w:type="dxa"/>
            </w:tcMar>
            <w:vAlign w:val="center"/>
          </w:tcPr>
          <w:p>
            <w:r/>
            <w:r>
              <w:rPr>
                <w:rFonts w:ascii="Aptos" w:hAnsi="Aptos"/>
                <w:b/>
                <w:color w:val="123E5E"/>
                <w:sz w:val="15"/>
              </w:rPr>
              <w:t>Interprétation</w:t>
            </w:r>
          </w:p>
        </w:tc>
        <w:tc>
          <w:tcPr>
            <w:tcW w:type="dxa" w:w="3515"/>
            <w:shd w:fill="D9EAF2"/>
            <w:tcMar>
              <w:top w:w="70" w:type="dxa"/>
              <w:start w:w="70" w:type="dxa"/>
              <w:bottom w:w="70" w:type="dxa"/>
              <w:end w:w="70" w:type="dxa"/>
            </w:tcMar>
            <w:vAlign w:val="center"/>
          </w:tcPr>
          <w:p>
            <w:r/>
            <w:r>
              <w:rPr>
                <w:rFonts w:ascii="Aptos" w:hAnsi="Aptos"/>
                <w:b/>
                <w:color w:val="123E5E"/>
                <w:sz w:val="15"/>
              </w:rPr>
              <w:t>Sortie</w:t>
            </w:r>
          </w:p>
        </w:tc>
      </w:tr>
      <w:tr>
        <w:tc>
          <w:tcPr>
            <w:tcW w:type="dxa" w:w="2268"/>
            <w:tcMar>
              <w:top w:w="60" w:type="dxa"/>
              <w:start w:w="60" w:type="dxa"/>
              <w:bottom w:w="60" w:type="dxa"/>
              <w:end w:w="60" w:type="dxa"/>
            </w:tcMar>
            <w:vAlign w:val="top"/>
          </w:tcPr>
          <w:p>
            <w:r/>
            <w:r>
              <w:rPr>
                <w:rFonts w:ascii="Aptos" w:hAnsi="Aptos"/>
                <w:sz w:val="15"/>
              </w:rPr>
              <w:t>1,234,567.89</w:t>
            </w:r>
          </w:p>
        </w:tc>
        <w:tc>
          <w:tcPr>
            <w:tcW w:type="dxa" w:w="3515"/>
            <w:tcMar>
              <w:top w:w="60" w:type="dxa"/>
              <w:start w:w="60" w:type="dxa"/>
              <w:bottom w:w="60" w:type="dxa"/>
              <w:end w:w="60" w:type="dxa"/>
            </w:tcMar>
            <w:vAlign w:val="top"/>
          </w:tcPr>
          <w:p>
            <w:r/>
            <w:r>
              <w:rPr>
                <w:rFonts w:ascii="Aptos" w:hAnsi="Aptos"/>
                <w:sz w:val="15"/>
              </w:rPr>
              <w:t>virgule milliers, point décimal</w:t>
            </w:r>
          </w:p>
        </w:tc>
        <w:tc>
          <w:tcPr>
            <w:tcW w:type="dxa" w:w="3515"/>
            <w:tcMar>
              <w:top w:w="60" w:type="dxa"/>
              <w:start w:w="60" w:type="dxa"/>
              <w:bottom w:w="60" w:type="dxa"/>
              <w:end w:w="60" w:type="dxa"/>
            </w:tcMar>
            <w:vAlign w:val="top"/>
          </w:tcPr>
          <w:p>
            <w:r/>
            <w:r>
              <w:rPr>
                <w:rFonts w:ascii="Aptos" w:hAnsi="Aptos"/>
                <w:sz w:val="15"/>
              </w:rPr>
              <w:t>1234567.89</w:t>
            </w:r>
          </w:p>
        </w:tc>
      </w:tr>
      <w:tr>
        <w:tc>
          <w:tcPr>
            <w:tcW w:type="dxa" w:w="2268"/>
            <w:tcMar>
              <w:top w:w="60" w:type="dxa"/>
              <w:start w:w="60" w:type="dxa"/>
              <w:bottom w:w="60" w:type="dxa"/>
              <w:end w:w="60" w:type="dxa"/>
            </w:tcMar>
            <w:vAlign w:val="top"/>
          </w:tcPr>
          <w:p>
            <w:r/>
            <w:r>
              <w:rPr>
                <w:rFonts w:ascii="Aptos" w:hAnsi="Aptos"/>
                <w:sz w:val="15"/>
              </w:rPr>
              <w:t>1 234 567.89</w:t>
            </w:r>
          </w:p>
        </w:tc>
        <w:tc>
          <w:tcPr>
            <w:tcW w:type="dxa" w:w="3515"/>
            <w:tcMar>
              <w:top w:w="60" w:type="dxa"/>
              <w:start w:w="60" w:type="dxa"/>
              <w:bottom w:w="60" w:type="dxa"/>
              <w:end w:w="60" w:type="dxa"/>
            </w:tcMar>
            <w:vAlign w:val="top"/>
          </w:tcPr>
          <w:p>
            <w:r/>
            <w:r>
              <w:rPr>
                <w:rFonts w:ascii="Aptos" w:hAnsi="Aptos"/>
                <w:sz w:val="15"/>
              </w:rPr>
              <w:t>espaces milliers, point décimal</w:t>
            </w:r>
          </w:p>
        </w:tc>
        <w:tc>
          <w:tcPr>
            <w:tcW w:type="dxa" w:w="3515"/>
            <w:tcMar>
              <w:top w:w="60" w:type="dxa"/>
              <w:start w:w="60" w:type="dxa"/>
              <w:bottom w:w="60" w:type="dxa"/>
              <w:end w:w="60" w:type="dxa"/>
            </w:tcMar>
            <w:vAlign w:val="top"/>
          </w:tcPr>
          <w:p>
            <w:r/>
            <w:r>
              <w:rPr>
                <w:rFonts w:ascii="Aptos" w:hAnsi="Aptos"/>
                <w:sz w:val="15"/>
              </w:rPr>
              <w:t>1234567.89</w:t>
            </w:r>
          </w:p>
        </w:tc>
      </w:tr>
      <w:tr>
        <w:tc>
          <w:tcPr>
            <w:tcW w:type="dxa" w:w="2268"/>
            <w:tcMar>
              <w:top w:w="60" w:type="dxa"/>
              <w:start w:w="60" w:type="dxa"/>
              <w:bottom w:w="60" w:type="dxa"/>
              <w:end w:w="60" w:type="dxa"/>
            </w:tcMar>
            <w:vAlign w:val="top"/>
          </w:tcPr>
          <w:p>
            <w:r/>
            <w:r>
              <w:rPr>
                <w:rFonts w:ascii="Aptos" w:hAnsi="Aptos"/>
                <w:sz w:val="15"/>
              </w:rPr>
              <w:t>1 234 567,89</w:t>
            </w:r>
          </w:p>
        </w:tc>
        <w:tc>
          <w:tcPr>
            <w:tcW w:type="dxa" w:w="3515"/>
            <w:tcMar>
              <w:top w:w="60" w:type="dxa"/>
              <w:start w:w="60" w:type="dxa"/>
              <w:bottom w:w="60" w:type="dxa"/>
              <w:end w:w="60" w:type="dxa"/>
            </w:tcMar>
            <w:vAlign w:val="top"/>
          </w:tcPr>
          <w:p>
            <w:r/>
            <w:r>
              <w:rPr>
                <w:rFonts w:ascii="Aptos" w:hAnsi="Aptos"/>
                <w:sz w:val="15"/>
              </w:rPr>
              <w:t>espaces insécables, virgule décimale</w:t>
            </w:r>
          </w:p>
        </w:tc>
        <w:tc>
          <w:tcPr>
            <w:tcW w:type="dxa" w:w="3515"/>
            <w:tcMar>
              <w:top w:w="60" w:type="dxa"/>
              <w:start w:w="60" w:type="dxa"/>
              <w:bottom w:w="60" w:type="dxa"/>
              <w:end w:w="60" w:type="dxa"/>
            </w:tcMar>
            <w:vAlign w:val="top"/>
          </w:tcPr>
          <w:p>
            <w:r/>
            <w:r>
              <w:rPr>
                <w:rFonts w:ascii="Aptos" w:hAnsi="Aptos"/>
                <w:sz w:val="15"/>
              </w:rPr>
              <w:t>1234567.89 — seulement si le contexte confirme le format</w:t>
            </w:r>
          </w:p>
        </w:tc>
      </w:tr>
      <w:tr>
        <w:tc>
          <w:tcPr>
            <w:tcW w:type="dxa" w:w="2268"/>
            <w:tcMar>
              <w:top w:w="60" w:type="dxa"/>
              <w:start w:w="60" w:type="dxa"/>
              <w:bottom w:w="60" w:type="dxa"/>
              <w:end w:w="60" w:type="dxa"/>
            </w:tcMar>
            <w:vAlign w:val="top"/>
          </w:tcPr>
          <w:p>
            <w:r/>
            <w:r>
              <w:rPr>
                <w:rFonts w:ascii="Aptos" w:hAnsi="Aptos"/>
                <w:sz w:val="15"/>
              </w:rPr>
              <w:t>₦1,234.50</w:t>
            </w:r>
          </w:p>
        </w:tc>
        <w:tc>
          <w:tcPr>
            <w:tcW w:type="dxa" w:w="3515"/>
            <w:tcMar>
              <w:top w:w="60" w:type="dxa"/>
              <w:start w:w="60" w:type="dxa"/>
              <w:bottom w:w="60" w:type="dxa"/>
              <w:end w:w="60" w:type="dxa"/>
            </w:tcMar>
            <w:vAlign w:val="top"/>
          </w:tcPr>
          <w:p>
            <w:r/>
            <w:r>
              <w:rPr>
                <w:rFonts w:ascii="Aptos" w:hAnsi="Aptos"/>
                <w:sz w:val="15"/>
              </w:rPr>
              <w:t>symbole monétaire</w:t>
            </w:r>
          </w:p>
        </w:tc>
        <w:tc>
          <w:tcPr>
            <w:tcW w:type="dxa" w:w="3515"/>
            <w:tcMar>
              <w:top w:w="60" w:type="dxa"/>
              <w:start w:w="60" w:type="dxa"/>
              <w:bottom w:w="60" w:type="dxa"/>
              <w:end w:w="60" w:type="dxa"/>
            </w:tcMar>
            <w:vAlign w:val="top"/>
          </w:tcPr>
          <w:p>
            <w:r/>
            <w:r>
              <w:rPr>
                <w:rFonts w:ascii="Aptos" w:hAnsi="Aptos"/>
                <w:sz w:val="15"/>
              </w:rPr>
              <w:t>1234.50 + NGN</w:t>
            </w:r>
          </w:p>
        </w:tc>
      </w:tr>
      <w:tr>
        <w:tc>
          <w:tcPr>
            <w:tcW w:type="dxa" w:w="2268"/>
            <w:tcMar>
              <w:top w:w="60" w:type="dxa"/>
              <w:start w:w="60" w:type="dxa"/>
              <w:bottom w:w="60" w:type="dxa"/>
              <w:end w:w="60" w:type="dxa"/>
            </w:tcMar>
            <w:vAlign w:val="top"/>
          </w:tcPr>
          <w:p>
            <w:r/>
            <w:r>
              <w:rPr>
                <w:rFonts w:ascii="Aptos" w:hAnsi="Aptos"/>
                <w:sz w:val="15"/>
              </w:rPr>
              <w:t>$1.2345</w:t>
            </w:r>
          </w:p>
        </w:tc>
        <w:tc>
          <w:tcPr>
            <w:tcW w:type="dxa" w:w="3515"/>
            <w:tcMar>
              <w:top w:w="60" w:type="dxa"/>
              <w:start w:w="60" w:type="dxa"/>
              <w:bottom w:w="60" w:type="dxa"/>
              <w:end w:w="60" w:type="dxa"/>
            </w:tcMar>
            <w:vAlign w:val="top"/>
          </w:tcPr>
          <w:p>
            <w:r/>
            <w:r>
              <w:rPr>
                <w:rFonts w:ascii="Aptos" w:hAnsi="Aptos"/>
                <w:sz w:val="15"/>
              </w:rPr>
              <w:t>prix USD</w:t>
            </w:r>
          </w:p>
        </w:tc>
        <w:tc>
          <w:tcPr>
            <w:tcW w:type="dxa" w:w="3515"/>
            <w:tcMar>
              <w:top w:w="60" w:type="dxa"/>
              <w:start w:w="60" w:type="dxa"/>
              <w:bottom w:w="60" w:type="dxa"/>
              <w:end w:w="60" w:type="dxa"/>
            </w:tcMar>
            <w:vAlign w:val="top"/>
          </w:tcPr>
          <w:p>
            <w:r/>
            <w:r>
              <w:rPr>
                <w:rFonts w:ascii="Aptos" w:hAnsi="Aptos"/>
                <w:sz w:val="15"/>
              </w:rPr>
              <w:t>1.2345 + USD</w:t>
            </w:r>
          </w:p>
        </w:tc>
      </w:tr>
      <w:tr>
        <w:tc>
          <w:tcPr>
            <w:tcW w:type="dxa" w:w="2268"/>
            <w:tcMar>
              <w:top w:w="60" w:type="dxa"/>
              <w:start w:w="60" w:type="dxa"/>
              <w:bottom w:w="60" w:type="dxa"/>
              <w:end w:w="60" w:type="dxa"/>
            </w:tcMar>
            <w:vAlign w:val="top"/>
          </w:tcPr>
          <w:p>
            <w:r/>
            <w:r>
              <w:rPr>
                <w:rFonts w:ascii="Aptos" w:hAnsi="Aptos"/>
                <w:sz w:val="15"/>
              </w:rPr>
              <w:t>(1,234.50)</w:t>
            </w:r>
          </w:p>
        </w:tc>
        <w:tc>
          <w:tcPr>
            <w:tcW w:type="dxa" w:w="3515"/>
            <w:tcMar>
              <w:top w:w="60" w:type="dxa"/>
              <w:start w:w="60" w:type="dxa"/>
              <w:bottom w:w="60" w:type="dxa"/>
              <w:end w:w="60" w:type="dxa"/>
            </w:tcMar>
            <w:vAlign w:val="top"/>
          </w:tcPr>
          <w:p>
            <w:r/>
            <w:r>
              <w:rPr>
                <w:rFonts w:ascii="Aptos" w:hAnsi="Aptos"/>
                <w:sz w:val="15"/>
              </w:rPr>
              <w:t>valeur négative comptable</w:t>
            </w:r>
          </w:p>
        </w:tc>
        <w:tc>
          <w:tcPr>
            <w:tcW w:type="dxa" w:w="3515"/>
            <w:tcMar>
              <w:top w:w="60" w:type="dxa"/>
              <w:start w:w="60" w:type="dxa"/>
              <w:bottom w:w="60" w:type="dxa"/>
              <w:end w:w="60" w:type="dxa"/>
            </w:tcMar>
            <w:vAlign w:val="top"/>
          </w:tcPr>
          <w:p>
            <w:r/>
            <w:r>
              <w:rPr>
                <w:rFonts w:ascii="Aptos" w:hAnsi="Aptos"/>
                <w:sz w:val="15"/>
              </w:rPr>
              <w:t>-1234.50 si convention confirmée</w:t>
            </w:r>
          </w:p>
        </w:tc>
      </w:tr>
      <w:tr>
        <w:tc>
          <w:tcPr>
            <w:tcW w:type="dxa" w:w="2268"/>
            <w:tcMar>
              <w:top w:w="60" w:type="dxa"/>
              <w:start w:w="60" w:type="dxa"/>
              <w:bottom w:w="60" w:type="dxa"/>
              <w:end w:w="60" w:type="dxa"/>
            </w:tcMar>
            <w:vAlign w:val="top"/>
          </w:tcPr>
          <w:p>
            <w:r/>
            <w:r>
              <w:rPr>
                <w:rFonts w:ascii="Aptos" w:hAnsi="Aptos"/>
                <w:sz w:val="15"/>
              </w:rPr>
              <w:t>-</w:t>
            </w:r>
          </w:p>
        </w:tc>
        <w:tc>
          <w:tcPr>
            <w:tcW w:type="dxa" w:w="3515"/>
            <w:tcMar>
              <w:top w:w="60" w:type="dxa"/>
              <w:start w:w="60" w:type="dxa"/>
              <w:bottom w:w="60" w:type="dxa"/>
              <w:end w:w="60" w:type="dxa"/>
            </w:tcMar>
            <w:vAlign w:val="top"/>
          </w:tcPr>
          <w:p>
            <w:r/>
            <w:r>
              <w:rPr>
                <w:rFonts w:ascii="Aptos" w:hAnsi="Aptos"/>
                <w:sz w:val="15"/>
              </w:rPr>
              <w:t>absence ou tiret</w:t>
            </w:r>
          </w:p>
        </w:tc>
        <w:tc>
          <w:tcPr>
            <w:tcW w:type="dxa" w:w="3515"/>
            <w:tcMar>
              <w:top w:w="60" w:type="dxa"/>
              <w:start w:w="60" w:type="dxa"/>
              <w:bottom w:w="60" w:type="dxa"/>
              <w:end w:w="60" w:type="dxa"/>
            </w:tcMar>
            <w:vAlign w:val="top"/>
          </w:tcPr>
          <w:p>
            <w:r/>
            <w:r>
              <w:rPr>
                <w:rFonts w:ascii="Aptos" w:hAnsi="Aptos"/>
                <w:sz w:val="15"/>
              </w:rPr>
              <w:t>null, pas zéro</w:t>
            </w:r>
          </w:p>
        </w:tc>
      </w:tr>
      <w:tr>
        <w:tc>
          <w:tcPr>
            <w:tcW w:type="dxa" w:w="2268"/>
            <w:tcMar>
              <w:top w:w="60" w:type="dxa"/>
              <w:start w:w="60" w:type="dxa"/>
              <w:bottom w:w="60" w:type="dxa"/>
              <w:end w:w="60" w:type="dxa"/>
            </w:tcMar>
            <w:vAlign w:val="top"/>
          </w:tcPr>
          <w:p>
            <w:r/>
            <w:r>
              <w:rPr>
                <w:rFonts w:ascii="Aptos" w:hAnsi="Aptos"/>
                <w:sz w:val="15"/>
              </w:rPr>
              <w:t>N/A / Nil</w:t>
            </w:r>
          </w:p>
        </w:tc>
        <w:tc>
          <w:tcPr>
            <w:tcW w:type="dxa" w:w="3515"/>
            <w:tcMar>
              <w:top w:w="60" w:type="dxa"/>
              <w:start w:w="60" w:type="dxa"/>
              <w:bottom w:w="60" w:type="dxa"/>
              <w:end w:w="60" w:type="dxa"/>
            </w:tcMar>
            <w:vAlign w:val="top"/>
          </w:tcPr>
          <w:p>
            <w:r/>
            <w:r>
              <w:rPr>
                <w:rFonts w:ascii="Aptos" w:hAnsi="Aptos"/>
                <w:sz w:val="15"/>
              </w:rPr>
              <w:t>non disponible / zéro selon texte</w:t>
            </w:r>
          </w:p>
        </w:tc>
        <w:tc>
          <w:tcPr>
            <w:tcW w:type="dxa" w:w="3515"/>
            <w:tcMar>
              <w:top w:w="60" w:type="dxa"/>
              <w:start w:w="60" w:type="dxa"/>
              <w:bottom w:w="60" w:type="dxa"/>
              <w:end w:w="60" w:type="dxa"/>
            </w:tcMar>
            <w:vAlign w:val="top"/>
          </w:tcPr>
          <w:p>
            <w:r/>
            <w:r>
              <w:rPr>
                <w:rFonts w:ascii="Aptos" w:hAnsi="Aptos"/>
                <w:sz w:val="15"/>
              </w:rPr>
              <w:t>statut distinct ; ne pas généraliser</w:t>
            </w:r>
          </w:p>
        </w:tc>
      </w:tr>
      <w:tr>
        <w:tc>
          <w:tcPr>
            <w:tcW w:type="dxa" w:w="2268"/>
            <w:tcMar>
              <w:top w:w="60" w:type="dxa"/>
              <w:start w:w="60" w:type="dxa"/>
              <w:bottom w:w="60" w:type="dxa"/>
              <w:end w:w="60" w:type="dxa"/>
            </w:tcMar>
            <w:vAlign w:val="top"/>
          </w:tcPr>
          <w:p>
            <w:r/>
            <w:r>
              <w:rPr>
                <w:rFonts w:ascii="Aptos" w:hAnsi="Aptos"/>
                <w:sz w:val="15"/>
              </w:rPr>
              <w:t>0 / 0.00</w:t>
            </w:r>
          </w:p>
        </w:tc>
        <w:tc>
          <w:tcPr>
            <w:tcW w:type="dxa" w:w="3515"/>
            <w:tcMar>
              <w:top w:w="60" w:type="dxa"/>
              <w:start w:w="60" w:type="dxa"/>
              <w:bottom w:w="60" w:type="dxa"/>
              <w:end w:w="60" w:type="dxa"/>
            </w:tcMar>
            <w:vAlign w:val="top"/>
          </w:tcPr>
          <w:p>
            <w:r/>
            <w:r>
              <w:rPr>
                <w:rFonts w:ascii="Aptos" w:hAnsi="Aptos"/>
                <w:sz w:val="15"/>
              </w:rPr>
              <w:t>zéro publié</w:t>
            </w:r>
          </w:p>
        </w:tc>
        <w:tc>
          <w:tcPr>
            <w:tcW w:type="dxa" w:w="3515"/>
            <w:tcMar>
              <w:top w:w="60" w:type="dxa"/>
              <w:start w:w="60" w:type="dxa"/>
              <w:bottom w:w="60" w:type="dxa"/>
              <w:end w:w="60" w:type="dxa"/>
            </w:tcMar>
            <w:vAlign w:val="top"/>
          </w:tcPr>
          <w:p>
            <w:r/>
            <w:r>
              <w:rPr>
                <w:rFonts w:ascii="Aptos" w:hAnsi="Aptos"/>
                <w:sz w:val="15"/>
              </w:rPr>
              <w:t>0 + SOURCE_ZERO</w:t>
            </w:r>
          </w:p>
        </w:tc>
      </w:tr>
      <w:tr>
        <w:tc>
          <w:tcPr>
            <w:tcW w:type="dxa" w:w="2268"/>
            <w:tcMar>
              <w:top w:w="60" w:type="dxa"/>
              <w:start w:w="60" w:type="dxa"/>
              <w:bottom w:w="60" w:type="dxa"/>
              <w:end w:w="60" w:type="dxa"/>
            </w:tcMar>
            <w:vAlign w:val="top"/>
          </w:tcPr>
          <w:p>
            <w:r/>
            <w:r>
              <w:rPr>
                <w:rFonts w:ascii="Aptos" w:hAnsi="Aptos"/>
                <w:sz w:val="15"/>
              </w:rPr>
              <w:t>formule Excel</w:t>
            </w:r>
          </w:p>
        </w:tc>
        <w:tc>
          <w:tcPr>
            <w:tcW w:type="dxa" w:w="3515"/>
            <w:tcMar>
              <w:top w:w="60" w:type="dxa"/>
              <w:start w:w="60" w:type="dxa"/>
              <w:bottom w:w="60" w:type="dxa"/>
              <w:end w:w="60" w:type="dxa"/>
            </w:tcMar>
            <w:vAlign w:val="top"/>
          </w:tcPr>
          <w:p>
            <w:r/>
            <w:r>
              <w:rPr>
                <w:rFonts w:ascii="Aptos" w:hAnsi="Aptos"/>
                <w:sz w:val="15"/>
              </w:rPr>
              <w:t>formule + valeur calculée</w:t>
            </w:r>
          </w:p>
        </w:tc>
        <w:tc>
          <w:tcPr>
            <w:tcW w:type="dxa" w:w="3515"/>
            <w:tcMar>
              <w:top w:w="60" w:type="dxa"/>
              <w:start w:w="60" w:type="dxa"/>
              <w:bottom w:w="60" w:type="dxa"/>
              <w:end w:w="60" w:type="dxa"/>
            </w:tcMar>
            <w:vAlign w:val="top"/>
          </w:tcPr>
          <w:p>
            <w:r/>
            <w:r>
              <w:rPr>
                <w:rFonts w:ascii="Aptos" w:hAnsi="Aptos"/>
                <w:sz w:val="15"/>
              </w:rPr>
              <w:t>conserver formula_raw et cached_value</w:t>
            </w:r>
          </w:p>
        </w:tc>
      </w:tr>
    </w:tbl>
    <w:p>
      <w:pPr>
        <w:widowControl/>
        <w:spacing w:after="0"/>
      </w:pPr>
    </w:p>
    <w:p>
      <w:pPr>
        <w:pStyle w:val="Heading3"/>
        <w:widowControl/>
      </w:pPr>
      <w:r>
        <w:t>Règles de décision pour les séparateurs</w:t>
      </w:r>
    </w:p>
    <w:p>
      <w:pPr>
        <w:pStyle w:val="ListBullet"/>
        <w:widowControl/>
        <w:ind w:left="397" w:hanging="142"/>
      </w:pPr>
      <w:r>
        <w:rPr>
          <w:rFonts w:ascii="Aptos" w:hAnsi="Aptos"/>
          <w:sz w:val="18"/>
        </w:rPr>
        <w:t>Lire le type Excel natif avant de traiter la représentation texte.</w:t>
      </w:r>
    </w:p>
    <w:p>
      <w:pPr>
        <w:pStyle w:val="ListBullet"/>
        <w:widowControl/>
        <w:ind w:left="397" w:hanging="142"/>
      </w:pPr>
      <w:r>
        <w:rPr>
          <w:rFonts w:ascii="Aptos" w:hAnsi="Aptos"/>
          <w:sz w:val="18"/>
        </w:rPr>
        <w:t>Normaliser espaces standards, insécables et espaces fines comme séparateurs possibles de milliers.</w:t>
      </w:r>
    </w:p>
    <w:p>
      <w:pPr>
        <w:pStyle w:val="ListBullet"/>
        <w:widowControl/>
        <w:ind w:left="397" w:hanging="142"/>
      </w:pPr>
      <w:r>
        <w:rPr>
          <w:rFonts w:ascii="Aptos" w:hAnsi="Aptos"/>
          <w:sz w:val="18"/>
        </w:rPr>
        <w:t>Si virgule et point coexistent, le dernier séparateur est généralement décimal seulement si les groupes précédents sont cohérents ; confirmer par colonne.</w:t>
      </w:r>
    </w:p>
    <w:p>
      <w:pPr>
        <w:pStyle w:val="ListBullet"/>
        <w:widowControl/>
        <w:ind w:left="397" w:hanging="142"/>
      </w:pPr>
      <w:r>
        <w:rPr>
          <w:rFonts w:ascii="Aptos" w:hAnsi="Aptos"/>
          <w:sz w:val="18"/>
        </w:rPr>
        <w:t>Si un seul séparateur existe, utiliser le format dominant de la colonne et l’échelle attendue de la mesure.</w:t>
      </w:r>
    </w:p>
    <w:p>
      <w:pPr>
        <w:pStyle w:val="ListBullet"/>
        <w:widowControl/>
        <w:ind w:left="397" w:hanging="142"/>
      </w:pPr>
      <w:r>
        <w:rPr>
          <w:rFonts w:ascii="Aptos" w:hAnsi="Aptos"/>
          <w:sz w:val="18"/>
        </w:rPr>
        <w:t>Ne jamais supprimer tous les points et toutes les virgules sans décision de format.</w:t>
      </w:r>
    </w:p>
    <w:p>
      <w:pPr>
        <w:pStyle w:val="ListBullet"/>
        <w:widowControl/>
        <w:ind w:left="397" w:hanging="142"/>
      </w:pPr>
      <w:r>
        <w:rPr>
          <w:rFonts w:ascii="Aptos" w:hAnsi="Aptos"/>
          <w:sz w:val="18"/>
        </w:rPr>
        <w:t>Conserver raw_value, cleaned_value, numeric_value, parse_rule et parse_confidence.</w:t>
      </w:r>
    </w:p>
    <w:p>
      <w:pPr>
        <w:pStyle w:val="ListBullet"/>
        <w:widowControl/>
        <w:ind w:left="397" w:hanging="142"/>
      </w:pPr>
      <w:r>
        <w:rPr>
          <w:rFonts w:ascii="Aptos" w:hAnsi="Aptos"/>
          <w:sz w:val="18"/>
        </w:rPr>
        <w:t>Les valeurs extrêmes doivent déclencher une alerte, pas être corrigées automatiquement.</w:t>
      </w:r>
    </w:p>
    <w:p>
      <w:pPr>
        <w:pStyle w:val="Heading2"/>
        <w:widowControl/>
      </w:pPr>
      <w:r>
        <w:t>6.4 Calculs dérivés autorisés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551"/>
            <w:shd w:fill="D9EAF2"/>
            <w:tcMar>
              <w:top w:w="70" w:type="dxa"/>
              <w:start w:w="70" w:type="dxa"/>
              <w:bottom w:w="70" w:type="dxa"/>
              <w:end w:w="70" w:type="dxa"/>
            </w:tcMar>
            <w:vAlign w:val="center"/>
          </w:tcPr>
          <w:p>
            <w:r/>
            <w:r>
              <w:rPr>
                <w:rFonts w:ascii="Aptos" w:hAnsi="Aptos"/>
                <w:b/>
                <w:color w:val="123E5E"/>
                <w:sz w:val="15"/>
              </w:rPr>
              <w:t>Calcul</w:t>
            </w:r>
          </w:p>
        </w:tc>
        <w:tc>
          <w:tcPr>
            <w:tcW w:type="dxa" w:w="3969"/>
            <w:shd w:fill="D9EAF2"/>
            <w:tcMar>
              <w:top w:w="70" w:type="dxa"/>
              <w:start w:w="70" w:type="dxa"/>
              <w:bottom w:w="70" w:type="dxa"/>
              <w:end w:w="70" w:type="dxa"/>
            </w:tcMar>
            <w:vAlign w:val="center"/>
          </w:tcPr>
          <w:p>
            <w:r/>
            <w:r>
              <w:rPr>
                <w:rFonts w:ascii="Aptos" w:hAnsi="Aptos"/>
                <w:b/>
                <w:color w:val="123E5E"/>
                <w:sz w:val="15"/>
              </w:rPr>
              <w:t>Condition</w:t>
            </w:r>
          </w:p>
        </w:tc>
        <w:tc>
          <w:tcPr>
            <w:tcW w:type="dxa" w:w="2778"/>
            <w:shd w:fill="D9EAF2"/>
            <w:tcMar>
              <w:top w:w="70" w:type="dxa"/>
              <w:start w:w="70" w:type="dxa"/>
              <w:bottom w:w="70" w:type="dxa"/>
              <w:end w:w="70" w:type="dxa"/>
            </w:tcMar>
            <w:vAlign w:val="center"/>
          </w:tcPr>
          <w:p>
            <w:r/>
            <w:r>
              <w:rPr>
                <w:rFonts w:ascii="Aptos" w:hAnsi="Aptos"/>
                <w:b/>
                <w:color w:val="123E5E"/>
                <w:sz w:val="15"/>
              </w:rPr>
              <w:t>Champ</w:t>
            </w:r>
          </w:p>
        </w:tc>
      </w:tr>
      <w:tr>
        <w:tc>
          <w:tcPr>
            <w:tcW w:type="dxa" w:w="2551"/>
            <w:tcMar>
              <w:top w:w="60" w:type="dxa"/>
              <w:start w:w="60" w:type="dxa"/>
              <w:bottom w:w="60" w:type="dxa"/>
              <w:end w:w="60" w:type="dxa"/>
            </w:tcMar>
            <w:vAlign w:val="top"/>
          </w:tcPr>
          <w:p>
            <w:r/>
            <w:r>
              <w:rPr>
                <w:rFonts w:ascii="Aptos" w:hAnsi="Aptos"/>
                <w:sz w:val="15"/>
              </w:rPr>
              <w:t>estimated_units = net_assets_total / unit_price</w:t>
            </w:r>
          </w:p>
        </w:tc>
        <w:tc>
          <w:tcPr>
            <w:tcW w:type="dxa" w:w="3969"/>
            <w:tcMar>
              <w:top w:w="60" w:type="dxa"/>
              <w:start w:w="60" w:type="dxa"/>
              <w:bottom w:w="60" w:type="dxa"/>
              <w:end w:w="60" w:type="dxa"/>
            </w:tcMar>
            <w:vAlign w:val="top"/>
          </w:tcPr>
          <w:p>
            <w:r/>
            <w:r>
              <w:rPr>
                <w:rFonts w:ascii="Aptos" w:hAnsi="Aptos"/>
                <w:sz w:val="15"/>
              </w:rPr>
              <w:t>Même devise, valeurs positives, Unit Price explicite.</w:t>
            </w:r>
          </w:p>
        </w:tc>
        <w:tc>
          <w:tcPr>
            <w:tcW w:type="dxa" w:w="2778"/>
            <w:tcMar>
              <w:top w:w="60" w:type="dxa"/>
              <w:start w:w="60" w:type="dxa"/>
              <w:bottom w:w="60" w:type="dxa"/>
              <w:end w:w="60" w:type="dxa"/>
            </w:tcMar>
            <w:vAlign w:val="top"/>
          </w:tcPr>
          <w:p>
            <w:r/>
            <w:r>
              <w:rPr>
                <w:rFonts w:ascii="Aptos" w:hAnsi="Aptos"/>
                <w:sz w:val="15"/>
              </w:rPr>
              <w:t>estimated_units + derivation metadata</w:t>
            </w:r>
          </w:p>
        </w:tc>
      </w:tr>
      <w:tr>
        <w:tc>
          <w:tcPr>
            <w:tcW w:type="dxa" w:w="2551"/>
            <w:tcMar>
              <w:top w:w="60" w:type="dxa"/>
              <w:start w:w="60" w:type="dxa"/>
              <w:bottom w:w="60" w:type="dxa"/>
              <w:end w:w="60" w:type="dxa"/>
            </w:tcMar>
            <w:vAlign w:val="top"/>
          </w:tcPr>
          <w:p>
            <w:r/>
            <w:r>
              <w:rPr>
                <w:rFonts w:ascii="Aptos" w:hAnsi="Aptos"/>
                <w:sz w:val="15"/>
              </w:rPr>
              <w:t>premium_discount = market_price / nav_per_unit - 1</w:t>
            </w:r>
          </w:p>
        </w:tc>
        <w:tc>
          <w:tcPr>
            <w:tcW w:type="dxa" w:w="3969"/>
            <w:tcMar>
              <w:top w:w="60" w:type="dxa"/>
              <w:start w:w="60" w:type="dxa"/>
              <w:bottom w:w="60" w:type="dxa"/>
              <w:end w:w="60" w:type="dxa"/>
            </w:tcMar>
            <w:vAlign w:val="top"/>
          </w:tcPr>
          <w:p>
            <w:r/>
            <w:r>
              <w:rPr>
                <w:rFonts w:ascii="Aptos" w:hAnsi="Aptos"/>
                <w:sz w:val="15"/>
              </w:rPr>
              <w:t>ETF/REIT, dates synchronisées, mêmes devises.</w:t>
            </w:r>
          </w:p>
        </w:tc>
        <w:tc>
          <w:tcPr>
            <w:tcW w:type="dxa" w:w="2778"/>
            <w:tcMar>
              <w:top w:w="60" w:type="dxa"/>
              <w:start w:w="60" w:type="dxa"/>
              <w:bottom w:w="60" w:type="dxa"/>
              <w:end w:w="60" w:type="dxa"/>
            </w:tcMar>
            <w:vAlign w:val="top"/>
          </w:tcPr>
          <w:p>
            <w:r/>
            <w:r>
              <w:rPr>
                <w:rFonts w:ascii="Aptos" w:hAnsi="Aptos"/>
                <w:sz w:val="15"/>
              </w:rPr>
              <w:t>analytics layer</w:t>
            </w:r>
          </w:p>
        </w:tc>
      </w:tr>
      <w:tr>
        <w:tc>
          <w:tcPr>
            <w:tcW w:type="dxa" w:w="2551"/>
            <w:tcMar>
              <w:top w:w="60" w:type="dxa"/>
              <w:start w:w="60" w:type="dxa"/>
              <w:bottom w:w="60" w:type="dxa"/>
              <w:end w:w="60" w:type="dxa"/>
            </w:tcMar>
            <w:vAlign w:val="top"/>
          </w:tcPr>
          <w:p>
            <w:r/>
            <w:r>
              <w:rPr>
                <w:rFonts w:ascii="Aptos" w:hAnsi="Aptos"/>
                <w:sz w:val="15"/>
              </w:rPr>
              <w:t>return</w:t>
            </w:r>
          </w:p>
        </w:tc>
        <w:tc>
          <w:tcPr>
            <w:tcW w:type="dxa" w:w="3969"/>
            <w:tcMar>
              <w:top w:w="60" w:type="dxa"/>
              <w:start w:w="60" w:type="dxa"/>
              <w:bottom w:w="60" w:type="dxa"/>
              <w:end w:w="60" w:type="dxa"/>
            </w:tcMar>
            <w:vAlign w:val="top"/>
          </w:tcPr>
          <w:p>
            <w:r/>
            <w:r>
              <w:rPr>
                <w:rFonts w:ascii="Aptos" w:hAnsi="Aptos"/>
                <w:sz w:val="15"/>
              </w:rPr>
              <w:t>Prix ajustés des distributions, dates valides.</w:t>
            </w:r>
          </w:p>
        </w:tc>
        <w:tc>
          <w:tcPr>
            <w:tcW w:type="dxa" w:w="2778"/>
            <w:tcMar>
              <w:top w:w="60" w:type="dxa"/>
              <w:start w:w="60" w:type="dxa"/>
              <w:bottom w:w="60" w:type="dxa"/>
              <w:end w:w="60" w:type="dxa"/>
            </w:tcMar>
            <w:vAlign w:val="top"/>
          </w:tcPr>
          <w:p>
            <w:r/>
            <w:r>
              <w:rPr>
                <w:rFonts w:ascii="Aptos" w:hAnsi="Aptos"/>
                <w:sz w:val="15"/>
              </w:rPr>
              <w:t>performance layer</w:t>
            </w:r>
          </w:p>
        </w:tc>
      </w:tr>
      <w:tr>
        <w:tc>
          <w:tcPr>
            <w:tcW w:type="dxa" w:w="2551"/>
            <w:tcMar>
              <w:top w:w="60" w:type="dxa"/>
              <w:start w:w="60" w:type="dxa"/>
              <w:bottom w:w="60" w:type="dxa"/>
              <w:end w:w="60" w:type="dxa"/>
            </w:tcMar>
            <w:vAlign w:val="top"/>
          </w:tcPr>
          <w:p>
            <w:r/>
            <w:r>
              <w:rPr>
                <w:rFonts w:ascii="Aptos" w:hAnsi="Aptos"/>
                <w:sz w:val="15"/>
              </w:rPr>
              <w:t>conversion FX</w:t>
            </w:r>
          </w:p>
        </w:tc>
        <w:tc>
          <w:tcPr>
            <w:tcW w:type="dxa" w:w="3969"/>
            <w:tcMar>
              <w:top w:w="60" w:type="dxa"/>
              <w:start w:w="60" w:type="dxa"/>
              <w:bottom w:w="60" w:type="dxa"/>
              <w:end w:w="60" w:type="dxa"/>
            </w:tcMar>
            <w:vAlign w:val="top"/>
          </w:tcPr>
          <w:p>
            <w:r/>
            <w:r>
              <w:rPr>
                <w:rFonts w:ascii="Aptos" w:hAnsi="Aptos"/>
                <w:sz w:val="15"/>
              </w:rPr>
              <w:t>Taux officiel choisi et date documentée.</w:t>
            </w:r>
          </w:p>
        </w:tc>
        <w:tc>
          <w:tcPr>
            <w:tcW w:type="dxa" w:w="2778"/>
            <w:tcMar>
              <w:top w:w="60" w:type="dxa"/>
              <w:start w:w="60" w:type="dxa"/>
              <w:bottom w:w="60" w:type="dxa"/>
              <w:end w:w="60" w:type="dxa"/>
            </w:tcMar>
            <w:vAlign w:val="top"/>
          </w:tcPr>
          <w:p>
            <w:r/>
            <w:r>
              <w:rPr>
                <w:rFonts w:ascii="Aptos" w:hAnsi="Aptos"/>
                <w:sz w:val="15"/>
              </w:rPr>
              <w:t>converted_value + fx metadata</w:t>
            </w:r>
          </w:p>
        </w:tc>
      </w:tr>
    </w:tbl>
    <w:p>
      <w:pPr>
        <w:widowControl/>
        <w:spacing w:after="0"/>
      </w:pPr>
    </w:p>
    <w:p>
      <w:pPr>
        <w:widowControl/>
      </w:pPr>
      <w:r>
        <w:br w:type="page"/>
      </w:r>
    </w:p>
    <w:p>
      <w:pPr>
        <w:widowControl/>
        <w:jc w:val="center"/>
      </w:pPr>
      <w:r>
        <w:rPr>
          <w:rFonts w:ascii="Aptos Display" w:hAnsi="Aptos Display"/>
          <w:b/>
          <w:color w:val="123E5E"/>
          <w:sz w:val="44"/>
        </w:rPr>
        <w:t>PARTIE VII — MODÈLE DE DONNÉES CANONIQUE ET TRAÇABILITÉ</w:t>
      </w:r>
    </w:p>
    <w:p>
      <w:pPr>
        <w:widowControl/>
        <w:jc w:val="center"/>
      </w:pPr>
      <w:r>
        <w:rPr>
          <w:rFonts w:ascii="Aptos" w:hAnsi="Aptos"/>
          <w:i/>
          <w:color w:val="505050"/>
          <w:sz w:val="22"/>
        </w:rPr>
        <w:t>De la cellule source à la valeur exposée</w:t>
      </w:r>
    </w:p>
    <w:p>
      <w:pPr>
        <w:widowControl/>
      </w:pPr>
    </w:p>
    <w:p>
      <w:pPr>
        <w:pStyle w:val="Heading1"/>
        <w:widowControl/>
      </w:pPr>
      <w:r>
        <w:t>7. Architecture en couches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928"/>
            <w:shd w:fill="D9EAF2"/>
            <w:tcMar>
              <w:top w:w="70" w:type="dxa"/>
              <w:start w:w="70" w:type="dxa"/>
              <w:bottom w:w="70" w:type="dxa"/>
              <w:end w:w="70" w:type="dxa"/>
            </w:tcMar>
            <w:vAlign w:val="center"/>
          </w:tcPr>
          <w:p>
            <w:r/>
            <w:r>
              <w:rPr>
                <w:rFonts w:ascii="Aptos" w:hAnsi="Aptos"/>
                <w:b/>
                <w:color w:val="123E5E"/>
                <w:sz w:val="15"/>
              </w:rPr>
              <w:t>Couche</w:t>
            </w:r>
          </w:p>
        </w:tc>
        <w:tc>
          <w:tcPr>
            <w:tcW w:type="dxa" w:w="4535"/>
            <w:shd w:fill="D9EAF2"/>
            <w:tcMar>
              <w:top w:w="70" w:type="dxa"/>
              <w:start w:w="70" w:type="dxa"/>
              <w:bottom w:w="70" w:type="dxa"/>
              <w:end w:w="70" w:type="dxa"/>
            </w:tcMar>
            <w:vAlign w:val="center"/>
          </w:tcPr>
          <w:p>
            <w:r/>
            <w:r>
              <w:rPr>
                <w:rFonts w:ascii="Aptos" w:hAnsi="Aptos"/>
                <w:b/>
                <w:color w:val="123E5E"/>
                <w:sz w:val="15"/>
              </w:rPr>
              <w:t>Contenu</w:t>
            </w:r>
          </w:p>
        </w:tc>
        <w:tc>
          <w:tcPr>
            <w:tcW w:type="dxa" w:w="2835"/>
            <w:shd w:fill="D9EAF2"/>
            <w:tcMar>
              <w:top w:w="70" w:type="dxa"/>
              <w:start w:w="70" w:type="dxa"/>
              <w:bottom w:w="70" w:type="dxa"/>
              <w:end w:w="70" w:type="dxa"/>
            </w:tcMar>
            <w:vAlign w:val="center"/>
          </w:tcPr>
          <w:p>
            <w:r/>
            <w:r>
              <w:rPr>
                <w:rFonts w:ascii="Aptos" w:hAnsi="Aptos"/>
                <w:b/>
                <w:color w:val="123E5E"/>
                <w:sz w:val="15"/>
              </w:rPr>
              <w:t>Immutabilité</w:t>
            </w:r>
          </w:p>
        </w:tc>
      </w:tr>
      <w:tr>
        <w:tc>
          <w:tcPr>
            <w:tcW w:type="dxa" w:w="1928"/>
            <w:tcMar>
              <w:top w:w="60" w:type="dxa"/>
              <w:start w:w="60" w:type="dxa"/>
              <w:bottom w:w="60" w:type="dxa"/>
              <w:end w:w="60" w:type="dxa"/>
            </w:tcMar>
            <w:vAlign w:val="top"/>
          </w:tcPr>
          <w:p>
            <w:r/>
            <w:r>
              <w:rPr>
                <w:rFonts w:ascii="Aptos" w:hAnsi="Aptos"/>
                <w:sz w:val="15"/>
              </w:rPr>
              <w:t>L0 — Raw file</w:t>
            </w:r>
          </w:p>
        </w:tc>
        <w:tc>
          <w:tcPr>
            <w:tcW w:type="dxa" w:w="4535"/>
            <w:tcMar>
              <w:top w:w="60" w:type="dxa"/>
              <w:start w:w="60" w:type="dxa"/>
              <w:bottom w:w="60" w:type="dxa"/>
              <w:end w:w="60" w:type="dxa"/>
            </w:tcMar>
            <w:vAlign w:val="top"/>
          </w:tcPr>
          <w:p>
            <w:r/>
            <w:r>
              <w:rPr>
                <w:rFonts w:ascii="Aptos" w:hAnsi="Aptos"/>
                <w:sz w:val="15"/>
              </w:rPr>
              <w:t>Fichier officiel, hash, métadonnées HTTP.</w:t>
            </w:r>
          </w:p>
        </w:tc>
        <w:tc>
          <w:tcPr>
            <w:tcW w:type="dxa" w:w="2835"/>
            <w:tcMar>
              <w:top w:w="60" w:type="dxa"/>
              <w:start w:w="60" w:type="dxa"/>
              <w:bottom w:w="60" w:type="dxa"/>
              <w:end w:w="60" w:type="dxa"/>
            </w:tcMar>
            <w:vAlign w:val="top"/>
          </w:tcPr>
          <w:p>
            <w:r/>
            <w:r>
              <w:rPr>
                <w:rFonts w:ascii="Aptos" w:hAnsi="Aptos"/>
                <w:sz w:val="15"/>
              </w:rPr>
              <w:t>Immuable.</w:t>
            </w:r>
          </w:p>
        </w:tc>
      </w:tr>
      <w:tr>
        <w:tc>
          <w:tcPr>
            <w:tcW w:type="dxa" w:w="1928"/>
            <w:tcMar>
              <w:top w:w="60" w:type="dxa"/>
              <w:start w:w="60" w:type="dxa"/>
              <w:bottom w:w="60" w:type="dxa"/>
              <w:end w:w="60" w:type="dxa"/>
            </w:tcMar>
            <w:vAlign w:val="top"/>
          </w:tcPr>
          <w:p>
            <w:r/>
            <w:r>
              <w:rPr>
                <w:rFonts w:ascii="Aptos" w:hAnsi="Aptos"/>
                <w:sz w:val="15"/>
              </w:rPr>
              <w:t>L1 — Raw sheet/cell</w:t>
            </w:r>
          </w:p>
        </w:tc>
        <w:tc>
          <w:tcPr>
            <w:tcW w:type="dxa" w:w="4535"/>
            <w:tcMar>
              <w:top w:w="60" w:type="dxa"/>
              <w:start w:w="60" w:type="dxa"/>
              <w:bottom w:w="60" w:type="dxa"/>
              <w:end w:w="60" w:type="dxa"/>
            </w:tcMar>
            <w:vAlign w:val="top"/>
          </w:tcPr>
          <w:p>
            <w:r/>
            <w:r>
              <w:rPr>
                <w:rFonts w:ascii="Aptos" w:hAnsi="Aptos"/>
                <w:sz w:val="15"/>
              </w:rPr>
              <w:t>Cellules, formules, coordonnées, merged cells, styles utiles.</w:t>
            </w:r>
          </w:p>
        </w:tc>
        <w:tc>
          <w:tcPr>
            <w:tcW w:type="dxa" w:w="2835"/>
            <w:tcMar>
              <w:top w:w="60" w:type="dxa"/>
              <w:start w:w="60" w:type="dxa"/>
              <w:bottom w:w="60" w:type="dxa"/>
              <w:end w:w="60" w:type="dxa"/>
            </w:tcMar>
            <w:vAlign w:val="top"/>
          </w:tcPr>
          <w:p>
            <w:r/>
            <w:r>
              <w:rPr>
                <w:rFonts w:ascii="Aptos" w:hAnsi="Aptos"/>
                <w:sz w:val="15"/>
              </w:rPr>
              <w:t>Append-only par version de fichier.</w:t>
            </w:r>
          </w:p>
        </w:tc>
      </w:tr>
      <w:tr>
        <w:tc>
          <w:tcPr>
            <w:tcW w:type="dxa" w:w="1928"/>
            <w:tcMar>
              <w:top w:w="60" w:type="dxa"/>
              <w:start w:w="60" w:type="dxa"/>
              <w:bottom w:w="60" w:type="dxa"/>
              <w:end w:w="60" w:type="dxa"/>
            </w:tcMar>
            <w:vAlign w:val="top"/>
          </w:tcPr>
          <w:p>
            <w:r/>
            <w:r>
              <w:rPr>
                <w:rFonts w:ascii="Aptos" w:hAnsi="Aptos"/>
                <w:sz w:val="15"/>
              </w:rPr>
              <w:t>L2 — Extracted observation</w:t>
            </w:r>
          </w:p>
        </w:tc>
        <w:tc>
          <w:tcPr>
            <w:tcW w:type="dxa" w:w="4535"/>
            <w:tcMar>
              <w:top w:w="60" w:type="dxa"/>
              <w:start w:w="60" w:type="dxa"/>
              <w:bottom w:w="60" w:type="dxa"/>
              <w:end w:w="60" w:type="dxa"/>
            </w:tcMar>
            <w:vAlign w:val="top"/>
          </w:tcPr>
          <w:p>
            <w:r/>
            <w:r>
              <w:rPr>
                <w:rFonts w:ascii="Aptos" w:hAnsi="Aptos"/>
                <w:sz w:val="15"/>
              </w:rPr>
              <w:t>Mesure interprétée avec date, devise et source.</w:t>
            </w:r>
          </w:p>
        </w:tc>
        <w:tc>
          <w:tcPr>
            <w:tcW w:type="dxa" w:w="2835"/>
            <w:tcMar>
              <w:top w:w="60" w:type="dxa"/>
              <w:start w:w="60" w:type="dxa"/>
              <w:bottom w:w="60" w:type="dxa"/>
              <w:end w:w="60" w:type="dxa"/>
            </w:tcMar>
            <w:vAlign w:val="top"/>
          </w:tcPr>
          <w:p>
            <w:r/>
            <w:r>
              <w:rPr>
                <w:rFonts w:ascii="Aptos" w:hAnsi="Aptos"/>
                <w:sz w:val="15"/>
              </w:rPr>
              <w:t>Réexécutable par version de parser.</w:t>
            </w:r>
          </w:p>
        </w:tc>
      </w:tr>
      <w:tr>
        <w:tc>
          <w:tcPr>
            <w:tcW w:type="dxa" w:w="1928"/>
            <w:tcMar>
              <w:top w:w="60" w:type="dxa"/>
              <w:start w:w="60" w:type="dxa"/>
              <w:bottom w:w="60" w:type="dxa"/>
              <w:end w:w="60" w:type="dxa"/>
            </w:tcMar>
            <w:vAlign w:val="top"/>
          </w:tcPr>
          <w:p>
            <w:r/>
            <w:r>
              <w:rPr>
                <w:rFonts w:ascii="Aptos" w:hAnsi="Aptos"/>
                <w:sz w:val="15"/>
              </w:rPr>
              <w:t>L3 — Canonical observation</w:t>
            </w:r>
          </w:p>
        </w:tc>
        <w:tc>
          <w:tcPr>
            <w:tcW w:type="dxa" w:w="4535"/>
            <w:tcMar>
              <w:top w:w="60" w:type="dxa"/>
              <w:start w:w="60" w:type="dxa"/>
              <w:bottom w:w="60" w:type="dxa"/>
              <w:end w:w="60" w:type="dxa"/>
            </w:tcMar>
            <w:vAlign w:val="top"/>
          </w:tcPr>
          <w:p>
            <w:r/>
            <w:r>
              <w:rPr>
                <w:rFonts w:ascii="Aptos" w:hAnsi="Aptos"/>
                <w:sz w:val="15"/>
              </w:rPr>
              <w:t>Déduplication, choix de source, conflits, fonds canonique.</w:t>
            </w:r>
          </w:p>
        </w:tc>
        <w:tc>
          <w:tcPr>
            <w:tcW w:type="dxa" w:w="2835"/>
            <w:tcMar>
              <w:top w:w="60" w:type="dxa"/>
              <w:start w:w="60" w:type="dxa"/>
              <w:bottom w:w="60" w:type="dxa"/>
              <w:end w:w="60" w:type="dxa"/>
            </w:tcMar>
            <w:vAlign w:val="top"/>
          </w:tcPr>
          <w:p>
            <w:r/>
            <w:r>
              <w:rPr>
                <w:rFonts w:ascii="Aptos" w:hAnsi="Aptos"/>
                <w:sz w:val="15"/>
              </w:rPr>
              <w:t>Versionnée ; aucune perte de source.</w:t>
            </w:r>
          </w:p>
        </w:tc>
      </w:tr>
      <w:tr>
        <w:tc>
          <w:tcPr>
            <w:tcW w:type="dxa" w:w="1928"/>
            <w:tcMar>
              <w:top w:w="60" w:type="dxa"/>
              <w:start w:w="60" w:type="dxa"/>
              <w:bottom w:w="60" w:type="dxa"/>
              <w:end w:w="60" w:type="dxa"/>
            </w:tcMar>
            <w:vAlign w:val="top"/>
          </w:tcPr>
          <w:p>
            <w:r/>
            <w:r>
              <w:rPr>
                <w:rFonts w:ascii="Aptos" w:hAnsi="Aptos"/>
                <w:sz w:val="15"/>
              </w:rPr>
              <w:t>L4 — Business view</w:t>
            </w:r>
          </w:p>
        </w:tc>
        <w:tc>
          <w:tcPr>
            <w:tcW w:type="dxa" w:w="4535"/>
            <w:tcMar>
              <w:top w:w="60" w:type="dxa"/>
              <w:start w:w="60" w:type="dxa"/>
              <w:bottom w:w="60" w:type="dxa"/>
              <w:end w:w="60" w:type="dxa"/>
            </w:tcMar>
            <w:vAlign w:val="top"/>
          </w:tcPr>
          <w:p>
            <w:r/>
            <w:r>
              <w:rPr>
                <w:rFonts w:ascii="Aptos" w:hAnsi="Aptos"/>
                <w:sz w:val="15"/>
              </w:rPr>
              <w:t>Vue large ou champ compatible pour l’application.</w:t>
            </w:r>
          </w:p>
        </w:tc>
        <w:tc>
          <w:tcPr>
            <w:tcW w:type="dxa" w:w="2835"/>
            <w:tcMar>
              <w:top w:w="60" w:type="dxa"/>
              <w:start w:w="60" w:type="dxa"/>
              <w:bottom w:w="60" w:type="dxa"/>
              <w:end w:w="60" w:type="dxa"/>
            </w:tcMar>
            <w:vAlign w:val="top"/>
          </w:tcPr>
          <w:p>
            <w:r/>
            <w:r>
              <w:rPr>
                <w:rFonts w:ascii="Aptos" w:hAnsi="Aptos"/>
                <w:sz w:val="15"/>
              </w:rPr>
              <w:t>Reconstructible depuis L3.</w:t>
            </w:r>
          </w:p>
        </w:tc>
      </w:tr>
      <w:tr>
        <w:tc>
          <w:tcPr>
            <w:tcW w:type="dxa" w:w="1928"/>
            <w:tcMar>
              <w:top w:w="60" w:type="dxa"/>
              <w:start w:w="60" w:type="dxa"/>
              <w:bottom w:w="60" w:type="dxa"/>
              <w:end w:w="60" w:type="dxa"/>
            </w:tcMar>
            <w:vAlign w:val="top"/>
          </w:tcPr>
          <w:p>
            <w:r/>
            <w:r>
              <w:rPr>
                <w:rFonts w:ascii="Aptos" w:hAnsi="Aptos"/>
                <w:sz w:val="15"/>
              </w:rPr>
              <w:t>L5 — Analytics</w:t>
            </w:r>
          </w:p>
        </w:tc>
        <w:tc>
          <w:tcPr>
            <w:tcW w:type="dxa" w:w="4535"/>
            <w:tcMar>
              <w:top w:w="60" w:type="dxa"/>
              <w:start w:w="60" w:type="dxa"/>
              <w:bottom w:w="60" w:type="dxa"/>
              <w:end w:w="60" w:type="dxa"/>
            </w:tcMar>
            <w:vAlign w:val="top"/>
          </w:tcPr>
          <w:p>
            <w:r/>
            <w:r>
              <w:rPr>
                <w:rFonts w:ascii="Aptos" w:hAnsi="Aptos"/>
                <w:sz w:val="15"/>
              </w:rPr>
              <w:t>Performances, ratios, conversions et benchmarks.</w:t>
            </w:r>
          </w:p>
        </w:tc>
        <w:tc>
          <w:tcPr>
            <w:tcW w:type="dxa" w:w="2835"/>
            <w:tcMar>
              <w:top w:w="60" w:type="dxa"/>
              <w:start w:w="60" w:type="dxa"/>
              <w:bottom w:w="60" w:type="dxa"/>
              <w:end w:w="60" w:type="dxa"/>
            </w:tcMar>
            <w:vAlign w:val="top"/>
          </w:tcPr>
          <w:p>
            <w:r/>
            <w:r>
              <w:rPr>
                <w:rFonts w:ascii="Aptos" w:hAnsi="Aptos"/>
                <w:sz w:val="15"/>
              </w:rPr>
              <w:t>Versionnée par algorithme.</w:t>
            </w:r>
          </w:p>
        </w:tc>
      </w:tr>
    </w:tbl>
    <w:p>
      <w:pPr>
        <w:widowControl/>
        <w:spacing w:after="0"/>
      </w:pPr>
    </w:p>
    <w:p>
      <w:pPr>
        <w:pStyle w:val="Heading2"/>
        <w:widowControl/>
      </w:pPr>
      <w:r>
        <w:t>7.1 Grain long recommandé</w:t>
      </w:r>
    </w:p>
    <w:p>
      <w:pPr>
        <w:pStyle w:val="CodeNigeria"/>
        <w:widowControl/>
        <w:shd w:fill="F4F6F7"/>
      </w:pPr>
      <w:r>
        <w:rPr>
          <w:rFonts w:ascii="Liberation Mono" w:hAnsi="Liberation Mono"/>
          <w:color w:val="1E1E1E"/>
          <w:sz w:val="15"/>
        </w:rPr>
        <w:t>canonical_fund_id</w:t>
        <w:br/>
        <w:t>share_class_id</w:t>
        <w:br/>
        <w:t>valuation_date</w:t>
        <w:br/>
        <w:t>measure_type</w:t>
        <w:br/>
        <w:t>currency</w:t>
        <w:br/>
        <w:t>numeric_value</w:t>
        <w:br/>
        <w:t>source_document_id</w:t>
        <w:br/>
        <w:t>sheet_name</w:t>
        <w:br/>
        <w:t>cell_coordinate</w:t>
        <w:br/>
        <w:t>date_block_role</w:t>
        <w:br/>
        <w:t>parser_version</w:t>
        <w:br/>
        <w:t>quality_status</w:t>
      </w:r>
    </w:p>
    <w:p>
      <w:pPr>
        <w:widowControl/>
      </w:pPr>
      <w:r>
        <w:rPr>
          <w:rFonts w:ascii="Aptos" w:hAnsi="Aptos"/>
          <w:sz w:val="19"/>
        </w:rPr>
        <w:t>Le grain fonds × date × mesure × devise × source est plus sûr qu'une table large, car les publications changent de structure et de nombre de devises. Une vue large peut être générée pour les usages de reporting.</w:t>
      </w:r>
    </w:p>
    <w:p>
      <w:pPr>
        <w:pStyle w:val="Heading2"/>
        <w:widowControl/>
      </w:pPr>
      <w:r>
        <w:t>7.2 Provenance au niveau cellule</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3005"/>
            <w:shd w:fill="D9EAF2"/>
            <w:tcMar>
              <w:top w:w="70" w:type="dxa"/>
              <w:start w:w="70" w:type="dxa"/>
              <w:bottom w:w="70" w:type="dxa"/>
              <w:end w:w="70" w:type="dxa"/>
            </w:tcMar>
            <w:vAlign w:val="center"/>
          </w:tcPr>
          <w:p>
            <w:r/>
            <w:r>
              <w:rPr>
                <w:rFonts w:ascii="Aptos" w:hAnsi="Aptos"/>
                <w:b/>
                <w:color w:val="123E5E"/>
                <w:sz w:val="15"/>
              </w:rPr>
              <w:t>Champ de provenance</w:t>
            </w:r>
          </w:p>
        </w:tc>
        <w:tc>
          <w:tcPr>
            <w:tcW w:type="dxa" w:w="6293"/>
            <w:shd w:fill="D9EAF2"/>
            <w:tcMar>
              <w:top w:w="70" w:type="dxa"/>
              <w:start w:w="70" w:type="dxa"/>
              <w:bottom w:w="70" w:type="dxa"/>
              <w:end w:w="70" w:type="dxa"/>
            </w:tcMar>
            <w:vAlign w:val="center"/>
          </w:tcPr>
          <w:p>
            <w:r/>
            <w:r>
              <w:rPr>
                <w:rFonts w:ascii="Aptos" w:hAnsi="Aptos"/>
                <w:b/>
                <w:color w:val="123E5E"/>
                <w:sz w:val="15"/>
              </w:rPr>
              <w:t>Description</w:t>
            </w:r>
          </w:p>
        </w:tc>
      </w:tr>
      <w:tr>
        <w:tc>
          <w:tcPr>
            <w:tcW w:type="dxa" w:w="3005"/>
            <w:tcMar>
              <w:top w:w="60" w:type="dxa"/>
              <w:start w:w="60" w:type="dxa"/>
              <w:bottom w:w="60" w:type="dxa"/>
              <w:end w:w="60" w:type="dxa"/>
            </w:tcMar>
            <w:vAlign w:val="top"/>
          </w:tcPr>
          <w:p>
            <w:r/>
            <w:r>
              <w:rPr>
                <w:rFonts w:ascii="Aptos" w:hAnsi="Aptos"/>
                <w:sz w:val="15"/>
              </w:rPr>
              <w:t>official_publication_url</w:t>
            </w:r>
          </w:p>
        </w:tc>
        <w:tc>
          <w:tcPr>
            <w:tcW w:type="dxa" w:w="6293"/>
            <w:tcMar>
              <w:top w:w="60" w:type="dxa"/>
              <w:start w:w="60" w:type="dxa"/>
              <w:bottom w:w="60" w:type="dxa"/>
              <w:end w:w="60" w:type="dxa"/>
            </w:tcMar>
            <w:vAlign w:val="top"/>
          </w:tcPr>
          <w:p>
            <w:r/>
            <w:r>
              <w:rPr>
                <w:rFonts w:ascii="Aptos" w:hAnsi="Aptos"/>
                <w:sz w:val="15"/>
              </w:rPr>
              <w:t>Page de publication</w:t>
            </w:r>
          </w:p>
        </w:tc>
      </w:tr>
      <w:tr>
        <w:tc>
          <w:tcPr>
            <w:tcW w:type="dxa" w:w="3005"/>
            <w:tcMar>
              <w:top w:w="60" w:type="dxa"/>
              <w:start w:w="60" w:type="dxa"/>
              <w:bottom w:w="60" w:type="dxa"/>
              <w:end w:w="60" w:type="dxa"/>
            </w:tcMar>
            <w:vAlign w:val="top"/>
          </w:tcPr>
          <w:p>
            <w:r/>
            <w:r>
              <w:rPr>
                <w:rFonts w:ascii="Aptos" w:hAnsi="Aptos"/>
                <w:sz w:val="15"/>
              </w:rPr>
              <w:t>official_file_url</w:t>
            </w:r>
          </w:p>
        </w:tc>
        <w:tc>
          <w:tcPr>
            <w:tcW w:type="dxa" w:w="6293"/>
            <w:tcMar>
              <w:top w:w="60" w:type="dxa"/>
              <w:start w:w="60" w:type="dxa"/>
              <w:bottom w:w="60" w:type="dxa"/>
              <w:end w:w="60" w:type="dxa"/>
            </w:tcMar>
            <w:vAlign w:val="top"/>
          </w:tcPr>
          <w:p>
            <w:r/>
            <w:r>
              <w:rPr>
                <w:rFonts w:ascii="Aptos" w:hAnsi="Aptos"/>
                <w:sz w:val="15"/>
              </w:rPr>
              <w:t>Fichier direct</w:t>
            </w:r>
          </w:p>
        </w:tc>
      </w:tr>
      <w:tr>
        <w:tc>
          <w:tcPr>
            <w:tcW w:type="dxa" w:w="3005"/>
            <w:tcMar>
              <w:top w:w="60" w:type="dxa"/>
              <w:start w:w="60" w:type="dxa"/>
              <w:bottom w:w="60" w:type="dxa"/>
              <w:end w:w="60" w:type="dxa"/>
            </w:tcMar>
            <w:vAlign w:val="top"/>
          </w:tcPr>
          <w:p>
            <w:r/>
            <w:r>
              <w:rPr>
                <w:rFonts w:ascii="Aptos" w:hAnsi="Aptos"/>
                <w:sz w:val="15"/>
              </w:rPr>
              <w:t>publication_title</w:t>
            </w:r>
          </w:p>
        </w:tc>
        <w:tc>
          <w:tcPr>
            <w:tcW w:type="dxa" w:w="6293"/>
            <w:tcMar>
              <w:top w:w="60" w:type="dxa"/>
              <w:start w:w="60" w:type="dxa"/>
              <w:bottom w:w="60" w:type="dxa"/>
              <w:end w:w="60" w:type="dxa"/>
            </w:tcMar>
            <w:vAlign w:val="top"/>
          </w:tcPr>
          <w:p>
            <w:r/>
            <w:r>
              <w:rPr>
                <w:rFonts w:ascii="Aptos" w:hAnsi="Aptos"/>
                <w:sz w:val="15"/>
              </w:rPr>
              <w:t>Titre</w:t>
            </w:r>
          </w:p>
        </w:tc>
      </w:tr>
      <w:tr>
        <w:tc>
          <w:tcPr>
            <w:tcW w:type="dxa" w:w="3005"/>
            <w:tcMar>
              <w:top w:w="60" w:type="dxa"/>
              <w:start w:w="60" w:type="dxa"/>
              <w:bottom w:w="60" w:type="dxa"/>
              <w:end w:w="60" w:type="dxa"/>
            </w:tcMar>
            <w:vAlign w:val="top"/>
          </w:tcPr>
          <w:p>
            <w:r/>
            <w:r>
              <w:rPr>
                <w:rFonts w:ascii="Aptos" w:hAnsi="Aptos"/>
                <w:sz w:val="15"/>
              </w:rPr>
              <w:t>publication_date</w:t>
            </w:r>
          </w:p>
        </w:tc>
        <w:tc>
          <w:tcPr>
            <w:tcW w:type="dxa" w:w="6293"/>
            <w:tcMar>
              <w:top w:w="60" w:type="dxa"/>
              <w:start w:w="60" w:type="dxa"/>
              <w:bottom w:w="60" w:type="dxa"/>
              <w:end w:w="60" w:type="dxa"/>
            </w:tcMar>
            <w:vAlign w:val="top"/>
          </w:tcPr>
          <w:p>
            <w:r/>
            <w:r>
              <w:rPr>
                <w:rFonts w:ascii="Aptos" w:hAnsi="Aptos"/>
                <w:sz w:val="15"/>
              </w:rPr>
              <w:t>Date de publication</w:t>
            </w:r>
          </w:p>
        </w:tc>
      </w:tr>
      <w:tr>
        <w:tc>
          <w:tcPr>
            <w:tcW w:type="dxa" w:w="3005"/>
            <w:tcMar>
              <w:top w:w="60" w:type="dxa"/>
              <w:start w:w="60" w:type="dxa"/>
              <w:bottom w:w="60" w:type="dxa"/>
              <w:end w:w="60" w:type="dxa"/>
            </w:tcMar>
            <w:vAlign w:val="top"/>
          </w:tcPr>
          <w:p>
            <w:r/>
            <w:r>
              <w:rPr>
                <w:rFonts w:ascii="Aptos" w:hAnsi="Aptos"/>
                <w:sz w:val="15"/>
              </w:rPr>
              <w:t>file_name</w:t>
            </w:r>
          </w:p>
        </w:tc>
        <w:tc>
          <w:tcPr>
            <w:tcW w:type="dxa" w:w="6293"/>
            <w:tcMar>
              <w:top w:w="60" w:type="dxa"/>
              <w:start w:w="60" w:type="dxa"/>
              <w:bottom w:w="60" w:type="dxa"/>
              <w:end w:w="60" w:type="dxa"/>
            </w:tcMar>
            <w:vAlign w:val="top"/>
          </w:tcPr>
          <w:p>
            <w:r/>
            <w:r>
              <w:rPr>
                <w:rFonts w:ascii="Aptos" w:hAnsi="Aptos"/>
                <w:sz w:val="15"/>
              </w:rPr>
              <w:t>Nom</w:t>
            </w:r>
          </w:p>
        </w:tc>
      </w:tr>
      <w:tr>
        <w:tc>
          <w:tcPr>
            <w:tcW w:type="dxa" w:w="3005"/>
            <w:tcMar>
              <w:top w:w="60" w:type="dxa"/>
              <w:start w:w="60" w:type="dxa"/>
              <w:bottom w:w="60" w:type="dxa"/>
              <w:end w:w="60" w:type="dxa"/>
            </w:tcMar>
            <w:vAlign w:val="top"/>
          </w:tcPr>
          <w:p>
            <w:r/>
            <w:r>
              <w:rPr>
                <w:rFonts w:ascii="Aptos" w:hAnsi="Aptos"/>
                <w:sz w:val="15"/>
              </w:rPr>
              <w:t>file_format</w:t>
            </w:r>
          </w:p>
        </w:tc>
        <w:tc>
          <w:tcPr>
            <w:tcW w:type="dxa" w:w="6293"/>
            <w:tcMar>
              <w:top w:w="60" w:type="dxa"/>
              <w:start w:w="60" w:type="dxa"/>
              <w:bottom w:w="60" w:type="dxa"/>
              <w:end w:w="60" w:type="dxa"/>
            </w:tcMar>
            <w:vAlign w:val="top"/>
          </w:tcPr>
          <w:p>
            <w:r/>
            <w:r>
              <w:rPr>
                <w:rFonts w:ascii="Aptos" w:hAnsi="Aptos"/>
                <w:sz w:val="15"/>
              </w:rPr>
              <w:t>Format</w:t>
            </w:r>
          </w:p>
        </w:tc>
      </w:tr>
      <w:tr>
        <w:tc>
          <w:tcPr>
            <w:tcW w:type="dxa" w:w="3005"/>
            <w:tcMar>
              <w:top w:w="60" w:type="dxa"/>
              <w:start w:w="60" w:type="dxa"/>
              <w:bottom w:w="60" w:type="dxa"/>
              <w:end w:w="60" w:type="dxa"/>
            </w:tcMar>
            <w:vAlign w:val="top"/>
          </w:tcPr>
          <w:p>
            <w:r/>
            <w:r>
              <w:rPr>
                <w:rFonts w:ascii="Aptos" w:hAnsi="Aptos"/>
                <w:sz w:val="15"/>
              </w:rPr>
              <w:t>file_size</w:t>
            </w:r>
          </w:p>
        </w:tc>
        <w:tc>
          <w:tcPr>
            <w:tcW w:type="dxa" w:w="6293"/>
            <w:tcMar>
              <w:top w:w="60" w:type="dxa"/>
              <w:start w:w="60" w:type="dxa"/>
              <w:bottom w:w="60" w:type="dxa"/>
              <w:end w:w="60" w:type="dxa"/>
            </w:tcMar>
            <w:vAlign w:val="top"/>
          </w:tcPr>
          <w:p>
            <w:r/>
            <w:r>
              <w:rPr>
                <w:rFonts w:ascii="Aptos" w:hAnsi="Aptos"/>
                <w:sz w:val="15"/>
              </w:rPr>
              <w:t>Taille</w:t>
            </w:r>
          </w:p>
        </w:tc>
      </w:tr>
      <w:tr>
        <w:tc>
          <w:tcPr>
            <w:tcW w:type="dxa" w:w="3005"/>
            <w:tcMar>
              <w:top w:w="60" w:type="dxa"/>
              <w:start w:w="60" w:type="dxa"/>
              <w:bottom w:w="60" w:type="dxa"/>
              <w:end w:w="60" w:type="dxa"/>
            </w:tcMar>
            <w:vAlign w:val="top"/>
          </w:tcPr>
          <w:p>
            <w:r/>
            <w:r>
              <w:rPr>
                <w:rFonts w:ascii="Aptos" w:hAnsi="Aptos"/>
                <w:sz w:val="15"/>
              </w:rPr>
              <w:t>sha256</w:t>
            </w:r>
          </w:p>
        </w:tc>
        <w:tc>
          <w:tcPr>
            <w:tcW w:type="dxa" w:w="6293"/>
            <w:tcMar>
              <w:top w:w="60" w:type="dxa"/>
              <w:start w:w="60" w:type="dxa"/>
              <w:bottom w:w="60" w:type="dxa"/>
              <w:end w:w="60" w:type="dxa"/>
            </w:tcMar>
            <w:vAlign w:val="top"/>
          </w:tcPr>
          <w:p>
            <w:r/>
            <w:r>
              <w:rPr>
                <w:rFonts w:ascii="Aptos" w:hAnsi="Aptos"/>
                <w:sz w:val="15"/>
              </w:rPr>
              <w:t>Empreinte</w:t>
            </w:r>
          </w:p>
        </w:tc>
      </w:tr>
      <w:tr>
        <w:tc>
          <w:tcPr>
            <w:tcW w:type="dxa" w:w="3005"/>
            <w:tcMar>
              <w:top w:w="60" w:type="dxa"/>
              <w:start w:w="60" w:type="dxa"/>
              <w:bottom w:w="60" w:type="dxa"/>
              <w:end w:w="60" w:type="dxa"/>
            </w:tcMar>
            <w:vAlign w:val="top"/>
          </w:tcPr>
          <w:p>
            <w:r/>
            <w:r>
              <w:rPr>
                <w:rFonts w:ascii="Aptos" w:hAnsi="Aptos"/>
                <w:sz w:val="15"/>
              </w:rPr>
              <w:t>sheet_name</w:t>
            </w:r>
          </w:p>
        </w:tc>
        <w:tc>
          <w:tcPr>
            <w:tcW w:type="dxa" w:w="6293"/>
            <w:tcMar>
              <w:top w:w="60" w:type="dxa"/>
              <w:start w:w="60" w:type="dxa"/>
              <w:bottom w:w="60" w:type="dxa"/>
              <w:end w:w="60" w:type="dxa"/>
            </w:tcMar>
            <w:vAlign w:val="top"/>
          </w:tcPr>
          <w:p>
            <w:r/>
            <w:r>
              <w:rPr>
                <w:rFonts w:ascii="Aptos" w:hAnsi="Aptos"/>
                <w:sz w:val="15"/>
              </w:rPr>
              <w:t>Feuille</w:t>
            </w:r>
          </w:p>
        </w:tc>
      </w:tr>
      <w:tr>
        <w:tc>
          <w:tcPr>
            <w:tcW w:type="dxa" w:w="3005"/>
            <w:tcMar>
              <w:top w:w="60" w:type="dxa"/>
              <w:start w:w="60" w:type="dxa"/>
              <w:bottom w:w="60" w:type="dxa"/>
              <w:end w:w="60" w:type="dxa"/>
            </w:tcMar>
            <w:vAlign w:val="top"/>
          </w:tcPr>
          <w:p>
            <w:r/>
            <w:r>
              <w:rPr>
                <w:rFonts w:ascii="Aptos" w:hAnsi="Aptos"/>
                <w:sz w:val="15"/>
              </w:rPr>
              <w:t>sheet_family</w:t>
            </w:r>
          </w:p>
        </w:tc>
        <w:tc>
          <w:tcPr>
            <w:tcW w:type="dxa" w:w="6293"/>
            <w:tcMar>
              <w:top w:w="60" w:type="dxa"/>
              <w:start w:w="60" w:type="dxa"/>
              <w:bottom w:w="60" w:type="dxa"/>
              <w:end w:w="60" w:type="dxa"/>
            </w:tcMar>
            <w:vAlign w:val="top"/>
          </w:tcPr>
          <w:p>
            <w:r/>
            <w:r>
              <w:rPr>
                <w:rFonts w:ascii="Aptos" w:hAnsi="Aptos"/>
                <w:sz w:val="15"/>
              </w:rPr>
              <w:t>Famille détectée</w:t>
            </w:r>
          </w:p>
        </w:tc>
      </w:tr>
      <w:tr>
        <w:tc>
          <w:tcPr>
            <w:tcW w:type="dxa" w:w="3005"/>
            <w:tcMar>
              <w:top w:w="60" w:type="dxa"/>
              <w:start w:w="60" w:type="dxa"/>
              <w:bottom w:w="60" w:type="dxa"/>
              <w:end w:w="60" w:type="dxa"/>
            </w:tcMar>
            <w:vAlign w:val="top"/>
          </w:tcPr>
          <w:p>
            <w:r/>
            <w:r>
              <w:rPr>
                <w:rFonts w:ascii="Aptos" w:hAnsi="Aptos"/>
                <w:sz w:val="15"/>
              </w:rPr>
              <w:t>row_number</w:t>
            </w:r>
          </w:p>
        </w:tc>
        <w:tc>
          <w:tcPr>
            <w:tcW w:type="dxa" w:w="6293"/>
            <w:tcMar>
              <w:top w:w="60" w:type="dxa"/>
              <w:start w:w="60" w:type="dxa"/>
              <w:bottom w:w="60" w:type="dxa"/>
              <w:end w:w="60" w:type="dxa"/>
            </w:tcMar>
            <w:vAlign w:val="top"/>
          </w:tcPr>
          <w:p>
            <w:r/>
            <w:r>
              <w:rPr>
                <w:rFonts w:ascii="Aptos" w:hAnsi="Aptos"/>
                <w:sz w:val="15"/>
              </w:rPr>
              <w:t>Ligne</w:t>
            </w:r>
          </w:p>
        </w:tc>
      </w:tr>
      <w:tr>
        <w:tc>
          <w:tcPr>
            <w:tcW w:type="dxa" w:w="3005"/>
            <w:tcMar>
              <w:top w:w="60" w:type="dxa"/>
              <w:start w:w="60" w:type="dxa"/>
              <w:bottom w:w="60" w:type="dxa"/>
              <w:end w:w="60" w:type="dxa"/>
            </w:tcMar>
            <w:vAlign w:val="top"/>
          </w:tcPr>
          <w:p>
            <w:r/>
            <w:r>
              <w:rPr>
                <w:rFonts w:ascii="Aptos" w:hAnsi="Aptos"/>
                <w:sz w:val="15"/>
              </w:rPr>
              <w:t>column_number</w:t>
            </w:r>
          </w:p>
        </w:tc>
        <w:tc>
          <w:tcPr>
            <w:tcW w:type="dxa" w:w="6293"/>
            <w:tcMar>
              <w:top w:w="60" w:type="dxa"/>
              <w:start w:w="60" w:type="dxa"/>
              <w:bottom w:w="60" w:type="dxa"/>
              <w:end w:w="60" w:type="dxa"/>
            </w:tcMar>
            <w:vAlign w:val="top"/>
          </w:tcPr>
          <w:p>
            <w:r/>
            <w:r>
              <w:rPr>
                <w:rFonts w:ascii="Aptos" w:hAnsi="Aptos"/>
                <w:sz w:val="15"/>
              </w:rPr>
              <w:t>Colonne</w:t>
            </w:r>
          </w:p>
        </w:tc>
      </w:tr>
      <w:tr>
        <w:tc>
          <w:tcPr>
            <w:tcW w:type="dxa" w:w="3005"/>
            <w:tcMar>
              <w:top w:w="60" w:type="dxa"/>
              <w:start w:w="60" w:type="dxa"/>
              <w:bottom w:w="60" w:type="dxa"/>
              <w:end w:w="60" w:type="dxa"/>
            </w:tcMar>
            <w:vAlign w:val="top"/>
          </w:tcPr>
          <w:p>
            <w:r/>
            <w:r>
              <w:rPr>
                <w:rFonts w:ascii="Aptos" w:hAnsi="Aptos"/>
                <w:sz w:val="15"/>
              </w:rPr>
              <w:t>cell_coordinate</w:t>
            </w:r>
          </w:p>
        </w:tc>
        <w:tc>
          <w:tcPr>
            <w:tcW w:type="dxa" w:w="6293"/>
            <w:tcMar>
              <w:top w:w="60" w:type="dxa"/>
              <w:start w:w="60" w:type="dxa"/>
              <w:bottom w:w="60" w:type="dxa"/>
              <w:end w:w="60" w:type="dxa"/>
            </w:tcMar>
            <w:vAlign w:val="top"/>
          </w:tcPr>
          <w:p>
            <w:r/>
            <w:r>
              <w:rPr>
                <w:rFonts w:ascii="Aptos" w:hAnsi="Aptos"/>
                <w:sz w:val="15"/>
              </w:rPr>
              <w:t>Coordonnée</w:t>
            </w:r>
          </w:p>
        </w:tc>
      </w:tr>
      <w:tr>
        <w:tc>
          <w:tcPr>
            <w:tcW w:type="dxa" w:w="3005"/>
            <w:tcMar>
              <w:top w:w="60" w:type="dxa"/>
              <w:start w:w="60" w:type="dxa"/>
              <w:bottom w:w="60" w:type="dxa"/>
              <w:end w:w="60" w:type="dxa"/>
            </w:tcMar>
            <w:vAlign w:val="top"/>
          </w:tcPr>
          <w:p>
            <w:r/>
            <w:r>
              <w:rPr>
                <w:rFonts w:ascii="Aptos" w:hAnsi="Aptos"/>
                <w:sz w:val="15"/>
              </w:rPr>
              <w:t>date_block_label_raw</w:t>
            </w:r>
          </w:p>
        </w:tc>
        <w:tc>
          <w:tcPr>
            <w:tcW w:type="dxa" w:w="6293"/>
            <w:tcMar>
              <w:top w:w="60" w:type="dxa"/>
              <w:start w:w="60" w:type="dxa"/>
              <w:bottom w:w="60" w:type="dxa"/>
              <w:end w:w="60" w:type="dxa"/>
            </w:tcMar>
            <w:vAlign w:val="top"/>
          </w:tcPr>
          <w:p>
            <w:r/>
            <w:r>
              <w:rPr>
                <w:rFonts w:ascii="Aptos" w:hAnsi="Aptos"/>
                <w:sz w:val="15"/>
              </w:rPr>
              <w:t>Libellé de date</w:t>
            </w:r>
          </w:p>
        </w:tc>
      </w:tr>
      <w:tr>
        <w:tc>
          <w:tcPr>
            <w:tcW w:type="dxa" w:w="3005"/>
            <w:tcMar>
              <w:top w:w="60" w:type="dxa"/>
              <w:start w:w="60" w:type="dxa"/>
              <w:bottom w:w="60" w:type="dxa"/>
              <w:end w:w="60" w:type="dxa"/>
            </w:tcMar>
            <w:vAlign w:val="top"/>
          </w:tcPr>
          <w:p>
            <w:r/>
            <w:r>
              <w:rPr>
                <w:rFonts w:ascii="Aptos" w:hAnsi="Aptos"/>
                <w:sz w:val="15"/>
              </w:rPr>
              <w:t>date_block_role</w:t>
            </w:r>
          </w:p>
        </w:tc>
        <w:tc>
          <w:tcPr>
            <w:tcW w:type="dxa" w:w="6293"/>
            <w:tcMar>
              <w:top w:w="60" w:type="dxa"/>
              <w:start w:w="60" w:type="dxa"/>
              <w:bottom w:w="60" w:type="dxa"/>
              <w:end w:w="60" w:type="dxa"/>
            </w:tcMar>
            <w:vAlign w:val="top"/>
          </w:tcPr>
          <w:p>
            <w:r/>
            <w:r>
              <w:rPr>
                <w:rFonts w:ascii="Aptos" w:hAnsi="Aptos"/>
                <w:sz w:val="15"/>
              </w:rPr>
              <w:t>current/previous/historical</w:t>
            </w:r>
          </w:p>
        </w:tc>
      </w:tr>
      <w:tr>
        <w:tc>
          <w:tcPr>
            <w:tcW w:type="dxa" w:w="3005"/>
            <w:tcMar>
              <w:top w:w="60" w:type="dxa"/>
              <w:start w:w="60" w:type="dxa"/>
              <w:bottom w:w="60" w:type="dxa"/>
              <w:end w:w="60" w:type="dxa"/>
            </w:tcMar>
            <w:vAlign w:val="top"/>
          </w:tcPr>
          <w:p>
            <w:r/>
            <w:r>
              <w:rPr>
                <w:rFonts w:ascii="Aptos" w:hAnsi="Aptos"/>
                <w:sz w:val="15"/>
              </w:rPr>
              <w:t>raw_fund_name_cell</w:t>
            </w:r>
          </w:p>
        </w:tc>
        <w:tc>
          <w:tcPr>
            <w:tcW w:type="dxa" w:w="6293"/>
            <w:tcMar>
              <w:top w:w="60" w:type="dxa"/>
              <w:start w:w="60" w:type="dxa"/>
              <w:bottom w:w="60" w:type="dxa"/>
              <w:end w:w="60" w:type="dxa"/>
            </w:tcMar>
            <w:vAlign w:val="top"/>
          </w:tcPr>
          <w:p>
            <w:r/>
            <w:r>
              <w:rPr>
                <w:rFonts w:ascii="Aptos" w:hAnsi="Aptos"/>
                <w:sz w:val="15"/>
              </w:rPr>
              <w:t>Nom brut</w:t>
            </w:r>
          </w:p>
        </w:tc>
      </w:tr>
      <w:tr>
        <w:tc>
          <w:tcPr>
            <w:tcW w:type="dxa" w:w="3005"/>
            <w:tcMar>
              <w:top w:w="60" w:type="dxa"/>
              <w:start w:w="60" w:type="dxa"/>
              <w:bottom w:w="60" w:type="dxa"/>
              <w:end w:w="60" w:type="dxa"/>
            </w:tcMar>
            <w:vAlign w:val="top"/>
          </w:tcPr>
          <w:p>
            <w:r/>
            <w:r>
              <w:rPr>
                <w:rFonts w:ascii="Aptos" w:hAnsi="Aptos"/>
                <w:sz w:val="15"/>
              </w:rPr>
              <w:t>raw_manager_cell</w:t>
            </w:r>
          </w:p>
        </w:tc>
        <w:tc>
          <w:tcPr>
            <w:tcW w:type="dxa" w:w="6293"/>
            <w:tcMar>
              <w:top w:w="60" w:type="dxa"/>
              <w:start w:w="60" w:type="dxa"/>
              <w:bottom w:w="60" w:type="dxa"/>
              <w:end w:w="60" w:type="dxa"/>
            </w:tcMar>
            <w:vAlign w:val="top"/>
          </w:tcPr>
          <w:p>
            <w:r/>
            <w:r>
              <w:rPr>
                <w:rFonts w:ascii="Aptos" w:hAnsi="Aptos"/>
                <w:sz w:val="15"/>
              </w:rPr>
              <w:t>Gestionnaire brut</w:t>
            </w:r>
          </w:p>
        </w:tc>
      </w:tr>
      <w:tr>
        <w:tc>
          <w:tcPr>
            <w:tcW w:type="dxa" w:w="3005"/>
            <w:tcMar>
              <w:top w:w="60" w:type="dxa"/>
              <w:start w:w="60" w:type="dxa"/>
              <w:bottom w:w="60" w:type="dxa"/>
              <w:end w:w="60" w:type="dxa"/>
            </w:tcMar>
            <w:vAlign w:val="top"/>
          </w:tcPr>
          <w:p>
            <w:r/>
            <w:r>
              <w:rPr>
                <w:rFonts w:ascii="Aptos" w:hAnsi="Aptos"/>
                <w:sz w:val="15"/>
              </w:rPr>
              <w:t>raw_category_cell</w:t>
            </w:r>
          </w:p>
        </w:tc>
        <w:tc>
          <w:tcPr>
            <w:tcW w:type="dxa" w:w="6293"/>
            <w:tcMar>
              <w:top w:w="60" w:type="dxa"/>
              <w:start w:w="60" w:type="dxa"/>
              <w:bottom w:w="60" w:type="dxa"/>
              <w:end w:w="60" w:type="dxa"/>
            </w:tcMar>
            <w:vAlign w:val="top"/>
          </w:tcPr>
          <w:p>
            <w:r/>
            <w:r>
              <w:rPr>
                <w:rFonts w:ascii="Aptos" w:hAnsi="Aptos"/>
                <w:sz w:val="15"/>
              </w:rPr>
              <w:t>Catégorie brute</w:t>
            </w:r>
          </w:p>
        </w:tc>
      </w:tr>
      <w:tr>
        <w:tc>
          <w:tcPr>
            <w:tcW w:type="dxa" w:w="3005"/>
            <w:tcMar>
              <w:top w:w="60" w:type="dxa"/>
              <w:start w:w="60" w:type="dxa"/>
              <w:bottom w:w="60" w:type="dxa"/>
              <w:end w:w="60" w:type="dxa"/>
            </w:tcMar>
            <w:vAlign w:val="top"/>
          </w:tcPr>
          <w:p>
            <w:r/>
            <w:r>
              <w:rPr>
                <w:rFonts w:ascii="Aptos" w:hAnsi="Aptos"/>
                <w:sz w:val="15"/>
              </w:rPr>
              <w:t>raw_measure_header</w:t>
            </w:r>
          </w:p>
        </w:tc>
        <w:tc>
          <w:tcPr>
            <w:tcW w:type="dxa" w:w="6293"/>
            <w:tcMar>
              <w:top w:w="60" w:type="dxa"/>
              <w:start w:w="60" w:type="dxa"/>
              <w:bottom w:w="60" w:type="dxa"/>
              <w:end w:w="60" w:type="dxa"/>
            </w:tcMar>
            <w:vAlign w:val="top"/>
          </w:tcPr>
          <w:p>
            <w:r/>
            <w:r>
              <w:rPr>
                <w:rFonts w:ascii="Aptos" w:hAnsi="Aptos"/>
                <w:sz w:val="15"/>
              </w:rPr>
              <w:t>En-tête brut</w:t>
            </w:r>
          </w:p>
        </w:tc>
      </w:tr>
      <w:tr>
        <w:tc>
          <w:tcPr>
            <w:tcW w:type="dxa" w:w="3005"/>
            <w:tcMar>
              <w:top w:w="60" w:type="dxa"/>
              <w:start w:w="60" w:type="dxa"/>
              <w:bottom w:w="60" w:type="dxa"/>
              <w:end w:w="60" w:type="dxa"/>
            </w:tcMar>
            <w:vAlign w:val="top"/>
          </w:tcPr>
          <w:p>
            <w:r/>
            <w:r>
              <w:rPr>
                <w:rFonts w:ascii="Aptos" w:hAnsi="Aptos"/>
                <w:sz w:val="15"/>
              </w:rPr>
              <w:t>raw_value</w:t>
            </w:r>
          </w:p>
        </w:tc>
        <w:tc>
          <w:tcPr>
            <w:tcW w:type="dxa" w:w="6293"/>
            <w:tcMar>
              <w:top w:w="60" w:type="dxa"/>
              <w:start w:w="60" w:type="dxa"/>
              <w:bottom w:w="60" w:type="dxa"/>
              <w:end w:w="60" w:type="dxa"/>
            </w:tcMar>
            <w:vAlign w:val="top"/>
          </w:tcPr>
          <w:p>
            <w:r/>
            <w:r>
              <w:rPr>
                <w:rFonts w:ascii="Aptos" w:hAnsi="Aptos"/>
                <w:sz w:val="15"/>
              </w:rPr>
              <w:t>Valeur brute</w:t>
            </w:r>
          </w:p>
        </w:tc>
      </w:tr>
      <w:tr>
        <w:tc>
          <w:tcPr>
            <w:tcW w:type="dxa" w:w="3005"/>
            <w:tcMar>
              <w:top w:w="60" w:type="dxa"/>
              <w:start w:w="60" w:type="dxa"/>
              <w:bottom w:w="60" w:type="dxa"/>
              <w:end w:w="60" w:type="dxa"/>
            </w:tcMar>
            <w:vAlign w:val="top"/>
          </w:tcPr>
          <w:p>
            <w:r/>
            <w:r>
              <w:rPr>
                <w:rFonts w:ascii="Aptos" w:hAnsi="Aptos"/>
                <w:sz w:val="15"/>
              </w:rPr>
              <w:t>parsed_value</w:t>
            </w:r>
          </w:p>
        </w:tc>
        <w:tc>
          <w:tcPr>
            <w:tcW w:type="dxa" w:w="6293"/>
            <w:tcMar>
              <w:top w:w="60" w:type="dxa"/>
              <w:start w:w="60" w:type="dxa"/>
              <w:bottom w:w="60" w:type="dxa"/>
              <w:end w:w="60" w:type="dxa"/>
            </w:tcMar>
            <w:vAlign w:val="top"/>
          </w:tcPr>
          <w:p>
            <w:r/>
            <w:r>
              <w:rPr>
                <w:rFonts w:ascii="Aptos" w:hAnsi="Aptos"/>
                <w:sz w:val="15"/>
              </w:rPr>
              <w:t>Valeur numérique</w:t>
            </w:r>
          </w:p>
        </w:tc>
      </w:tr>
      <w:tr>
        <w:tc>
          <w:tcPr>
            <w:tcW w:type="dxa" w:w="3005"/>
            <w:tcMar>
              <w:top w:w="60" w:type="dxa"/>
              <w:start w:w="60" w:type="dxa"/>
              <w:bottom w:w="60" w:type="dxa"/>
              <w:end w:w="60" w:type="dxa"/>
            </w:tcMar>
            <w:vAlign w:val="top"/>
          </w:tcPr>
          <w:p>
            <w:r/>
            <w:r>
              <w:rPr>
                <w:rFonts w:ascii="Aptos" w:hAnsi="Aptos"/>
                <w:sz w:val="15"/>
              </w:rPr>
              <w:t>currency</w:t>
            </w:r>
          </w:p>
        </w:tc>
        <w:tc>
          <w:tcPr>
            <w:tcW w:type="dxa" w:w="6293"/>
            <w:tcMar>
              <w:top w:w="60" w:type="dxa"/>
              <w:start w:w="60" w:type="dxa"/>
              <w:bottom w:w="60" w:type="dxa"/>
              <w:end w:w="60" w:type="dxa"/>
            </w:tcMar>
            <w:vAlign w:val="top"/>
          </w:tcPr>
          <w:p>
            <w:r/>
            <w:r>
              <w:rPr>
                <w:rFonts w:ascii="Aptos" w:hAnsi="Aptos"/>
                <w:sz w:val="15"/>
              </w:rPr>
              <w:t>Devise</w:t>
            </w:r>
          </w:p>
        </w:tc>
      </w:tr>
      <w:tr>
        <w:tc>
          <w:tcPr>
            <w:tcW w:type="dxa" w:w="3005"/>
            <w:tcMar>
              <w:top w:w="60" w:type="dxa"/>
              <w:start w:w="60" w:type="dxa"/>
              <w:bottom w:w="60" w:type="dxa"/>
              <w:end w:w="60" w:type="dxa"/>
            </w:tcMar>
            <w:vAlign w:val="top"/>
          </w:tcPr>
          <w:p>
            <w:r/>
            <w:r>
              <w:rPr>
                <w:rFonts w:ascii="Aptos" w:hAnsi="Aptos"/>
                <w:sz w:val="15"/>
              </w:rPr>
              <w:t>measure_type</w:t>
            </w:r>
          </w:p>
        </w:tc>
        <w:tc>
          <w:tcPr>
            <w:tcW w:type="dxa" w:w="6293"/>
            <w:tcMar>
              <w:top w:w="60" w:type="dxa"/>
              <w:start w:w="60" w:type="dxa"/>
              <w:bottom w:w="60" w:type="dxa"/>
              <w:end w:w="60" w:type="dxa"/>
            </w:tcMar>
            <w:vAlign w:val="top"/>
          </w:tcPr>
          <w:p>
            <w:r/>
            <w:r>
              <w:rPr>
                <w:rFonts w:ascii="Aptos" w:hAnsi="Aptos"/>
                <w:sz w:val="15"/>
              </w:rPr>
              <w:t>Type de mesure</w:t>
            </w:r>
          </w:p>
        </w:tc>
      </w:tr>
      <w:tr>
        <w:tc>
          <w:tcPr>
            <w:tcW w:type="dxa" w:w="3005"/>
            <w:tcMar>
              <w:top w:w="60" w:type="dxa"/>
              <w:start w:w="60" w:type="dxa"/>
              <w:bottom w:w="60" w:type="dxa"/>
              <w:end w:w="60" w:type="dxa"/>
            </w:tcMar>
            <w:vAlign w:val="top"/>
          </w:tcPr>
          <w:p>
            <w:r/>
            <w:r>
              <w:rPr>
                <w:rFonts w:ascii="Aptos" w:hAnsi="Aptos"/>
                <w:sz w:val="15"/>
              </w:rPr>
              <w:t>selection_rule</w:t>
            </w:r>
          </w:p>
        </w:tc>
        <w:tc>
          <w:tcPr>
            <w:tcW w:type="dxa" w:w="6293"/>
            <w:tcMar>
              <w:top w:w="60" w:type="dxa"/>
              <w:start w:w="60" w:type="dxa"/>
              <w:bottom w:w="60" w:type="dxa"/>
              <w:end w:w="60" w:type="dxa"/>
            </w:tcMar>
            <w:vAlign w:val="top"/>
          </w:tcPr>
          <w:p>
            <w:r/>
            <w:r>
              <w:rPr>
                <w:rFonts w:ascii="Aptos" w:hAnsi="Aptos"/>
                <w:sz w:val="15"/>
              </w:rPr>
              <w:t>Règle de choix</w:t>
            </w:r>
          </w:p>
        </w:tc>
      </w:tr>
      <w:tr>
        <w:tc>
          <w:tcPr>
            <w:tcW w:type="dxa" w:w="3005"/>
            <w:tcMar>
              <w:top w:w="60" w:type="dxa"/>
              <w:start w:w="60" w:type="dxa"/>
              <w:bottom w:w="60" w:type="dxa"/>
              <w:end w:w="60" w:type="dxa"/>
            </w:tcMar>
            <w:vAlign w:val="top"/>
          </w:tcPr>
          <w:p>
            <w:r/>
            <w:r>
              <w:rPr>
                <w:rFonts w:ascii="Aptos" w:hAnsi="Aptos"/>
                <w:sz w:val="15"/>
              </w:rPr>
              <w:t>quality_flags</w:t>
            </w:r>
          </w:p>
        </w:tc>
        <w:tc>
          <w:tcPr>
            <w:tcW w:type="dxa" w:w="6293"/>
            <w:tcMar>
              <w:top w:w="60" w:type="dxa"/>
              <w:start w:w="60" w:type="dxa"/>
              <w:bottom w:w="60" w:type="dxa"/>
              <w:end w:w="60" w:type="dxa"/>
            </w:tcMar>
            <w:vAlign w:val="top"/>
          </w:tcPr>
          <w:p>
            <w:r/>
            <w:r>
              <w:rPr>
                <w:rFonts w:ascii="Aptos" w:hAnsi="Aptos"/>
                <w:sz w:val="15"/>
              </w:rPr>
              <w:t>Alertes</w:t>
            </w:r>
          </w:p>
        </w:tc>
      </w:tr>
      <w:tr>
        <w:tc>
          <w:tcPr>
            <w:tcW w:type="dxa" w:w="3005"/>
            <w:tcMar>
              <w:top w:w="60" w:type="dxa"/>
              <w:start w:w="60" w:type="dxa"/>
              <w:bottom w:w="60" w:type="dxa"/>
              <w:end w:w="60" w:type="dxa"/>
            </w:tcMar>
            <w:vAlign w:val="top"/>
          </w:tcPr>
          <w:p>
            <w:r/>
            <w:r>
              <w:rPr>
                <w:rFonts w:ascii="Aptos" w:hAnsi="Aptos"/>
                <w:sz w:val="15"/>
              </w:rPr>
              <w:t>import_run_id</w:t>
            </w:r>
          </w:p>
        </w:tc>
        <w:tc>
          <w:tcPr>
            <w:tcW w:type="dxa" w:w="6293"/>
            <w:tcMar>
              <w:top w:w="60" w:type="dxa"/>
              <w:start w:w="60" w:type="dxa"/>
              <w:bottom w:w="60" w:type="dxa"/>
              <w:end w:w="60" w:type="dxa"/>
            </w:tcMar>
            <w:vAlign w:val="top"/>
          </w:tcPr>
          <w:p>
            <w:r/>
            <w:r>
              <w:rPr>
                <w:rFonts w:ascii="Aptos" w:hAnsi="Aptos"/>
                <w:sz w:val="15"/>
              </w:rPr>
              <w:t>Exécution</w:t>
            </w:r>
          </w:p>
        </w:tc>
      </w:tr>
      <w:tr>
        <w:tc>
          <w:tcPr>
            <w:tcW w:type="dxa" w:w="3005"/>
            <w:tcMar>
              <w:top w:w="60" w:type="dxa"/>
              <w:start w:w="60" w:type="dxa"/>
              <w:bottom w:w="60" w:type="dxa"/>
              <w:end w:w="60" w:type="dxa"/>
            </w:tcMar>
            <w:vAlign w:val="top"/>
          </w:tcPr>
          <w:p>
            <w:r/>
            <w:r>
              <w:rPr>
                <w:rFonts w:ascii="Aptos" w:hAnsi="Aptos"/>
                <w:sz w:val="15"/>
              </w:rPr>
              <w:t>parser_version</w:t>
            </w:r>
          </w:p>
        </w:tc>
        <w:tc>
          <w:tcPr>
            <w:tcW w:type="dxa" w:w="6293"/>
            <w:tcMar>
              <w:top w:w="60" w:type="dxa"/>
              <w:start w:w="60" w:type="dxa"/>
              <w:bottom w:w="60" w:type="dxa"/>
              <w:end w:w="60" w:type="dxa"/>
            </w:tcMar>
            <w:vAlign w:val="top"/>
          </w:tcPr>
          <w:p>
            <w:r/>
            <w:r>
              <w:rPr>
                <w:rFonts w:ascii="Aptos" w:hAnsi="Aptos"/>
                <w:sz w:val="15"/>
              </w:rPr>
              <w:t>Version du parseur</w:t>
            </w:r>
          </w:p>
        </w:tc>
      </w:tr>
    </w:tbl>
    <w:p>
      <w:pPr>
        <w:widowControl/>
        <w:spacing w:after="0"/>
      </w:pPr>
    </w:p>
    <w:p>
      <w:pPr>
        <w:pStyle w:val="Heading2"/>
        <w:widowControl/>
      </w:pPr>
      <w:r>
        <w:t>7.3 Déduplication sans perte</w:t>
      </w:r>
    </w:p>
    <w:p>
      <w:pPr>
        <w:pStyle w:val="CodeNigeria"/>
        <w:widowControl/>
        <w:shd w:fill="F4F6F7"/>
      </w:pPr>
      <w:r>
        <w:rPr>
          <w:rFonts w:ascii="Liberation Mono" w:hAnsi="Liberation Mono"/>
          <w:color w:val="1E1E1E"/>
          <w:sz w:val="15"/>
        </w:rPr>
        <w:t>dedupe_key = (canonical_fund_id, share_class_id, valuation_date, measure_type, currency)</w:t>
        <w:br/>
        <w:t>source_priority = current_block &gt; previous_block &gt; historical_sheet &gt; derived_control</w:t>
        <w:br/>
        <w:t>if values_equal_with_tolerance:</w:t>
        <w:br/>
        <w:t xml:space="preserve">    one canonical observation + multiple source links</w:t>
        <w:br/>
        <w:t>else:</w:t>
        <w:br/>
        <w:t xml:space="preserve">    conflict group + review status + no silent deletion</w:t>
      </w:r>
    </w:p>
    <w:p>
      <w:pPr>
        <w:pStyle w:val="Heading2"/>
        <w:widowControl/>
      </w:pPr>
      <w:r>
        <w:t>7.4 Tolérances et révisions</w:t>
      </w:r>
    </w:p>
    <w:p>
      <w:pPr>
        <w:pStyle w:val="ListBullet"/>
        <w:widowControl/>
        <w:ind w:left="397" w:hanging="142"/>
      </w:pPr>
      <w:r>
        <w:rPr>
          <w:rFonts w:ascii="Aptos" w:hAnsi="Aptos"/>
          <w:sz w:val="18"/>
        </w:rPr>
        <w:t>Les montants doivent être comparés avec une tolérance adaptée à l'arrondi et à l'échelle.</w:t>
      </w:r>
    </w:p>
    <w:p>
      <w:pPr>
        <w:pStyle w:val="ListBullet"/>
        <w:widowControl/>
        <w:ind w:left="397" w:hanging="142"/>
      </w:pPr>
      <w:r>
        <w:rPr>
          <w:rFonts w:ascii="Aptos" w:hAnsi="Aptos"/>
          <w:sz w:val="18"/>
        </w:rPr>
        <w:t>Les prix unitaires peuvent exiger une tolérance de quelques décimales ; conserver la précision source.</w:t>
      </w:r>
    </w:p>
    <w:p>
      <w:pPr>
        <w:pStyle w:val="ListBullet"/>
        <w:widowControl/>
        <w:ind w:left="397" w:hanging="142"/>
      </w:pPr>
      <w:r>
        <w:rPr>
          <w:rFonts w:ascii="Aptos" w:hAnsi="Aptos"/>
          <w:sz w:val="18"/>
        </w:rPr>
        <w:t>Une publication plus récente n'est pas automatiquement une correction de la publication précédente.</w:t>
      </w:r>
    </w:p>
    <w:p>
      <w:pPr>
        <w:pStyle w:val="ListBullet"/>
        <w:widowControl/>
        <w:ind w:left="397" w:hanging="142"/>
      </w:pPr>
      <w:r>
        <w:rPr>
          <w:rFonts w:ascii="Aptos" w:hAnsi="Aptos"/>
          <w:sz w:val="18"/>
        </w:rPr>
        <w:t>Utiliser supersedes uniquement si le site, le titre, le document ou la comparaison démontre une révision.</w:t>
      </w:r>
    </w:p>
    <w:p>
      <w:pPr>
        <w:pStyle w:val="ListBullet"/>
        <w:widowControl/>
        <w:ind w:left="397" w:hanging="142"/>
      </w:pPr>
      <w:r>
        <w:rPr>
          <w:rFonts w:ascii="Aptos" w:hAnsi="Aptos"/>
          <w:sz w:val="18"/>
        </w:rPr>
        <w:t>Conserver la valeur retenue, les alternatives, la règle et le reviewer.</w:t>
      </w:r>
    </w:p>
    <w:p>
      <w:pPr>
        <w:pStyle w:val="Heading2"/>
        <w:widowControl/>
      </w:pPr>
      <w:r>
        <w:t>7.5 Schéma conceptuel</w:t>
      </w:r>
    </w:p>
    <w:p>
      <w:pPr>
        <w:pStyle w:val="CodeNigeria"/>
        <w:widowControl/>
        <w:shd w:fill="F4F6F7"/>
      </w:pPr>
      <w:r>
        <w:rPr>
          <w:rFonts w:ascii="Liberation Mono" w:hAnsi="Liberation Mono"/>
          <w:color w:val="1E1E1E"/>
          <w:sz w:val="15"/>
        </w:rPr>
        <w:t>Fund ──&lt; ShareClass</w:t>
        <w:br/>
        <w:t xml:space="preserve">  │          │</w:t>
        <w:br/>
        <w:t xml:space="preserve">  │          └──&lt; ValuationObservation &gt;── SourceCell &gt;── SourceDocument</w:t>
        <w:br/>
        <w:t xml:space="preserve">  │</w:t>
        <w:br/>
        <w:t xml:space="preserve">  ├──&lt; FundNameHistory</w:t>
        <w:br/>
        <w:t xml:space="preserve">  ├──&lt; FundManagerAssignment &gt;── ManagementCompany</w:t>
        <w:br/>
        <w:t xml:space="preserve">  ├──&lt; FundServiceProviderAssignment &gt;── LegalEntity</w:t>
        <w:br/>
        <w:t xml:space="preserve">  ├──&lt; FundEvent &gt;── EventEvidence &gt;── Document</w:t>
        <w:br/>
        <w:t xml:space="preserve">  ├──&lt; FundClassificationHistory</w:t>
        <w:br/>
        <w:t xml:space="preserve">  ├──&lt; BenchmarkAssignment &gt;── BenchmarkSeries</w:t>
        <w:br/>
        <w:t xml:space="preserve">  └──&lt; DistributionEvent</w:t>
      </w:r>
    </w:p>
    <w:p>
      <w:pPr>
        <w:pStyle w:val="Heading2"/>
        <w:widowControl/>
      </w:pPr>
      <w:r>
        <w:t>7.6 Tables minimales recommandées</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3402"/>
            <w:shd w:fill="D9EAF2"/>
            <w:tcMar>
              <w:top w:w="70" w:type="dxa"/>
              <w:start w:w="70" w:type="dxa"/>
              <w:bottom w:w="70" w:type="dxa"/>
              <w:end w:w="70" w:type="dxa"/>
            </w:tcMar>
            <w:vAlign w:val="center"/>
          </w:tcPr>
          <w:p>
            <w:r/>
            <w:r>
              <w:rPr>
                <w:rFonts w:ascii="Aptos" w:hAnsi="Aptos"/>
                <w:b/>
                <w:color w:val="123E5E"/>
                <w:sz w:val="16"/>
              </w:rPr>
              <w:t>Table</w:t>
            </w:r>
          </w:p>
        </w:tc>
        <w:tc>
          <w:tcPr>
            <w:tcW w:type="dxa" w:w="5896"/>
            <w:shd w:fill="D9EAF2"/>
            <w:tcMar>
              <w:top w:w="70" w:type="dxa"/>
              <w:start w:w="70" w:type="dxa"/>
              <w:bottom w:w="70" w:type="dxa"/>
              <w:end w:w="70" w:type="dxa"/>
            </w:tcMar>
            <w:vAlign w:val="center"/>
          </w:tcPr>
          <w:p>
            <w:r/>
            <w:r>
              <w:rPr>
                <w:rFonts w:ascii="Aptos" w:hAnsi="Aptos"/>
                <w:b/>
                <w:color w:val="123E5E"/>
                <w:sz w:val="16"/>
              </w:rPr>
              <w:t>Objet</w:t>
            </w:r>
          </w:p>
        </w:tc>
      </w:tr>
      <w:tr>
        <w:tc>
          <w:tcPr>
            <w:tcW w:type="dxa" w:w="3402"/>
            <w:tcMar>
              <w:top w:w="60" w:type="dxa"/>
              <w:start w:w="60" w:type="dxa"/>
              <w:bottom w:w="60" w:type="dxa"/>
              <w:end w:w="60" w:type="dxa"/>
            </w:tcMar>
            <w:vAlign w:val="top"/>
          </w:tcPr>
          <w:p>
            <w:r/>
            <w:r>
              <w:rPr>
                <w:rFonts w:ascii="Aptos" w:hAnsi="Aptos"/>
                <w:sz w:val="16"/>
              </w:rPr>
              <w:t>source_documents</w:t>
            </w:r>
          </w:p>
        </w:tc>
        <w:tc>
          <w:tcPr>
            <w:tcW w:type="dxa" w:w="5896"/>
            <w:tcMar>
              <w:top w:w="60" w:type="dxa"/>
              <w:start w:w="60" w:type="dxa"/>
              <w:bottom w:w="60" w:type="dxa"/>
              <w:end w:w="60" w:type="dxa"/>
            </w:tcMar>
            <w:vAlign w:val="top"/>
          </w:tcPr>
          <w:p>
            <w:r/>
            <w:r>
              <w:rPr>
                <w:rFonts w:ascii="Aptos" w:hAnsi="Aptos"/>
                <w:sz w:val="16"/>
              </w:rPr>
              <w:t>Publications et documents</w:t>
            </w:r>
          </w:p>
        </w:tc>
      </w:tr>
      <w:tr>
        <w:tc>
          <w:tcPr>
            <w:tcW w:type="dxa" w:w="3402"/>
            <w:tcMar>
              <w:top w:w="60" w:type="dxa"/>
              <w:start w:w="60" w:type="dxa"/>
              <w:bottom w:w="60" w:type="dxa"/>
              <w:end w:w="60" w:type="dxa"/>
            </w:tcMar>
            <w:vAlign w:val="top"/>
          </w:tcPr>
          <w:p>
            <w:r/>
            <w:r>
              <w:rPr>
                <w:rFonts w:ascii="Aptos" w:hAnsi="Aptos"/>
                <w:sz w:val="16"/>
              </w:rPr>
              <w:t>source_sheets</w:t>
            </w:r>
          </w:p>
        </w:tc>
        <w:tc>
          <w:tcPr>
            <w:tcW w:type="dxa" w:w="5896"/>
            <w:tcMar>
              <w:top w:w="60" w:type="dxa"/>
              <w:start w:w="60" w:type="dxa"/>
              <w:bottom w:w="60" w:type="dxa"/>
              <w:end w:w="60" w:type="dxa"/>
            </w:tcMar>
            <w:vAlign w:val="top"/>
          </w:tcPr>
          <w:p>
            <w:r/>
            <w:r>
              <w:rPr>
                <w:rFonts w:ascii="Aptos" w:hAnsi="Aptos"/>
                <w:sz w:val="16"/>
              </w:rPr>
              <w:t>Feuilles et familles</w:t>
            </w:r>
          </w:p>
        </w:tc>
      </w:tr>
      <w:tr>
        <w:tc>
          <w:tcPr>
            <w:tcW w:type="dxa" w:w="3402"/>
            <w:tcMar>
              <w:top w:w="60" w:type="dxa"/>
              <w:start w:w="60" w:type="dxa"/>
              <w:bottom w:w="60" w:type="dxa"/>
              <w:end w:w="60" w:type="dxa"/>
            </w:tcMar>
            <w:vAlign w:val="top"/>
          </w:tcPr>
          <w:p>
            <w:r/>
            <w:r>
              <w:rPr>
                <w:rFonts w:ascii="Aptos" w:hAnsi="Aptos"/>
                <w:sz w:val="16"/>
              </w:rPr>
              <w:t>source_cells</w:t>
            </w:r>
          </w:p>
        </w:tc>
        <w:tc>
          <w:tcPr>
            <w:tcW w:type="dxa" w:w="5896"/>
            <w:tcMar>
              <w:top w:w="60" w:type="dxa"/>
              <w:start w:w="60" w:type="dxa"/>
              <w:bottom w:w="60" w:type="dxa"/>
              <w:end w:w="60" w:type="dxa"/>
            </w:tcMar>
            <w:vAlign w:val="top"/>
          </w:tcPr>
          <w:p>
            <w:r/>
            <w:r>
              <w:rPr>
                <w:rFonts w:ascii="Aptos" w:hAnsi="Aptos"/>
                <w:sz w:val="16"/>
              </w:rPr>
              <w:t>Cellules utiles</w:t>
            </w:r>
          </w:p>
        </w:tc>
      </w:tr>
      <w:tr>
        <w:tc>
          <w:tcPr>
            <w:tcW w:type="dxa" w:w="3402"/>
            <w:tcMar>
              <w:top w:w="60" w:type="dxa"/>
              <w:start w:w="60" w:type="dxa"/>
              <w:bottom w:w="60" w:type="dxa"/>
              <w:end w:w="60" w:type="dxa"/>
            </w:tcMar>
            <w:vAlign w:val="top"/>
          </w:tcPr>
          <w:p>
            <w:r/>
            <w:r>
              <w:rPr>
                <w:rFonts w:ascii="Aptos" w:hAnsi="Aptos"/>
                <w:sz w:val="16"/>
              </w:rPr>
              <w:t>extraction_runs</w:t>
            </w:r>
          </w:p>
        </w:tc>
        <w:tc>
          <w:tcPr>
            <w:tcW w:type="dxa" w:w="5896"/>
            <w:tcMar>
              <w:top w:w="60" w:type="dxa"/>
              <w:start w:w="60" w:type="dxa"/>
              <w:bottom w:w="60" w:type="dxa"/>
              <w:end w:w="60" w:type="dxa"/>
            </w:tcMar>
            <w:vAlign w:val="top"/>
          </w:tcPr>
          <w:p>
            <w:r/>
            <w:r>
              <w:rPr>
                <w:rFonts w:ascii="Aptos" w:hAnsi="Aptos"/>
                <w:sz w:val="16"/>
              </w:rPr>
              <w:t>Exécutions et versions</w:t>
            </w:r>
          </w:p>
        </w:tc>
      </w:tr>
      <w:tr>
        <w:tc>
          <w:tcPr>
            <w:tcW w:type="dxa" w:w="3402"/>
            <w:tcMar>
              <w:top w:w="60" w:type="dxa"/>
              <w:start w:w="60" w:type="dxa"/>
              <w:bottom w:w="60" w:type="dxa"/>
              <w:end w:w="60" w:type="dxa"/>
            </w:tcMar>
            <w:vAlign w:val="top"/>
          </w:tcPr>
          <w:p>
            <w:r/>
            <w:r>
              <w:rPr>
                <w:rFonts w:ascii="Aptos" w:hAnsi="Aptos"/>
                <w:sz w:val="16"/>
              </w:rPr>
              <w:t>raw_observations</w:t>
            </w:r>
          </w:p>
        </w:tc>
        <w:tc>
          <w:tcPr>
            <w:tcW w:type="dxa" w:w="5896"/>
            <w:tcMar>
              <w:top w:w="60" w:type="dxa"/>
              <w:start w:w="60" w:type="dxa"/>
              <w:bottom w:w="60" w:type="dxa"/>
              <w:end w:w="60" w:type="dxa"/>
            </w:tcMar>
            <w:vAlign w:val="top"/>
          </w:tcPr>
          <w:p>
            <w:r/>
            <w:r>
              <w:rPr>
                <w:rFonts w:ascii="Aptos" w:hAnsi="Aptos"/>
                <w:sz w:val="16"/>
              </w:rPr>
              <w:t>Mesures interprétées par source</w:t>
            </w:r>
          </w:p>
        </w:tc>
      </w:tr>
      <w:tr>
        <w:tc>
          <w:tcPr>
            <w:tcW w:type="dxa" w:w="3402"/>
            <w:tcMar>
              <w:top w:w="60" w:type="dxa"/>
              <w:start w:w="60" w:type="dxa"/>
              <w:bottom w:w="60" w:type="dxa"/>
              <w:end w:w="60" w:type="dxa"/>
            </w:tcMar>
            <w:vAlign w:val="top"/>
          </w:tcPr>
          <w:p>
            <w:r/>
            <w:r>
              <w:rPr>
                <w:rFonts w:ascii="Aptos" w:hAnsi="Aptos"/>
                <w:sz w:val="16"/>
              </w:rPr>
              <w:t>canonical_observations</w:t>
            </w:r>
          </w:p>
        </w:tc>
        <w:tc>
          <w:tcPr>
            <w:tcW w:type="dxa" w:w="5896"/>
            <w:tcMar>
              <w:top w:w="60" w:type="dxa"/>
              <w:start w:w="60" w:type="dxa"/>
              <w:bottom w:w="60" w:type="dxa"/>
              <w:end w:w="60" w:type="dxa"/>
            </w:tcMar>
            <w:vAlign w:val="top"/>
          </w:tcPr>
          <w:p>
            <w:r/>
            <w:r>
              <w:rPr>
                <w:rFonts w:ascii="Aptos" w:hAnsi="Aptos"/>
                <w:sz w:val="16"/>
              </w:rPr>
              <w:t>Mesures dédupliquées</w:t>
            </w:r>
          </w:p>
        </w:tc>
      </w:tr>
      <w:tr>
        <w:tc>
          <w:tcPr>
            <w:tcW w:type="dxa" w:w="3402"/>
            <w:tcMar>
              <w:top w:w="60" w:type="dxa"/>
              <w:start w:w="60" w:type="dxa"/>
              <w:bottom w:w="60" w:type="dxa"/>
              <w:end w:w="60" w:type="dxa"/>
            </w:tcMar>
            <w:vAlign w:val="top"/>
          </w:tcPr>
          <w:p>
            <w:r/>
            <w:r>
              <w:rPr>
                <w:rFonts w:ascii="Aptos" w:hAnsi="Aptos"/>
                <w:sz w:val="16"/>
              </w:rPr>
              <w:t>observation_sources</w:t>
            </w:r>
          </w:p>
        </w:tc>
        <w:tc>
          <w:tcPr>
            <w:tcW w:type="dxa" w:w="5896"/>
            <w:tcMar>
              <w:top w:w="60" w:type="dxa"/>
              <w:start w:w="60" w:type="dxa"/>
              <w:bottom w:w="60" w:type="dxa"/>
              <w:end w:w="60" w:type="dxa"/>
            </w:tcMar>
            <w:vAlign w:val="top"/>
          </w:tcPr>
          <w:p>
            <w:r/>
            <w:r>
              <w:rPr>
                <w:rFonts w:ascii="Aptos" w:hAnsi="Aptos"/>
                <w:sz w:val="16"/>
              </w:rPr>
              <w:t>Liens de provenance</w:t>
            </w:r>
          </w:p>
        </w:tc>
      </w:tr>
      <w:tr>
        <w:tc>
          <w:tcPr>
            <w:tcW w:type="dxa" w:w="3402"/>
            <w:tcMar>
              <w:top w:w="60" w:type="dxa"/>
              <w:start w:w="60" w:type="dxa"/>
              <w:bottom w:w="60" w:type="dxa"/>
              <w:end w:w="60" w:type="dxa"/>
            </w:tcMar>
            <w:vAlign w:val="top"/>
          </w:tcPr>
          <w:p>
            <w:r/>
            <w:r>
              <w:rPr>
                <w:rFonts w:ascii="Aptos" w:hAnsi="Aptos"/>
                <w:sz w:val="16"/>
              </w:rPr>
              <w:t>observation_conflicts</w:t>
            </w:r>
          </w:p>
        </w:tc>
        <w:tc>
          <w:tcPr>
            <w:tcW w:type="dxa" w:w="5896"/>
            <w:tcMar>
              <w:top w:w="60" w:type="dxa"/>
              <w:start w:w="60" w:type="dxa"/>
              <w:bottom w:w="60" w:type="dxa"/>
              <w:end w:w="60" w:type="dxa"/>
            </w:tcMar>
            <w:vAlign w:val="top"/>
          </w:tcPr>
          <w:p>
            <w:r/>
            <w:r>
              <w:rPr>
                <w:rFonts w:ascii="Aptos" w:hAnsi="Aptos"/>
                <w:sz w:val="16"/>
              </w:rPr>
              <w:t>Conflits et arbitrages</w:t>
            </w:r>
          </w:p>
        </w:tc>
      </w:tr>
      <w:tr>
        <w:tc>
          <w:tcPr>
            <w:tcW w:type="dxa" w:w="3402"/>
            <w:tcMar>
              <w:top w:w="60" w:type="dxa"/>
              <w:start w:w="60" w:type="dxa"/>
              <w:bottom w:w="60" w:type="dxa"/>
              <w:end w:w="60" w:type="dxa"/>
            </w:tcMar>
            <w:vAlign w:val="top"/>
          </w:tcPr>
          <w:p>
            <w:r/>
            <w:r>
              <w:rPr>
                <w:rFonts w:ascii="Aptos" w:hAnsi="Aptos"/>
                <w:sz w:val="16"/>
              </w:rPr>
              <w:t>funds</w:t>
            </w:r>
          </w:p>
        </w:tc>
        <w:tc>
          <w:tcPr>
            <w:tcW w:type="dxa" w:w="5896"/>
            <w:tcMar>
              <w:top w:w="60" w:type="dxa"/>
              <w:start w:w="60" w:type="dxa"/>
              <w:bottom w:w="60" w:type="dxa"/>
              <w:end w:w="60" w:type="dxa"/>
            </w:tcMar>
            <w:vAlign w:val="top"/>
          </w:tcPr>
          <w:p>
            <w:r/>
            <w:r>
              <w:rPr>
                <w:rFonts w:ascii="Aptos" w:hAnsi="Aptos"/>
                <w:sz w:val="16"/>
              </w:rPr>
              <w:t>Fonds canoniques</w:t>
            </w:r>
          </w:p>
        </w:tc>
      </w:tr>
      <w:tr>
        <w:tc>
          <w:tcPr>
            <w:tcW w:type="dxa" w:w="3402"/>
            <w:tcMar>
              <w:top w:w="60" w:type="dxa"/>
              <w:start w:w="60" w:type="dxa"/>
              <w:bottom w:w="60" w:type="dxa"/>
              <w:end w:w="60" w:type="dxa"/>
            </w:tcMar>
            <w:vAlign w:val="top"/>
          </w:tcPr>
          <w:p>
            <w:r/>
            <w:r>
              <w:rPr>
                <w:rFonts w:ascii="Aptos" w:hAnsi="Aptos"/>
                <w:sz w:val="16"/>
              </w:rPr>
              <w:t>share_classes</w:t>
            </w:r>
          </w:p>
        </w:tc>
        <w:tc>
          <w:tcPr>
            <w:tcW w:type="dxa" w:w="5896"/>
            <w:tcMar>
              <w:top w:w="60" w:type="dxa"/>
              <w:start w:w="60" w:type="dxa"/>
              <w:bottom w:w="60" w:type="dxa"/>
              <w:end w:w="60" w:type="dxa"/>
            </w:tcMar>
            <w:vAlign w:val="top"/>
          </w:tcPr>
          <w:p>
            <w:r/>
            <w:r>
              <w:rPr>
                <w:rFonts w:ascii="Aptos" w:hAnsi="Aptos"/>
                <w:sz w:val="16"/>
              </w:rPr>
              <w:t>Classes</w:t>
            </w:r>
          </w:p>
        </w:tc>
      </w:tr>
      <w:tr>
        <w:tc>
          <w:tcPr>
            <w:tcW w:type="dxa" w:w="3402"/>
            <w:tcMar>
              <w:top w:w="60" w:type="dxa"/>
              <w:start w:w="60" w:type="dxa"/>
              <w:bottom w:w="60" w:type="dxa"/>
              <w:end w:w="60" w:type="dxa"/>
            </w:tcMar>
            <w:vAlign w:val="top"/>
          </w:tcPr>
          <w:p>
            <w:r/>
            <w:r>
              <w:rPr>
                <w:rFonts w:ascii="Aptos" w:hAnsi="Aptos"/>
                <w:sz w:val="16"/>
              </w:rPr>
              <w:t>fund_name_history</w:t>
            </w:r>
          </w:p>
        </w:tc>
        <w:tc>
          <w:tcPr>
            <w:tcW w:type="dxa" w:w="5896"/>
            <w:tcMar>
              <w:top w:w="60" w:type="dxa"/>
              <w:start w:w="60" w:type="dxa"/>
              <w:bottom w:w="60" w:type="dxa"/>
              <w:end w:w="60" w:type="dxa"/>
            </w:tcMar>
            <w:vAlign w:val="top"/>
          </w:tcPr>
          <w:p>
            <w:r/>
            <w:r>
              <w:rPr>
                <w:rFonts w:ascii="Aptos" w:hAnsi="Aptos"/>
                <w:sz w:val="16"/>
              </w:rPr>
              <w:t>Noms et validité</w:t>
            </w:r>
          </w:p>
        </w:tc>
      </w:tr>
      <w:tr>
        <w:tc>
          <w:tcPr>
            <w:tcW w:type="dxa" w:w="3402"/>
            <w:tcMar>
              <w:top w:w="60" w:type="dxa"/>
              <w:start w:w="60" w:type="dxa"/>
              <w:bottom w:w="60" w:type="dxa"/>
              <w:end w:w="60" w:type="dxa"/>
            </w:tcMar>
            <w:vAlign w:val="top"/>
          </w:tcPr>
          <w:p>
            <w:r/>
            <w:r>
              <w:rPr>
                <w:rFonts w:ascii="Aptos" w:hAnsi="Aptos"/>
                <w:sz w:val="16"/>
              </w:rPr>
              <w:t>management_companies</w:t>
            </w:r>
          </w:p>
        </w:tc>
        <w:tc>
          <w:tcPr>
            <w:tcW w:type="dxa" w:w="5896"/>
            <w:tcMar>
              <w:top w:w="60" w:type="dxa"/>
              <w:start w:w="60" w:type="dxa"/>
              <w:bottom w:w="60" w:type="dxa"/>
              <w:end w:w="60" w:type="dxa"/>
            </w:tcMar>
            <w:vAlign w:val="top"/>
          </w:tcPr>
          <w:p>
            <w:r/>
            <w:r>
              <w:rPr>
                <w:rFonts w:ascii="Aptos" w:hAnsi="Aptos"/>
                <w:sz w:val="16"/>
              </w:rPr>
              <w:t>Sociétés</w:t>
            </w:r>
          </w:p>
        </w:tc>
      </w:tr>
      <w:tr>
        <w:tc>
          <w:tcPr>
            <w:tcW w:type="dxa" w:w="3402"/>
            <w:tcMar>
              <w:top w:w="60" w:type="dxa"/>
              <w:start w:w="60" w:type="dxa"/>
              <w:bottom w:w="60" w:type="dxa"/>
              <w:end w:w="60" w:type="dxa"/>
            </w:tcMar>
            <w:vAlign w:val="top"/>
          </w:tcPr>
          <w:p>
            <w:r/>
            <w:r>
              <w:rPr>
                <w:rFonts w:ascii="Aptos" w:hAnsi="Aptos"/>
                <w:sz w:val="16"/>
              </w:rPr>
              <w:t>manager_assignments</w:t>
            </w:r>
          </w:p>
        </w:tc>
        <w:tc>
          <w:tcPr>
            <w:tcW w:type="dxa" w:w="5896"/>
            <w:tcMar>
              <w:top w:w="60" w:type="dxa"/>
              <w:start w:w="60" w:type="dxa"/>
              <w:bottom w:w="60" w:type="dxa"/>
              <w:end w:w="60" w:type="dxa"/>
            </w:tcMar>
            <w:vAlign w:val="top"/>
          </w:tcPr>
          <w:p>
            <w:r/>
            <w:r>
              <w:rPr>
                <w:rFonts w:ascii="Aptos" w:hAnsi="Aptos"/>
                <w:sz w:val="16"/>
              </w:rPr>
              <w:t>Historique gestionnaire</w:t>
            </w:r>
          </w:p>
        </w:tc>
      </w:tr>
      <w:tr>
        <w:tc>
          <w:tcPr>
            <w:tcW w:type="dxa" w:w="3402"/>
            <w:tcMar>
              <w:top w:w="60" w:type="dxa"/>
              <w:start w:w="60" w:type="dxa"/>
              <w:bottom w:w="60" w:type="dxa"/>
              <w:end w:w="60" w:type="dxa"/>
            </w:tcMar>
            <w:vAlign w:val="top"/>
          </w:tcPr>
          <w:p>
            <w:r/>
            <w:r>
              <w:rPr>
                <w:rFonts w:ascii="Aptos" w:hAnsi="Aptos"/>
                <w:sz w:val="16"/>
              </w:rPr>
              <w:t>service_provider_assignments</w:t>
            </w:r>
          </w:p>
        </w:tc>
        <w:tc>
          <w:tcPr>
            <w:tcW w:type="dxa" w:w="5896"/>
            <w:tcMar>
              <w:top w:w="60" w:type="dxa"/>
              <w:start w:w="60" w:type="dxa"/>
              <w:bottom w:w="60" w:type="dxa"/>
              <w:end w:w="60" w:type="dxa"/>
            </w:tcMar>
            <w:vAlign w:val="top"/>
          </w:tcPr>
          <w:p>
            <w:r/>
            <w:r>
              <w:rPr>
                <w:rFonts w:ascii="Aptos" w:hAnsi="Aptos"/>
                <w:sz w:val="16"/>
              </w:rPr>
              <w:t>Trustee/custodian/etc.</w:t>
            </w:r>
          </w:p>
        </w:tc>
      </w:tr>
      <w:tr>
        <w:tc>
          <w:tcPr>
            <w:tcW w:type="dxa" w:w="3402"/>
            <w:tcMar>
              <w:top w:w="60" w:type="dxa"/>
              <w:start w:w="60" w:type="dxa"/>
              <w:bottom w:w="60" w:type="dxa"/>
              <w:end w:w="60" w:type="dxa"/>
            </w:tcMar>
            <w:vAlign w:val="top"/>
          </w:tcPr>
          <w:p>
            <w:r/>
            <w:r>
              <w:rPr>
                <w:rFonts w:ascii="Aptos" w:hAnsi="Aptos"/>
                <w:sz w:val="16"/>
              </w:rPr>
              <w:t>fund_events</w:t>
            </w:r>
          </w:p>
        </w:tc>
        <w:tc>
          <w:tcPr>
            <w:tcW w:type="dxa" w:w="5896"/>
            <w:tcMar>
              <w:top w:w="60" w:type="dxa"/>
              <w:start w:w="60" w:type="dxa"/>
              <w:bottom w:w="60" w:type="dxa"/>
              <w:end w:w="60" w:type="dxa"/>
            </w:tcMar>
            <w:vAlign w:val="top"/>
          </w:tcPr>
          <w:p>
            <w:r/>
            <w:r>
              <w:rPr>
                <w:rFonts w:ascii="Aptos" w:hAnsi="Aptos"/>
                <w:sz w:val="16"/>
              </w:rPr>
              <w:t>Événements</w:t>
            </w:r>
          </w:p>
        </w:tc>
      </w:tr>
      <w:tr>
        <w:tc>
          <w:tcPr>
            <w:tcW w:type="dxa" w:w="3402"/>
            <w:tcMar>
              <w:top w:w="60" w:type="dxa"/>
              <w:start w:w="60" w:type="dxa"/>
              <w:bottom w:w="60" w:type="dxa"/>
              <w:end w:w="60" w:type="dxa"/>
            </w:tcMar>
            <w:vAlign w:val="top"/>
          </w:tcPr>
          <w:p>
            <w:r/>
            <w:r>
              <w:rPr>
                <w:rFonts w:ascii="Aptos" w:hAnsi="Aptos"/>
                <w:sz w:val="16"/>
              </w:rPr>
              <w:t>event_evidence</w:t>
            </w:r>
          </w:p>
        </w:tc>
        <w:tc>
          <w:tcPr>
            <w:tcW w:type="dxa" w:w="5896"/>
            <w:tcMar>
              <w:top w:w="60" w:type="dxa"/>
              <w:start w:w="60" w:type="dxa"/>
              <w:bottom w:w="60" w:type="dxa"/>
              <w:end w:w="60" w:type="dxa"/>
            </w:tcMar>
            <w:vAlign w:val="top"/>
          </w:tcPr>
          <w:p>
            <w:r/>
            <w:r>
              <w:rPr>
                <w:rFonts w:ascii="Aptos" w:hAnsi="Aptos"/>
                <w:sz w:val="16"/>
              </w:rPr>
              <w:t>Preuves</w:t>
            </w:r>
          </w:p>
        </w:tc>
      </w:tr>
      <w:tr>
        <w:tc>
          <w:tcPr>
            <w:tcW w:type="dxa" w:w="3402"/>
            <w:tcMar>
              <w:top w:w="60" w:type="dxa"/>
              <w:start w:w="60" w:type="dxa"/>
              <w:bottom w:w="60" w:type="dxa"/>
              <w:end w:w="60" w:type="dxa"/>
            </w:tcMar>
            <w:vAlign w:val="top"/>
          </w:tcPr>
          <w:p>
            <w:r/>
            <w:r>
              <w:rPr>
                <w:rFonts w:ascii="Aptos" w:hAnsi="Aptos"/>
                <w:sz w:val="16"/>
              </w:rPr>
              <w:t>documents</w:t>
            </w:r>
          </w:p>
        </w:tc>
        <w:tc>
          <w:tcPr>
            <w:tcW w:type="dxa" w:w="5896"/>
            <w:tcMar>
              <w:top w:w="60" w:type="dxa"/>
              <w:start w:w="60" w:type="dxa"/>
              <w:bottom w:w="60" w:type="dxa"/>
              <w:end w:w="60" w:type="dxa"/>
            </w:tcMar>
            <w:vAlign w:val="top"/>
          </w:tcPr>
          <w:p>
            <w:r/>
            <w:r>
              <w:rPr>
                <w:rFonts w:ascii="Aptos" w:hAnsi="Aptos"/>
                <w:sz w:val="16"/>
              </w:rPr>
              <w:t>Référentiel documentaire</w:t>
            </w:r>
          </w:p>
        </w:tc>
      </w:tr>
      <w:tr>
        <w:tc>
          <w:tcPr>
            <w:tcW w:type="dxa" w:w="3402"/>
            <w:tcMar>
              <w:top w:w="60" w:type="dxa"/>
              <w:start w:w="60" w:type="dxa"/>
              <w:bottom w:w="60" w:type="dxa"/>
              <w:end w:w="60" w:type="dxa"/>
            </w:tcMar>
            <w:vAlign w:val="top"/>
          </w:tcPr>
          <w:p>
            <w:r/>
            <w:r>
              <w:rPr>
                <w:rFonts w:ascii="Aptos" w:hAnsi="Aptos"/>
                <w:sz w:val="16"/>
              </w:rPr>
              <w:t>fund_document_links</w:t>
            </w:r>
          </w:p>
        </w:tc>
        <w:tc>
          <w:tcPr>
            <w:tcW w:type="dxa" w:w="5896"/>
            <w:tcMar>
              <w:top w:w="60" w:type="dxa"/>
              <w:start w:w="60" w:type="dxa"/>
              <w:bottom w:w="60" w:type="dxa"/>
              <w:end w:w="60" w:type="dxa"/>
            </w:tcMar>
            <w:vAlign w:val="top"/>
          </w:tcPr>
          <w:p>
            <w:r/>
            <w:r>
              <w:rPr>
                <w:rFonts w:ascii="Aptos" w:hAnsi="Aptos"/>
                <w:sz w:val="16"/>
              </w:rPr>
              <w:t>Liens document-fonds</w:t>
            </w:r>
          </w:p>
        </w:tc>
      </w:tr>
      <w:tr>
        <w:tc>
          <w:tcPr>
            <w:tcW w:type="dxa" w:w="3402"/>
            <w:tcMar>
              <w:top w:w="60" w:type="dxa"/>
              <w:start w:w="60" w:type="dxa"/>
              <w:bottom w:w="60" w:type="dxa"/>
              <w:end w:w="60" w:type="dxa"/>
            </w:tcMar>
            <w:vAlign w:val="top"/>
          </w:tcPr>
          <w:p>
            <w:r/>
            <w:r>
              <w:rPr>
                <w:rFonts w:ascii="Aptos" w:hAnsi="Aptos"/>
                <w:sz w:val="16"/>
              </w:rPr>
              <w:t>quality_issues</w:t>
            </w:r>
          </w:p>
        </w:tc>
        <w:tc>
          <w:tcPr>
            <w:tcW w:type="dxa" w:w="5896"/>
            <w:tcMar>
              <w:top w:w="60" w:type="dxa"/>
              <w:start w:w="60" w:type="dxa"/>
              <w:bottom w:w="60" w:type="dxa"/>
              <w:end w:w="60" w:type="dxa"/>
            </w:tcMar>
            <w:vAlign w:val="top"/>
          </w:tcPr>
          <w:p>
            <w:r/>
            <w:r>
              <w:rPr>
                <w:rFonts w:ascii="Aptos" w:hAnsi="Aptos"/>
                <w:sz w:val="16"/>
              </w:rPr>
              <w:t>Anomalies</w:t>
            </w:r>
          </w:p>
        </w:tc>
      </w:tr>
      <w:tr>
        <w:tc>
          <w:tcPr>
            <w:tcW w:type="dxa" w:w="3402"/>
            <w:tcMar>
              <w:top w:w="60" w:type="dxa"/>
              <w:start w:w="60" w:type="dxa"/>
              <w:bottom w:w="60" w:type="dxa"/>
              <w:end w:w="60" w:type="dxa"/>
            </w:tcMar>
            <w:vAlign w:val="top"/>
          </w:tcPr>
          <w:p>
            <w:r/>
            <w:r>
              <w:rPr>
                <w:rFonts w:ascii="Aptos" w:hAnsi="Aptos"/>
                <w:sz w:val="16"/>
              </w:rPr>
              <w:t>review_decisions</w:t>
            </w:r>
          </w:p>
        </w:tc>
        <w:tc>
          <w:tcPr>
            <w:tcW w:type="dxa" w:w="5896"/>
            <w:tcMar>
              <w:top w:w="60" w:type="dxa"/>
              <w:start w:w="60" w:type="dxa"/>
              <w:bottom w:w="60" w:type="dxa"/>
              <w:end w:w="60" w:type="dxa"/>
            </w:tcMar>
            <w:vAlign w:val="top"/>
          </w:tcPr>
          <w:p>
            <w:r/>
            <w:r>
              <w:rPr>
                <w:rFonts w:ascii="Aptos" w:hAnsi="Aptos"/>
                <w:sz w:val="16"/>
              </w:rPr>
              <w:t>Décisions humaines</w:t>
            </w:r>
          </w:p>
        </w:tc>
      </w:tr>
    </w:tbl>
    <w:p>
      <w:pPr>
        <w:widowControl/>
        <w:spacing w:after="0"/>
      </w:pPr>
    </w:p>
    <w:p>
      <w:pPr>
        <w:widowControl/>
      </w:pPr>
      <w:r>
        <w:br w:type="page"/>
      </w:r>
    </w:p>
    <w:p>
      <w:pPr>
        <w:widowControl/>
        <w:jc w:val="center"/>
      </w:pPr>
      <w:r>
        <w:rPr>
          <w:rFonts w:ascii="Aptos Display" w:hAnsi="Aptos Display"/>
          <w:b/>
          <w:color w:val="123E5E"/>
          <w:sz w:val="44"/>
        </w:rPr>
        <w:t>PARTIE VIII — HARMONISATION DES FONDS, GESTIONNAIRES ET CLASSES</w:t>
      </w:r>
    </w:p>
    <w:p>
      <w:pPr>
        <w:widowControl/>
        <w:jc w:val="center"/>
      </w:pPr>
      <w:r>
        <w:rPr>
          <w:rFonts w:ascii="Aptos" w:hAnsi="Aptos"/>
          <w:i/>
          <w:color w:val="505050"/>
          <w:sz w:val="22"/>
        </w:rPr>
        <w:t>Résoudre les identités sans effacer l’histoire</w:t>
      </w:r>
    </w:p>
    <w:p>
      <w:pPr>
        <w:widowControl/>
      </w:pPr>
    </w:p>
    <w:p>
      <w:pPr>
        <w:pStyle w:val="Heading1"/>
        <w:widowControl/>
      </w:pPr>
      <w:r>
        <w:t>8. Les trois niveaux du nom</w:t>
      </w:r>
    </w:p>
    <w:p>
      <w:pPr>
        <w:pStyle w:val="CodeNigeria"/>
        <w:widowControl/>
        <w:shd w:fill="F4F6F7"/>
      </w:pPr>
      <w:r>
        <w:rPr>
          <w:rFonts w:ascii="Liberation Mono" w:hAnsi="Liberation Mono"/>
          <w:color w:val="1E1E1E"/>
          <w:sz w:val="15"/>
        </w:rPr>
        <w:t>fund_name_raw        = texte exact source</w:t>
        <w:br/>
        <w:t>fund_name_normalized = nettoyage réversible</w:t>
        <w:br/>
        <w:t>canonical_fund_id    = décision d'identité juridique</w:t>
      </w:r>
    </w:p>
    <w:p>
      <w:pPr>
        <w:widowControl/>
      </w:pPr>
      <w:r>
        <w:rPr>
          <w:rFonts w:ascii="Aptos" w:hAnsi="Aptos"/>
          <w:sz w:val="19"/>
        </w:rPr>
        <w:t>Le nettoyage typographique peut automatiser la casse, les espaces et certaines ponctuations. La création d'un lien canonique exige des preuves supplémentaires.</w:t>
      </w:r>
    </w:p>
    <w:p>
      <w:pPr>
        <w:pStyle w:val="Heading2"/>
        <w:widowControl/>
      </w:pPr>
      <w:r>
        <w:t>8.1 Normalisation typographique autorisée</w:t>
      </w:r>
    </w:p>
    <w:p>
      <w:pPr>
        <w:pStyle w:val="ListBullet"/>
        <w:widowControl/>
        <w:ind w:left="397" w:hanging="142"/>
      </w:pPr>
      <w:r>
        <w:rPr>
          <w:rFonts w:ascii="Aptos" w:hAnsi="Aptos"/>
          <w:sz w:val="18"/>
        </w:rPr>
        <w:t>Trim, espaces multiples, espaces insécables et contrôle des caractères invisibles.</w:t>
      </w:r>
    </w:p>
    <w:p>
      <w:pPr>
        <w:pStyle w:val="ListBullet"/>
        <w:widowControl/>
        <w:ind w:left="397" w:hanging="142"/>
      </w:pPr>
      <w:r>
        <w:rPr>
          <w:rFonts w:ascii="Aptos" w:hAnsi="Aptos"/>
          <w:sz w:val="18"/>
        </w:rPr>
        <w:t>Casse uniforme pour la comparaison, tout en conservant le nom d'affichage source.</w:t>
      </w:r>
    </w:p>
    <w:p>
      <w:pPr>
        <w:pStyle w:val="ListBullet"/>
        <w:widowControl/>
        <w:ind w:left="397" w:hanging="142"/>
      </w:pPr>
      <w:r>
        <w:rPr>
          <w:rFonts w:ascii="Aptos" w:hAnsi="Aptos"/>
          <w:sz w:val="18"/>
        </w:rPr>
        <w:t>Normalisation prudente de Ltd/Limited, Mgt/Management dans un champ de comparaison.</w:t>
      </w:r>
    </w:p>
    <w:p>
      <w:pPr>
        <w:pStyle w:val="ListBullet"/>
        <w:widowControl/>
        <w:ind w:left="397" w:hanging="142"/>
      </w:pPr>
      <w:r>
        <w:rPr>
          <w:rFonts w:ascii="Aptos" w:hAnsi="Aptos"/>
          <w:sz w:val="18"/>
        </w:rPr>
        <w:t>Normalisation de ponctuation et d'apostrophes pour le matching.</w:t>
      </w:r>
    </w:p>
    <w:p>
      <w:pPr>
        <w:pStyle w:val="ListBullet"/>
        <w:widowControl/>
        <w:ind w:left="397" w:hanging="142"/>
      </w:pPr>
      <w:r>
        <w:rPr>
          <w:rFonts w:ascii="Aptos" w:hAnsi="Aptos"/>
          <w:sz w:val="18"/>
        </w:rPr>
        <w:t>Tokenisation de Fund, Trust, Scheme, ETF, REIT sans les supprimer du nom canonique.</w:t>
      </w:r>
    </w:p>
    <w:p>
      <w:pPr>
        <w:pStyle w:val="ListBullet"/>
        <w:widowControl/>
        <w:ind w:left="397" w:hanging="142"/>
      </w:pPr>
      <w:r>
        <w:rPr>
          <w:rFonts w:ascii="Aptos" w:hAnsi="Aptos"/>
          <w:sz w:val="18"/>
        </w:rPr>
        <w:t>Conserver une clé compacte seulement comme index de recherche, jamais comme preuve.</w:t>
      </w:r>
    </w:p>
    <w:p>
      <w:pPr>
        <w:pStyle w:val="Heading2"/>
        <w:widowControl/>
      </w:pPr>
      <w:r>
        <w:t>8.2 Preuves d’identité</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3685"/>
            <w:shd w:fill="D9EAF2"/>
            <w:tcMar>
              <w:top w:w="70" w:type="dxa"/>
              <w:start w:w="70" w:type="dxa"/>
              <w:bottom w:w="70" w:type="dxa"/>
              <w:end w:w="70" w:type="dxa"/>
            </w:tcMar>
            <w:vAlign w:val="center"/>
          </w:tcPr>
          <w:p>
            <w:r/>
            <w:r>
              <w:rPr>
                <w:rFonts w:ascii="Aptos" w:hAnsi="Aptos"/>
                <w:b/>
                <w:color w:val="123E5E"/>
                <w:sz w:val="15"/>
              </w:rPr>
              <w:t>Signal</w:t>
            </w:r>
          </w:p>
        </w:tc>
        <w:tc>
          <w:tcPr>
            <w:tcW w:type="dxa" w:w="1417"/>
            <w:shd w:fill="D9EAF2"/>
            <w:tcMar>
              <w:top w:w="70" w:type="dxa"/>
              <w:start w:w="70" w:type="dxa"/>
              <w:bottom w:w="70" w:type="dxa"/>
              <w:end w:w="70" w:type="dxa"/>
            </w:tcMar>
            <w:vAlign w:val="center"/>
          </w:tcPr>
          <w:p>
            <w:r/>
            <w:r>
              <w:rPr>
                <w:rFonts w:ascii="Aptos" w:hAnsi="Aptos"/>
                <w:b/>
                <w:color w:val="123E5E"/>
                <w:sz w:val="15"/>
              </w:rPr>
              <w:t>Poids indicatif</w:t>
            </w:r>
          </w:p>
        </w:tc>
        <w:tc>
          <w:tcPr>
            <w:tcW w:type="dxa" w:w="4195"/>
            <w:shd w:fill="D9EAF2"/>
            <w:tcMar>
              <w:top w:w="70" w:type="dxa"/>
              <w:start w:w="70" w:type="dxa"/>
              <w:bottom w:w="70" w:type="dxa"/>
              <w:end w:w="70" w:type="dxa"/>
            </w:tcMar>
            <w:vAlign w:val="center"/>
          </w:tcPr>
          <w:p>
            <w:r/>
            <w:r>
              <w:rPr>
                <w:rFonts w:ascii="Aptos" w:hAnsi="Aptos"/>
                <w:b/>
                <w:color w:val="123E5E"/>
                <w:sz w:val="15"/>
              </w:rPr>
              <w:t>Commentaire</w:t>
            </w:r>
          </w:p>
        </w:tc>
      </w:tr>
      <w:tr>
        <w:tc>
          <w:tcPr>
            <w:tcW w:type="dxa" w:w="3685"/>
            <w:tcMar>
              <w:top w:w="60" w:type="dxa"/>
              <w:start w:w="60" w:type="dxa"/>
              <w:bottom w:w="60" w:type="dxa"/>
              <w:end w:w="60" w:type="dxa"/>
            </w:tcMar>
            <w:vAlign w:val="top"/>
          </w:tcPr>
          <w:p>
            <w:r/>
            <w:r>
              <w:rPr>
                <w:rFonts w:ascii="Aptos" w:hAnsi="Aptos"/>
                <w:sz w:val="15"/>
              </w:rPr>
              <w:t>Avis officiel de changement de nom</w:t>
            </w:r>
          </w:p>
        </w:tc>
        <w:tc>
          <w:tcPr>
            <w:tcW w:type="dxa" w:w="1417"/>
            <w:tcMar>
              <w:top w:w="60" w:type="dxa"/>
              <w:start w:w="60" w:type="dxa"/>
              <w:bottom w:w="60" w:type="dxa"/>
              <w:end w:w="60" w:type="dxa"/>
            </w:tcMar>
            <w:vAlign w:val="top"/>
          </w:tcPr>
          <w:p>
            <w:r/>
            <w:r>
              <w:rPr>
                <w:rFonts w:ascii="Aptos" w:hAnsi="Aptos"/>
                <w:sz w:val="15"/>
              </w:rPr>
              <w:t>Très fort</w:t>
            </w:r>
          </w:p>
        </w:tc>
        <w:tc>
          <w:tcPr>
            <w:tcW w:type="dxa" w:w="4195"/>
            <w:tcMar>
              <w:top w:w="60" w:type="dxa"/>
              <w:start w:w="60" w:type="dxa"/>
              <w:bottom w:w="60" w:type="dxa"/>
              <w:end w:w="60" w:type="dxa"/>
            </w:tcMar>
            <w:vAlign w:val="top"/>
          </w:tcPr>
          <w:p>
            <w:r/>
            <w:r>
              <w:rPr>
                <w:rFonts w:ascii="Aptos" w:hAnsi="Aptos"/>
                <w:sz w:val="15"/>
              </w:rPr>
              <w:t>Permet un événement de renommage daté.</w:t>
            </w:r>
          </w:p>
        </w:tc>
      </w:tr>
      <w:tr>
        <w:tc>
          <w:tcPr>
            <w:tcW w:type="dxa" w:w="3685"/>
            <w:tcMar>
              <w:top w:w="60" w:type="dxa"/>
              <w:start w:w="60" w:type="dxa"/>
              <w:bottom w:w="60" w:type="dxa"/>
              <w:end w:w="60" w:type="dxa"/>
            </w:tcMar>
            <w:vAlign w:val="top"/>
          </w:tcPr>
          <w:p>
            <w:r/>
            <w:r>
              <w:rPr>
                <w:rFonts w:ascii="Aptos" w:hAnsi="Aptos"/>
                <w:sz w:val="15"/>
              </w:rPr>
              <w:t>Prospectus supplemental reliant ancien et nouveau nom</w:t>
            </w:r>
          </w:p>
        </w:tc>
        <w:tc>
          <w:tcPr>
            <w:tcW w:type="dxa" w:w="1417"/>
            <w:tcMar>
              <w:top w:w="60" w:type="dxa"/>
              <w:start w:w="60" w:type="dxa"/>
              <w:bottom w:w="60" w:type="dxa"/>
              <w:end w:w="60" w:type="dxa"/>
            </w:tcMar>
            <w:vAlign w:val="top"/>
          </w:tcPr>
          <w:p>
            <w:r/>
            <w:r>
              <w:rPr>
                <w:rFonts w:ascii="Aptos" w:hAnsi="Aptos"/>
                <w:sz w:val="15"/>
              </w:rPr>
              <w:t>Très fort</w:t>
            </w:r>
          </w:p>
        </w:tc>
        <w:tc>
          <w:tcPr>
            <w:tcW w:type="dxa" w:w="4195"/>
            <w:tcMar>
              <w:top w:w="60" w:type="dxa"/>
              <w:start w:w="60" w:type="dxa"/>
              <w:bottom w:w="60" w:type="dxa"/>
              <w:end w:w="60" w:type="dxa"/>
            </w:tcMar>
            <w:vAlign w:val="top"/>
          </w:tcPr>
          <w:p>
            <w:r/>
            <w:r>
              <w:rPr>
                <w:rFonts w:ascii="Aptos" w:hAnsi="Aptos"/>
                <w:sz w:val="15"/>
              </w:rPr>
              <w:t>Preuve directe.</w:t>
            </w:r>
          </w:p>
        </w:tc>
      </w:tr>
      <w:tr>
        <w:tc>
          <w:tcPr>
            <w:tcW w:type="dxa" w:w="3685"/>
            <w:tcMar>
              <w:top w:w="60" w:type="dxa"/>
              <w:start w:w="60" w:type="dxa"/>
              <w:bottom w:w="60" w:type="dxa"/>
              <w:end w:w="60" w:type="dxa"/>
            </w:tcMar>
            <w:vAlign w:val="top"/>
          </w:tcPr>
          <w:p>
            <w:r/>
            <w:r>
              <w:rPr>
                <w:rFonts w:ascii="Aptos" w:hAnsi="Aptos"/>
                <w:sz w:val="15"/>
              </w:rPr>
              <w:t>Rapport annuel présentant les comparatifs et le changement</w:t>
            </w:r>
          </w:p>
        </w:tc>
        <w:tc>
          <w:tcPr>
            <w:tcW w:type="dxa" w:w="1417"/>
            <w:tcMar>
              <w:top w:w="60" w:type="dxa"/>
              <w:start w:w="60" w:type="dxa"/>
              <w:bottom w:w="60" w:type="dxa"/>
              <w:end w:w="60" w:type="dxa"/>
            </w:tcMar>
            <w:vAlign w:val="top"/>
          </w:tcPr>
          <w:p>
            <w:r/>
            <w:r>
              <w:rPr>
                <w:rFonts w:ascii="Aptos" w:hAnsi="Aptos"/>
                <w:sz w:val="15"/>
              </w:rPr>
              <w:t>Fort</w:t>
            </w:r>
          </w:p>
        </w:tc>
        <w:tc>
          <w:tcPr>
            <w:tcW w:type="dxa" w:w="4195"/>
            <w:tcMar>
              <w:top w:w="60" w:type="dxa"/>
              <w:start w:w="60" w:type="dxa"/>
              <w:bottom w:w="60" w:type="dxa"/>
              <w:end w:w="60" w:type="dxa"/>
            </w:tcMar>
            <w:vAlign w:val="top"/>
          </w:tcPr>
          <w:p>
            <w:r/>
            <w:r>
              <w:rPr>
                <w:rFonts w:ascii="Aptos" w:hAnsi="Aptos"/>
                <w:sz w:val="15"/>
              </w:rPr>
              <w:t>Vérifier période et personne morale.</w:t>
            </w:r>
          </w:p>
        </w:tc>
      </w:tr>
      <w:tr>
        <w:tc>
          <w:tcPr>
            <w:tcW w:type="dxa" w:w="3685"/>
            <w:tcMar>
              <w:top w:w="60" w:type="dxa"/>
              <w:start w:w="60" w:type="dxa"/>
              <w:bottom w:w="60" w:type="dxa"/>
              <w:end w:w="60" w:type="dxa"/>
            </w:tcMar>
            <w:vAlign w:val="top"/>
          </w:tcPr>
          <w:p>
            <w:r/>
            <w:r>
              <w:rPr>
                <w:rFonts w:ascii="Aptos" w:hAnsi="Aptos"/>
                <w:sz w:val="15"/>
              </w:rPr>
              <w:t>Même gestionnaire + même trustee + continuité de série</w:t>
            </w:r>
          </w:p>
        </w:tc>
        <w:tc>
          <w:tcPr>
            <w:tcW w:type="dxa" w:w="1417"/>
            <w:tcMar>
              <w:top w:w="60" w:type="dxa"/>
              <w:start w:w="60" w:type="dxa"/>
              <w:bottom w:w="60" w:type="dxa"/>
              <w:end w:w="60" w:type="dxa"/>
            </w:tcMar>
            <w:vAlign w:val="top"/>
          </w:tcPr>
          <w:p>
            <w:r/>
            <w:r>
              <w:rPr>
                <w:rFonts w:ascii="Aptos" w:hAnsi="Aptos"/>
                <w:sz w:val="15"/>
              </w:rPr>
              <w:t>Moyen</w:t>
            </w:r>
          </w:p>
        </w:tc>
        <w:tc>
          <w:tcPr>
            <w:tcW w:type="dxa" w:w="4195"/>
            <w:tcMar>
              <w:top w:w="60" w:type="dxa"/>
              <w:start w:w="60" w:type="dxa"/>
              <w:bottom w:w="60" w:type="dxa"/>
              <w:end w:w="60" w:type="dxa"/>
            </w:tcMar>
            <w:vAlign w:val="top"/>
          </w:tcPr>
          <w:p>
            <w:r/>
            <w:r>
              <w:rPr>
                <w:rFonts w:ascii="Aptos" w:hAnsi="Aptos"/>
                <w:sz w:val="15"/>
              </w:rPr>
              <w:t>Corroboration, pas preuve unique.</w:t>
            </w:r>
          </w:p>
        </w:tc>
      </w:tr>
      <w:tr>
        <w:tc>
          <w:tcPr>
            <w:tcW w:type="dxa" w:w="3685"/>
            <w:tcMar>
              <w:top w:w="60" w:type="dxa"/>
              <w:start w:w="60" w:type="dxa"/>
              <w:bottom w:w="60" w:type="dxa"/>
              <w:end w:w="60" w:type="dxa"/>
            </w:tcMar>
            <w:vAlign w:val="top"/>
          </w:tcPr>
          <w:p>
            <w:r/>
            <w:r>
              <w:rPr>
                <w:rFonts w:ascii="Aptos" w:hAnsi="Aptos"/>
                <w:sz w:val="15"/>
              </w:rPr>
              <w:t>Même date de lancement et même VL initiale</w:t>
            </w:r>
          </w:p>
        </w:tc>
        <w:tc>
          <w:tcPr>
            <w:tcW w:type="dxa" w:w="1417"/>
            <w:tcMar>
              <w:top w:w="60" w:type="dxa"/>
              <w:start w:w="60" w:type="dxa"/>
              <w:bottom w:w="60" w:type="dxa"/>
              <w:end w:w="60" w:type="dxa"/>
            </w:tcMar>
            <w:vAlign w:val="top"/>
          </w:tcPr>
          <w:p>
            <w:r/>
            <w:r>
              <w:rPr>
                <w:rFonts w:ascii="Aptos" w:hAnsi="Aptos"/>
                <w:sz w:val="15"/>
              </w:rPr>
              <w:t>Moyen</w:t>
            </w:r>
          </w:p>
        </w:tc>
        <w:tc>
          <w:tcPr>
            <w:tcW w:type="dxa" w:w="4195"/>
            <w:tcMar>
              <w:top w:w="60" w:type="dxa"/>
              <w:start w:w="60" w:type="dxa"/>
              <w:bottom w:w="60" w:type="dxa"/>
              <w:end w:w="60" w:type="dxa"/>
            </w:tcMar>
            <w:vAlign w:val="top"/>
          </w:tcPr>
          <w:p>
            <w:r/>
            <w:r>
              <w:rPr>
                <w:rFonts w:ascii="Aptos" w:hAnsi="Aptos"/>
                <w:sz w:val="15"/>
              </w:rPr>
              <w:t>Peut confirmer avec autres signaux.</w:t>
            </w:r>
          </w:p>
        </w:tc>
      </w:tr>
      <w:tr>
        <w:tc>
          <w:tcPr>
            <w:tcW w:type="dxa" w:w="3685"/>
            <w:tcMar>
              <w:top w:w="60" w:type="dxa"/>
              <w:start w:w="60" w:type="dxa"/>
              <w:bottom w:w="60" w:type="dxa"/>
              <w:end w:w="60" w:type="dxa"/>
            </w:tcMar>
            <w:vAlign w:val="top"/>
          </w:tcPr>
          <w:p>
            <w:r/>
            <w:r>
              <w:rPr>
                <w:rFonts w:ascii="Aptos" w:hAnsi="Aptos"/>
                <w:sz w:val="15"/>
              </w:rPr>
              <w:t>Nom très similaire</w:t>
            </w:r>
          </w:p>
        </w:tc>
        <w:tc>
          <w:tcPr>
            <w:tcW w:type="dxa" w:w="1417"/>
            <w:tcMar>
              <w:top w:w="60" w:type="dxa"/>
              <w:start w:w="60" w:type="dxa"/>
              <w:bottom w:w="60" w:type="dxa"/>
              <w:end w:w="60" w:type="dxa"/>
            </w:tcMar>
            <w:vAlign w:val="top"/>
          </w:tcPr>
          <w:p>
            <w:r/>
            <w:r>
              <w:rPr>
                <w:rFonts w:ascii="Aptos" w:hAnsi="Aptos"/>
                <w:sz w:val="15"/>
              </w:rPr>
              <w:t>Faible</w:t>
            </w:r>
          </w:p>
        </w:tc>
        <w:tc>
          <w:tcPr>
            <w:tcW w:type="dxa" w:w="4195"/>
            <w:tcMar>
              <w:top w:w="60" w:type="dxa"/>
              <w:start w:w="60" w:type="dxa"/>
              <w:bottom w:w="60" w:type="dxa"/>
              <w:end w:w="60" w:type="dxa"/>
            </w:tcMar>
            <w:vAlign w:val="top"/>
          </w:tcPr>
          <w:p>
            <w:r/>
            <w:r>
              <w:rPr>
                <w:rFonts w:ascii="Aptos" w:hAnsi="Aptos"/>
                <w:sz w:val="15"/>
              </w:rPr>
              <w:t>Piste uniquement.</w:t>
            </w:r>
          </w:p>
        </w:tc>
      </w:tr>
      <w:tr>
        <w:tc>
          <w:tcPr>
            <w:tcW w:type="dxa" w:w="3685"/>
            <w:tcMar>
              <w:top w:w="60" w:type="dxa"/>
              <w:start w:w="60" w:type="dxa"/>
              <w:bottom w:w="60" w:type="dxa"/>
              <w:end w:w="60" w:type="dxa"/>
            </w:tcMar>
            <w:vAlign w:val="top"/>
          </w:tcPr>
          <w:p>
            <w:r/>
            <w:r>
              <w:rPr>
                <w:rFonts w:ascii="Aptos" w:hAnsi="Aptos"/>
                <w:sz w:val="15"/>
              </w:rPr>
              <w:t>Même catégorie</w:t>
            </w:r>
          </w:p>
        </w:tc>
        <w:tc>
          <w:tcPr>
            <w:tcW w:type="dxa" w:w="1417"/>
            <w:tcMar>
              <w:top w:w="60" w:type="dxa"/>
              <w:start w:w="60" w:type="dxa"/>
              <w:bottom w:w="60" w:type="dxa"/>
              <w:end w:w="60" w:type="dxa"/>
            </w:tcMar>
            <w:vAlign w:val="top"/>
          </w:tcPr>
          <w:p>
            <w:r/>
            <w:r>
              <w:rPr>
                <w:rFonts w:ascii="Aptos" w:hAnsi="Aptos"/>
                <w:sz w:val="15"/>
              </w:rPr>
              <w:t>Très faible</w:t>
            </w:r>
          </w:p>
        </w:tc>
        <w:tc>
          <w:tcPr>
            <w:tcW w:type="dxa" w:w="4195"/>
            <w:tcMar>
              <w:top w:w="60" w:type="dxa"/>
              <w:start w:w="60" w:type="dxa"/>
              <w:bottom w:w="60" w:type="dxa"/>
              <w:end w:w="60" w:type="dxa"/>
            </w:tcMar>
            <w:vAlign w:val="top"/>
          </w:tcPr>
          <w:p>
            <w:r/>
            <w:r>
              <w:rPr>
                <w:rFonts w:ascii="Aptos" w:hAnsi="Aptos"/>
                <w:sz w:val="15"/>
              </w:rPr>
              <w:t>Beaucoup de fonds partagent une catégorie.</w:t>
            </w:r>
          </w:p>
        </w:tc>
      </w:tr>
    </w:tbl>
    <w:p>
      <w:pPr>
        <w:widowControl/>
        <w:spacing w:after="0"/>
      </w:pPr>
    </w:p>
    <w:p>
      <w:pPr>
        <w:pStyle w:val="Heading2"/>
        <w:widowControl/>
      </w:pPr>
      <w:r>
        <w:t>8.3 Matrice de décision de matching</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3798"/>
            <w:shd w:fill="D9EAF2"/>
            <w:tcMar>
              <w:top w:w="70" w:type="dxa"/>
              <w:start w:w="70" w:type="dxa"/>
              <w:bottom w:w="70" w:type="dxa"/>
              <w:end w:w="70" w:type="dxa"/>
            </w:tcMar>
            <w:vAlign w:val="center"/>
          </w:tcPr>
          <w:p>
            <w:r/>
            <w:r>
              <w:rPr>
                <w:rFonts w:ascii="Aptos" w:hAnsi="Aptos"/>
                <w:b/>
                <w:color w:val="123E5E"/>
                <w:sz w:val="16"/>
              </w:rPr>
              <w:t>Cas</w:t>
            </w:r>
          </w:p>
        </w:tc>
        <w:tc>
          <w:tcPr>
            <w:tcW w:type="dxa" w:w="5499"/>
            <w:shd w:fill="D9EAF2"/>
            <w:tcMar>
              <w:top w:w="70" w:type="dxa"/>
              <w:start w:w="70" w:type="dxa"/>
              <w:bottom w:w="70" w:type="dxa"/>
              <w:end w:w="70" w:type="dxa"/>
            </w:tcMar>
            <w:vAlign w:val="center"/>
          </w:tcPr>
          <w:p>
            <w:r/>
            <w:r>
              <w:rPr>
                <w:rFonts w:ascii="Aptos" w:hAnsi="Aptos"/>
                <w:b/>
                <w:color w:val="123E5E"/>
                <w:sz w:val="16"/>
              </w:rPr>
              <w:t>Décision</w:t>
            </w:r>
          </w:p>
        </w:tc>
      </w:tr>
      <w:tr>
        <w:tc>
          <w:tcPr>
            <w:tcW w:type="dxa" w:w="3798"/>
            <w:tcMar>
              <w:top w:w="60" w:type="dxa"/>
              <w:start w:w="60" w:type="dxa"/>
              <w:bottom w:w="60" w:type="dxa"/>
              <w:end w:w="60" w:type="dxa"/>
            </w:tcMar>
            <w:vAlign w:val="top"/>
          </w:tcPr>
          <w:p>
            <w:r/>
            <w:r>
              <w:rPr>
                <w:rFonts w:ascii="Aptos" w:hAnsi="Aptos"/>
                <w:sz w:val="16"/>
              </w:rPr>
              <w:t>Preuve officielle directe</w:t>
            </w:r>
          </w:p>
        </w:tc>
        <w:tc>
          <w:tcPr>
            <w:tcW w:type="dxa" w:w="5499"/>
            <w:tcMar>
              <w:top w:w="60" w:type="dxa"/>
              <w:start w:w="60" w:type="dxa"/>
              <w:bottom w:w="60" w:type="dxa"/>
              <w:end w:w="60" w:type="dxa"/>
            </w:tcMar>
            <w:vAlign w:val="top"/>
          </w:tcPr>
          <w:p>
            <w:r/>
            <w:r>
              <w:rPr>
                <w:rFonts w:ascii="Aptos" w:hAnsi="Aptos"/>
                <w:sz w:val="16"/>
              </w:rPr>
              <w:t>CONFIRMED_MATCH — créer relation et événement daté.</w:t>
            </w:r>
          </w:p>
        </w:tc>
      </w:tr>
      <w:tr>
        <w:tc>
          <w:tcPr>
            <w:tcW w:type="dxa" w:w="3798"/>
            <w:tcMar>
              <w:top w:w="60" w:type="dxa"/>
              <w:start w:w="60" w:type="dxa"/>
              <w:bottom w:w="60" w:type="dxa"/>
              <w:end w:w="60" w:type="dxa"/>
            </w:tcMar>
            <w:vAlign w:val="top"/>
          </w:tcPr>
          <w:p>
            <w:r/>
            <w:r>
              <w:rPr>
                <w:rFonts w:ascii="Aptos" w:hAnsi="Aptos"/>
                <w:sz w:val="16"/>
              </w:rPr>
              <w:t>Plusieurs signaux forts cohérents, aucune contradiction</w:t>
            </w:r>
          </w:p>
        </w:tc>
        <w:tc>
          <w:tcPr>
            <w:tcW w:type="dxa" w:w="5499"/>
            <w:tcMar>
              <w:top w:w="60" w:type="dxa"/>
              <w:start w:w="60" w:type="dxa"/>
              <w:bottom w:w="60" w:type="dxa"/>
              <w:end w:w="60" w:type="dxa"/>
            </w:tcMar>
            <w:vAlign w:val="top"/>
          </w:tcPr>
          <w:p>
            <w:r/>
            <w:r>
              <w:rPr>
                <w:rFonts w:ascii="Aptos" w:hAnsi="Aptos"/>
                <w:sz w:val="16"/>
              </w:rPr>
              <w:t>PROBABLE_MATCH — revue humaine avant fusion.</w:t>
            </w:r>
          </w:p>
        </w:tc>
      </w:tr>
      <w:tr>
        <w:tc>
          <w:tcPr>
            <w:tcW w:type="dxa" w:w="3798"/>
            <w:tcMar>
              <w:top w:w="60" w:type="dxa"/>
              <w:start w:w="60" w:type="dxa"/>
              <w:bottom w:w="60" w:type="dxa"/>
              <w:end w:w="60" w:type="dxa"/>
            </w:tcMar>
            <w:vAlign w:val="top"/>
          </w:tcPr>
          <w:p>
            <w:r/>
            <w:r>
              <w:rPr>
                <w:rFonts w:ascii="Aptos" w:hAnsi="Aptos"/>
                <w:sz w:val="16"/>
              </w:rPr>
              <w:t>Similarité orthographique seule</w:t>
            </w:r>
          </w:p>
        </w:tc>
        <w:tc>
          <w:tcPr>
            <w:tcW w:type="dxa" w:w="5499"/>
            <w:tcMar>
              <w:top w:w="60" w:type="dxa"/>
              <w:start w:w="60" w:type="dxa"/>
              <w:bottom w:w="60" w:type="dxa"/>
              <w:end w:w="60" w:type="dxa"/>
            </w:tcMar>
            <w:vAlign w:val="top"/>
          </w:tcPr>
          <w:p>
            <w:r/>
            <w:r>
              <w:rPr>
                <w:rFonts w:ascii="Aptos" w:hAnsi="Aptos"/>
                <w:sz w:val="16"/>
              </w:rPr>
              <w:t>CANDIDATE — ne pas fusionner.</w:t>
            </w:r>
          </w:p>
        </w:tc>
      </w:tr>
      <w:tr>
        <w:tc>
          <w:tcPr>
            <w:tcW w:type="dxa" w:w="3798"/>
            <w:tcMar>
              <w:top w:w="60" w:type="dxa"/>
              <w:start w:w="60" w:type="dxa"/>
              <w:bottom w:w="60" w:type="dxa"/>
              <w:end w:w="60" w:type="dxa"/>
            </w:tcMar>
            <w:vAlign w:val="top"/>
          </w:tcPr>
          <w:p>
            <w:r/>
            <w:r>
              <w:rPr>
                <w:rFonts w:ascii="Aptos" w:hAnsi="Aptos"/>
                <w:sz w:val="16"/>
              </w:rPr>
              <w:t>Gestionnaires ou dates incompatibles</w:t>
            </w:r>
          </w:p>
        </w:tc>
        <w:tc>
          <w:tcPr>
            <w:tcW w:type="dxa" w:w="5499"/>
            <w:tcMar>
              <w:top w:w="60" w:type="dxa"/>
              <w:start w:w="60" w:type="dxa"/>
              <w:bottom w:w="60" w:type="dxa"/>
              <w:end w:w="60" w:type="dxa"/>
            </w:tcMar>
            <w:vAlign w:val="top"/>
          </w:tcPr>
          <w:p>
            <w:r/>
            <w:r>
              <w:rPr>
                <w:rFonts w:ascii="Aptos" w:hAnsi="Aptos"/>
                <w:sz w:val="16"/>
              </w:rPr>
              <w:t>REJECTED_MATCH ou entités séparées.</w:t>
            </w:r>
          </w:p>
        </w:tc>
      </w:tr>
      <w:tr>
        <w:tc>
          <w:tcPr>
            <w:tcW w:type="dxa" w:w="3798"/>
            <w:tcMar>
              <w:top w:w="60" w:type="dxa"/>
              <w:start w:w="60" w:type="dxa"/>
              <w:bottom w:w="60" w:type="dxa"/>
              <w:end w:w="60" w:type="dxa"/>
            </w:tcMar>
            <w:vAlign w:val="top"/>
          </w:tcPr>
          <w:p>
            <w:r/>
            <w:r>
              <w:rPr>
                <w:rFonts w:ascii="Aptos" w:hAnsi="Aptos"/>
                <w:sz w:val="16"/>
              </w:rPr>
              <w:t>Un nom peut être classe ou fonds</w:t>
            </w:r>
          </w:p>
        </w:tc>
        <w:tc>
          <w:tcPr>
            <w:tcW w:type="dxa" w:w="5499"/>
            <w:tcMar>
              <w:top w:w="60" w:type="dxa"/>
              <w:start w:w="60" w:type="dxa"/>
              <w:bottom w:w="60" w:type="dxa"/>
              <w:end w:w="60" w:type="dxa"/>
            </w:tcMar>
            <w:vAlign w:val="top"/>
          </w:tcPr>
          <w:p>
            <w:r/>
            <w:r>
              <w:rPr>
                <w:rFonts w:ascii="Aptos" w:hAnsi="Aptos"/>
                <w:sz w:val="16"/>
              </w:rPr>
              <w:t>UNRESOLVED_STRUCTURE — rechercher prospectus et tableaux de classes.</w:t>
            </w:r>
          </w:p>
        </w:tc>
      </w:tr>
      <w:tr>
        <w:tc>
          <w:tcPr>
            <w:tcW w:type="dxa" w:w="3798"/>
            <w:tcMar>
              <w:top w:w="60" w:type="dxa"/>
              <w:start w:w="60" w:type="dxa"/>
              <w:bottom w:w="60" w:type="dxa"/>
              <w:end w:w="60" w:type="dxa"/>
            </w:tcMar>
            <w:vAlign w:val="top"/>
          </w:tcPr>
          <w:p>
            <w:r/>
            <w:r>
              <w:rPr>
                <w:rFonts w:ascii="Aptos" w:hAnsi="Aptos"/>
                <w:sz w:val="16"/>
              </w:rPr>
              <w:t>Nom numérique ou catégorie prise pour fonds</w:t>
            </w:r>
          </w:p>
        </w:tc>
        <w:tc>
          <w:tcPr>
            <w:tcW w:type="dxa" w:w="5499"/>
            <w:tcMar>
              <w:top w:w="60" w:type="dxa"/>
              <w:start w:w="60" w:type="dxa"/>
              <w:bottom w:w="60" w:type="dxa"/>
              <w:end w:w="60" w:type="dxa"/>
            </w:tcMar>
            <w:vAlign w:val="top"/>
          </w:tcPr>
          <w:p>
            <w:r/>
            <w:r>
              <w:rPr>
                <w:rFonts w:ascii="Aptos" w:hAnsi="Aptos"/>
                <w:sz w:val="16"/>
              </w:rPr>
              <w:t>PARSER_ERROR — exclure de la série propre, conserver raw.</w:t>
            </w:r>
          </w:p>
        </w:tc>
      </w:tr>
    </w:tbl>
    <w:p>
      <w:pPr>
        <w:widowControl/>
        <w:spacing w:after="0"/>
      </w:pPr>
    </w:p>
    <w:p>
      <w:pPr>
        <w:pStyle w:val="Heading2"/>
        <w:widowControl/>
      </w:pPr>
      <w:r>
        <w:t>8.4 Historisation des gestionnaires</w:t>
      </w:r>
    </w:p>
    <w:p>
      <w:pPr>
        <w:pStyle w:val="CodeNigeria"/>
        <w:widowControl/>
        <w:shd w:fill="F4F6F7"/>
      </w:pPr>
      <w:r>
        <w:rPr>
          <w:rFonts w:ascii="Liberation Mono" w:hAnsi="Liberation Mono"/>
          <w:color w:val="1E1E1E"/>
          <w:sz w:val="15"/>
        </w:rPr>
        <w:t>manager_assignment_id</w:t>
        <w:br/>
        <w:t>canonical_fund_id</w:t>
        <w:br/>
        <w:t>canonical_manager_id</w:t>
        <w:br/>
        <w:t>manager_name_raw</w:t>
        <w:br/>
        <w:t>role = fund_manager | sponsor | adviser</w:t>
        <w:br/>
        <w:t>valid_from</w:t>
        <w:br/>
        <w:t>valid_to</w:t>
        <w:br/>
        <w:t>effective_date_precision</w:t>
        <w:br/>
        <w:t>evidence_document_id</w:t>
        <w:br/>
        <w:t>confidence</w:t>
        <w:br/>
        <w:t>status</w:t>
      </w:r>
    </w:p>
    <w:p>
      <w:pPr>
        <w:widowControl/>
      </w:pPr>
      <w:r>
        <w:rPr>
          <w:rFonts w:ascii="Aptos" w:hAnsi="Aptos"/>
          <w:sz w:val="19"/>
        </w:rPr>
        <w:t>Un changement de marque du gestionnaire n'est pas nécessairement un transfert. Il faut distinguer changement de dénomination sociale, acquisition, fusion de société et mandat transféré à une autre entité.</w:t>
      </w:r>
    </w:p>
    <w:p>
      <w:pPr>
        <w:pStyle w:val="Heading2"/>
        <w:widowControl/>
      </w:pPr>
      <w:r>
        <w:t>8.5 Classes de parts</w:t>
      </w:r>
    </w:p>
    <w:p>
      <w:pPr>
        <w:pStyle w:val="ListBullet"/>
        <w:widowControl/>
        <w:ind w:left="397" w:hanging="142"/>
      </w:pPr>
      <w:r>
        <w:rPr>
          <w:rFonts w:ascii="Aptos" w:hAnsi="Aptos"/>
          <w:sz w:val="18"/>
        </w:rPr>
        <w:t>Créer une classe lorsque le prospectus ou la source distingue devise, type d'investisseur, frais, distribution ou série de prix.</w:t>
      </w:r>
    </w:p>
    <w:p>
      <w:pPr>
        <w:pStyle w:val="ListBullet"/>
        <w:widowControl/>
        <w:ind w:left="397" w:hanging="142"/>
      </w:pPr>
      <w:r>
        <w:rPr>
          <w:rFonts w:ascii="Aptos" w:hAnsi="Aptos"/>
          <w:sz w:val="18"/>
        </w:rPr>
        <w:t>Ne pas convertir automatiquement chaque colonne USD/NGN en classe : certaines sont des contre-valeurs de la même classe.</w:t>
      </w:r>
    </w:p>
    <w:p>
      <w:pPr>
        <w:pStyle w:val="ListBullet"/>
        <w:widowControl/>
        <w:ind w:left="397" w:hanging="142"/>
      </w:pPr>
      <w:r>
        <w:rPr>
          <w:rFonts w:ascii="Aptos" w:hAnsi="Aptos"/>
          <w:sz w:val="18"/>
        </w:rPr>
        <w:t>Une classe de capitalisation et une classe de distribution ne partagent pas nécessairement la même série de prix.</w:t>
      </w:r>
    </w:p>
    <w:p>
      <w:pPr>
        <w:pStyle w:val="ListBullet"/>
        <w:widowControl/>
        <w:ind w:left="397" w:hanging="142"/>
      </w:pPr>
      <w:r>
        <w:rPr>
          <w:rFonts w:ascii="Aptos" w:hAnsi="Aptos"/>
          <w:sz w:val="18"/>
        </w:rPr>
        <w:t>Conserver ISIN, ticker, code SEC ou code interne s’ils existent.</w:t>
      </w:r>
    </w:p>
    <w:p>
      <w:pPr>
        <w:pStyle w:val="ListBullet"/>
        <w:widowControl/>
        <w:ind w:left="397" w:hanging="142"/>
      </w:pPr>
      <w:r>
        <w:rPr>
          <w:rFonts w:ascii="Aptos" w:hAnsi="Aptos"/>
          <w:sz w:val="18"/>
        </w:rPr>
        <w:t>Si la structure n'est pas prouvée, conserver share_class_id nul et ouvrir un point de revue.</w:t>
      </w:r>
    </w:p>
    <w:p>
      <w:pPr>
        <w:widowControl/>
      </w:pPr>
      <w:r>
        <w:br w:type="page"/>
      </w:r>
    </w:p>
    <w:p>
      <w:pPr>
        <w:widowControl/>
        <w:jc w:val="center"/>
      </w:pPr>
      <w:r>
        <w:rPr>
          <w:rFonts w:ascii="Aptos Display" w:hAnsi="Aptos Display"/>
          <w:b/>
          <w:color w:val="123E5E"/>
          <w:sz w:val="44"/>
        </w:rPr>
        <w:t>PARTIE IX — RECONSTRUCTION JURIDIQUE ET ONTOLOGIE DES ÉVÉNEMENTS</w:t>
      </w:r>
    </w:p>
    <w:p>
      <w:pPr>
        <w:widowControl/>
        <w:jc w:val="center"/>
      </w:pPr>
      <w:r>
        <w:rPr>
          <w:rFonts w:ascii="Aptos" w:hAnsi="Aptos"/>
          <w:i/>
          <w:color w:val="505050"/>
          <w:sz w:val="22"/>
        </w:rPr>
        <w:t>La vie du fonds comme suite d’événements datés</w:t>
      </w:r>
    </w:p>
    <w:p>
      <w:pPr>
        <w:widowControl/>
      </w:pPr>
    </w:p>
    <w:p>
      <w:pPr>
        <w:pStyle w:val="Heading1"/>
        <w:widowControl/>
      </w:pPr>
      <w:r>
        <w:t>9. Point de départ absolu : le nom historique</w:t>
      </w:r>
    </w:p>
    <w:p>
      <w:pPr>
        <w:widowControl/>
      </w:pPr>
      <w:r>
        <w:rPr>
          <w:rFonts w:ascii="Aptos" w:hAnsi="Aptos"/>
          <w:sz w:val="19"/>
        </w:rPr>
        <w:t>Pour chaque ligne du DataFrame, la recherche commence par le nom du fonds dans les archives. Le nom actuel et le gestionnaire actuel servent à orienter la recherche vers la situation finale, mais l'histoire doit être reconstruite depuis l'identité la plus ancienne connue.</w:t>
      </w:r>
    </w:p>
    <w:p>
      <w:pPr>
        <w:pStyle w:val="Heading2"/>
        <w:widowControl/>
      </w:pPr>
      <w:r>
        <w:t>9.1 Ontologie des événements</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835"/>
            <w:shd w:fill="D9EAF2"/>
            <w:tcMar>
              <w:top w:w="70" w:type="dxa"/>
              <w:start w:w="70" w:type="dxa"/>
              <w:bottom w:w="70" w:type="dxa"/>
              <w:end w:w="70" w:type="dxa"/>
            </w:tcMar>
            <w:vAlign w:val="center"/>
          </w:tcPr>
          <w:p>
            <w:r/>
            <w:r>
              <w:rPr>
                <w:rFonts w:ascii="Aptos" w:hAnsi="Aptos"/>
                <w:b/>
                <w:color w:val="123E5E"/>
                <w:sz w:val="15"/>
              </w:rPr>
              <w:t>Code</w:t>
            </w:r>
          </w:p>
        </w:tc>
        <w:tc>
          <w:tcPr>
            <w:tcW w:type="dxa" w:w="6463"/>
            <w:shd w:fill="D9EAF2"/>
            <w:tcMar>
              <w:top w:w="70" w:type="dxa"/>
              <w:start w:w="70" w:type="dxa"/>
              <w:bottom w:w="70" w:type="dxa"/>
              <w:end w:w="70" w:type="dxa"/>
            </w:tcMar>
            <w:vAlign w:val="center"/>
          </w:tcPr>
          <w:p>
            <w:r/>
            <w:r>
              <w:rPr>
                <w:rFonts w:ascii="Aptos" w:hAnsi="Aptos"/>
                <w:b/>
                <w:color w:val="123E5E"/>
                <w:sz w:val="15"/>
              </w:rPr>
              <w:t>Événement</w:t>
            </w:r>
          </w:p>
        </w:tc>
      </w:tr>
      <w:tr>
        <w:tc>
          <w:tcPr>
            <w:tcW w:type="dxa" w:w="2835"/>
            <w:tcMar>
              <w:top w:w="60" w:type="dxa"/>
              <w:start w:w="60" w:type="dxa"/>
              <w:bottom w:w="60" w:type="dxa"/>
              <w:end w:w="60" w:type="dxa"/>
            </w:tcMar>
            <w:vAlign w:val="top"/>
          </w:tcPr>
          <w:p>
            <w:r/>
            <w:r>
              <w:rPr>
                <w:rFonts w:ascii="Aptos" w:hAnsi="Aptos"/>
                <w:sz w:val="15"/>
              </w:rPr>
              <w:t>LAUNCH</w:t>
            </w:r>
          </w:p>
        </w:tc>
        <w:tc>
          <w:tcPr>
            <w:tcW w:type="dxa" w:w="6463"/>
            <w:tcMar>
              <w:top w:w="60" w:type="dxa"/>
              <w:start w:w="60" w:type="dxa"/>
              <w:bottom w:w="60" w:type="dxa"/>
              <w:end w:w="60" w:type="dxa"/>
            </w:tcMar>
            <w:vAlign w:val="top"/>
          </w:tcPr>
          <w:p>
            <w:r/>
            <w:r>
              <w:rPr>
                <w:rFonts w:ascii="Aptos" w:hAnsi="Aptos"/>
                <w:sz w:val="15"/>
              </w:rPr>
              <w:t>Lancement / commencement of operations</w:t>
            </w:r>
          </w:p>
        </w:tc>
      </w:tr>
      <w:tr>
        <w:tc>
          <w:tcPr>
            <w:tcW w:type="dxa" w:w="2835"/>
            <w:tcMar>
              <w:top w:w="60" w:type="dxa"/>
              <w:start w:w="60" w:type="dxa"/>
              <w:bottom w:w="60" w:type="dxa"/>
              <w:end w:w="60" w:type="dxa"/>
            </w:tcMar>
            <w:vAlign w:val="top"/>
          </w:tcPr>
          <w:p>
            <w:r/>
            <w:r>
              <w:rPr>
                <w:rFonts w:ascii="Aptos" w:hAnsi="Aptos"/>
                <w:sz w:val="15"/>
              </w:rPr>
              <w:t>SEC_REGISTRATION</w:t>
            </w:r>
          </w:p>
        </w:tc>
        <w:tc>
          <w:tcPr>
            <w:tcW w:type="dxa" w:w="6463"/>
            <w:tcMar>
              <w:top w:w="60" w:type="dxa"/>
              <w:start w:w="60" w:type="dxa"/>
              <w:bottom w:w="60" w:type="dxa"/>
              <w:end w:w="60" w:type="dxa"/>
            </w:tcMar>
            <w:vAlign w:val="top"/>
          </w:tcPr>
          <w:p>
            <w:r/>
            <w:r>
              <w:rPr>
                <w:rFonts w:ascii="Aptos" w:hAnsi="Aptos"/>
                <w:sz w:val="15"/>
              </w:rPr>
              <w:t>Enregistrement ou approbation SEC</w:t>
            </w:r>
          </w:p>
        </w:tc>
      </w:tr>
      <w:tr>
        <w:tc>
          <w:tcPr>
            <w:tcW w:type="dxa" w:w="2835"/>
            <w:tcMar>
              <w:top w:w="60" w:type="dxa"/>
              <w:start w:w="60" w:type="dxa"/>
              <w:bottom w:w="60" w:type="dxa"/>
              <w:end w:w="60" w:type="dxa"/>
            </w:tcMar>
            <w:vAlign w:val="top"/>
          </w:tcPr>
          <w:p>
            <w:r/>
            <w:r>
              <w:rPr>
                <w:rFonts w:ascii="Aptos" w:hAnsi="Aptos"/>
                <w:sz w:val="15"/>
              </w:rPr>
              <w:t>FIRST_VALUATION</w:t>
            </w:r>
          </w:p>
        </w:tc>
        <w:tc>
          <w:tcPr>
            <w:tcW w:type="dxa" w:w="6463"/>
            <w:tcMar>
              <w:top w:w="60" w:type="dxa"/>
              <w:start w:w="60" w:type="dxa"/>
              <w:bottom w:w="60" w:type="dxa"/>
              <w:end w:w="60" w:type="dxa"/>
            </w:tcMar>
            <w:vAlign w:val="top"/>
          </w:tcPr>
          <w:p>
            <w:r/>
            <w:r>
              <w:rPr>
                <w:rFonts w:ascii="Aptos" w:hAnsi="Aptos"/>
                <w:sz w:val="15"/>
              </w:rPr>
              <w:t>Première observation SEC disponible</w:t>
            </w:r>
          </w:p>
        </w:tc>
      </w:tr>
      <w:tr>
        <w:tc>
          <w:tcPr>
            <w:tcW w:type="dxa" w:w="2835"/>
            <w:tcMar>
              <w:top w:w="60" w:type="dxa"/>
              <w:start w:w="60" w:type="dxa"/>
              <w:bottom w:w="60" w:type="dxa"/>
              <w:end w:w="60" w:type="dxa"/>
            </w:tcMar>
            <w:vAlign w:val="top"/>
          </w:tcPr>
          <w:p>
            <w:r/>
            <w:r>
              <w:rPr>
                <w:rFonts w:ascii="Aptos" w:hAnsi="Aptos"/>
                <w:sz w:val="15"/>
              </w:rPr>
              <w:t>NAME_CHANGE</w:t>
            </w:r>
          </w:p>
        </w:tc>
        <w:tc>
          <w:tcPr>
            <w:tcW w:type="dxa" w:w="6463"/>
            <w:tcMar>
              <w:top w:w="60" w:type="dxa"/>
              <w:start w:w="60" w:type="dxa"/>
              <w:bottom w:w="60" w:type="dxa"/>
              <w:end w:w="60" w:type="dxa"/>
            </w:tcMar>
            <w:vAlign w:val="top"/>
          </w:tcPr>
          <w:p>
            <w:r/>
            <w:r>
              <w:rPr>
                <w:rFonts w:ascii="Aptos" w:hAnsi="Aptos"/>
                <w:sz w:val="15"/>
              </w:rPr>
              <w:t>Changement de nom du fonds</w:t>
            </w:r>
          </w:p>
        </w:tc>
      </w:tr>
      <w:tr>
        <w:tc>
          <w:tcPr>
            <w:tcW w:type="dxa" w:w="2835"/>
            <w:tcMar>
              <w:top w:w="60" w:type="dxa"/>
              <w:start w:w="60" w:type="dxa"/>
              <w:bottom w:w="60" w:type="dxa"/>
              <w:end w:w="60" w:type="dxa"/>
            </w:tcMar>
            <w:vAlign w:val="top"/>
          </w:tcPr>
          <w:p>
            <w:r/>
            <w:r>
              <w:rPr>
                <w:rFonts w:ascii="Aptos" w:hAnsi="Aptos"/>
                <w:sz w:val="15"/>
              </w:rPr>
              <w:t>MANAGER_CHANGE</w:t>
            </w:r>
          </w:p>
        </w:tc>
        <w:tc>
          <w:tcPr>
            <w:tcW w:type="dxa" w:w="6463"/>
            <w:tcMar>
              <w:top w:w="60" w:type="dxa"/>
              <w:start w:w="60" w:type="dxa"/>
              <w:bottom w:w="60" w:type="dxa"/>
              <w:end w:w="60" w:type="dxa"/>
            </w:tcMar>
            <w:vAlign w:val="top"/>
          </w:tcPr>
          <w:p>
            <w:r/>
            <w:r>
              <w:rPr>
                <w:rFonts w:ascii="Aptos" w:hAnsi="Aptos"/>
                <w:sz w:val="15"/>
              </w:rPr>
              <w:t>Changement de société de gestion</w:t>
            </w:r>
          </w:p>
        </w:tc>
      </w:tr>
      <w:tr>
        <w:tc>
          <w:tcPr>
            <w:tcW w:type="dxa" w:w="2835"/>
            <w:tcMar>
              <w:top w:w="60" w:type="dxa"/>
              <w:start w:w="60" w:type="dxa"/>
              <w:bottom w:w="60" w:type="dxa"/>
              <w:end w:w="60" w:type="dxa"/>
            </w:tcMar>
            <w:vAlign w:val="top"/>
          </w:tcPr>
          <w:p>
            <w:r/>
            <w:r>
              <w:rPr>
                <w:rFonts w:ascii="Aptos" w:hAnsi="Aptos"/>
                <w:sz w:val="15"/>
              </w:rPr>
              <w:t>MANAGER_RENAME</w:t>
            </w:r>
          </w:p>
        </w:tc>
        <w:tc>
          <w:tcPr>
            <w:tcW w:type="dxa" w:w="6463"/>
            <w:tcMar>
              <w:top w:w="60" w:type="dxa"/>
              <w:start w:w="60" w:type="dxa"/>
              <w:bottom w:w="60" w:type="dxa"/>
              <w:end w:w="60" w:type="dxa"/>
            </w:tcMar>
            <w:vAlign w:val="top"/>
          </w:tcPr>
          <w:p>
            <w:r/>
            <w:r>
              <w:rPr>
                <w:rFonts w:ascii="Aptos" w:hAnsi="Aptos"/>
                <w:sz w:val="15"/>
              </w:rPr>
              <w:t>Changement de nom du gestionnaire sans transfert</w:t>
            </w:r>
          </w:p>
        </w:tc>
      </w:tr>
      <w:tr>
        <w:tc>
          <w:tcPr>
            <w:tcW w:type="dxa" w:w="2835"/>
            <w:tcMar>
              <w:top w:w="60" w:type="dxa"/>
              <w:start w:w="60" w:type="dxa"/>
              <w:bottom w:w="60" w:type="dxa"/>
              <w:end w:w="60" w:type="dxa"/>
            </w:tcMar>
            <w:vAlign w:val="top"/>
          </w:tcPr>
          <w:p>
            <w:r/>
            <w:r>
              <w:rPr>
                <w:rFonts w:ascii="Aptos" w:hAnsi="Aptos"/>
                <w:sz w:val="15"/>
              </w:rPr>
              <w:t>TRANSFER</w:t>
            </w:r>
          </w:p>
        </w:tc>
        <w:tc>
          <w:tcPr>
            <w:tcW w:type="dxa" w:w="6463"/>
            <w:tcMar>
              <w:top w:w="60" w:type="dxa"/>
              <w:start w:w="60" w:type="dxa"/>
              <w:bottom w:w="60" w:type="dxa"/>
              <w:end w:w="60" w:type="dxa"/>
            </w:tcMar>
            <w:vAlign w:val="top"/>
          </w:tcPr>
          <w:p>
            <w:r/>
            <w:r>
              <w:rPr>
                <w:rFonts w:ascii="Aptos" w:hAnsi="Aptos"/>
                <w:sz w:val="15"/>
              </w:rPr>
              <w:t>Transfert du fonds ou du mandat</w:t>
            </w:r>
          </w:p>
        </w:tc>
      </w:tr>
      <w:tr>
        <w:tc>
          <w:tcPr>
            <w:tcW w:type="dxa" w:w="2835"/>
            <w:tcMar>
              <w:top w:w="60" w:type="dxa"/>
              <w:start w:w="60" w:type="dxa"/>
              <w:bottom w:w="60" w:type="dxa"/>
              <w:end w:w="60" w:type="dxa"/>
            </w:tcMar>
            <w:vAlign w:val="top"/>
          </w:tcPr>
          <w:p>
            <w:r/>
            <w:r>
              <w:rPr>
                <w:rFonts w:ascii="Aptos" w:hAnsi="Aptos"/>
                <w:sz w:val="15"/>
              </w:rPr>
              <w:t>MERGER</w:t>
            </w:r>
          </w:p>
        </w:tc>
        <w:tc>
          <w:tcPr>
            <w:tcW w:type="dxa" w:w="6463"/>
            <w:tcMar>
              <w:top w:w="60" w:type="dxa"/>
              <w:start w:w="60" w:type="dxa"/>
              <w:bottom w:w="60" w:type="dxa"/>
              <w:end w:w="60" w:type="dxa"/>
            </w:tcMar>
            <w:vAlign w:val="top"/>
          </w:tcPr>
          <w:p>
            <w:r/>
            <w:r>
              <w:rPr>
                <w:rFonts w:ascii="Aptos" w:hAnsi="Aptos"/>
                <w:sz w:val="15"/>
              </w:rPr>
              <w:t>Fusion de deux fonds</w:t>
            </w:r>
          </w:p>
        </w:tc>
      </w:tr>
      <w:tr>
        <w:tc>
          <w:tcPr>
            <w:tcW w:type="dxa" w:w="2835"/>
            <w:tcMar>
              <w:top w:w="60" w:type="dxa"/>
              <w:start w:w="60" w:type="dxa"/>
              <w:bottom w:w="60" w:type="dxa"/>
              <w:end w:w="60" w:type="dxa"/>
            </w:tcMar>
            <w:vAlign w:val="top"/>
          </w:tcPr>
          <w:p>
            <w:r/>
            <w:r>
              <w:rPr>
                <w:rFonts w:ascii="Aptos" w:hAnsi="Aptos"/>
                <w:sz w:val="15"/>
              </w:rPr>
              <w:t>ABSORPTION</w:t>
            </w:r>
          </w:p>
        </w:tc>
        <w:tc>
          <w:tcPr>
            <w:tcW w:type="dxa" w:w="6463"/>
            <w:tcMar>
              <w:top w:w="60" w:type="dxa"/>
              <w:start w:w="60" w:type="dxa"/>
              <w:bottom w:w="60" w:type="dxa"/>
              <w:end w:w="60" w:type="dxa"/>
            </w:tcMar>
            <w:vAlign w:val="top"/>
          </w:tcPr>
          <w:p>
            <w:r/>
            <w:r>
              <w:rPr>
                <w:rFonts w:ascii="Aptos" w:hAnsi="Aptos"/>
                <w:sz w:val="15"/>
              </w:rPr>
              <w:t>Absorption d’un fonds dans un autre</w:t>
            </w:r>
          </w:p>
        </w:tc>
      </w:tr>
      <w:tr>
        <w:tc>
          <w:tcPr>
            <w:tcW w:type="dxa" w:w="2835"/>
            <w:tcMar>
              <w:top w:w="60" w:type="dxa"/>
              <w:start w:w="60" w:type="dxa"/>
              <w:bottom w:w="60" w:type="dxa"/>
              <w:end w:w="60" w:type="dxa"/>
            </w:tcMar>
            <w:vAlign w:val="top"/>
          </w:tcPr>
          <w:p>
            <w:r/>
            <w:r>
              <w:rPr>
                <w:rFonts w:ascii="Aptos" w:hAnsi="Aptos"/>
                <w:sz w:val="15"/>
              </w:rPr>
              <w:t>SPLIT</w:t>
            </w:r>
          </w:p>
        </w:tc>
        <w:tc>
          <w:tcPr>
            <w:tcW w:type="dxa" w:w="6463"/>
            <w:tcMar>
              <w:top w:w="60" w:type="dxa"/>
              <w:start w:w="60" w:type="dxa"/>
              <w:bottom w:w="60" w:type="dxa"/>
              <w:end w:w="60" w:type="dxa"/>
            </w:tcMar>
            <w:vAlign w:val="top"/>
          </w:tcPr>
          <w:p>
            <w:r/>
            <w:r>
              <w:rPr>
                <w:rFonts w:ascii="Aptos" w:hAnsi="Aptos"/>
                <w:sz w:val="15"/>
              </w:rPr>
              <w:t>Fractionnement des unités</w:t>
            </w:r>
          </w:p>
        </w:tc>
      </w:tr>
      <w:tr>
        <w:tc>
          <w:tcPr>
            <w:tcW w:type="dxa" w:w="2835"/>
            <w:tcMar>
              <w:top w:w="60" w:type="dxa"/>
              <w:start w:w="60" w:type="dxa"/>
              <w:bottom w:w="60" w:type="dxa"/>
              <w:end w:w="60" w:type="dxa"/>
            </w:tcMar>
            <w:vAlign w:val="top"/>
          </w:tcPr>
          <w:p>
            <w:r/>
            <w:r>
              <w:rPr>
                <w:rFonts w:ascii="Aptos" w:hAnsi="Aptos"/>
                <w:sz w:val="15"/>
              </w:rPr>
              <w:t>CONSOLIDATION</w:t>
            </w:r>
          </w:p>
        </w:tc>
        <w:tc>
          <w:tcPr>
            <w:tcW w:type="dxa" w:w="6463"/>
            <w:tcMar>
              <w:top w:w="60" w:type="dxa"/>
              <w:start w:w="60" w:type="dxa"/>
              <w:bottom w:w="60" w:type="dxa"/>
              <w:end w:w="60" w:type="dxa"/>
            </w:tcMar>
            <w:vAlign w:val="top"/>
          </w:tcPr>
          <w:p>
            <w:r/>
            <w:r>
              <w:rPr>
                <w:rFonts w:ascii="Aptos" w:hAnsi="Aptos"/>
                <w:sz w:val="15"/>
              </w:rPr>
              <w:t>Regroupement des unités</w:t>
            </w:r>
          </w:p>
        </w:tc>
      </w:tr>
      <w:tr>
        <w:tc>
          <w:tcPr>
            <w:tcW w:type="dxa" w:w="2835"/>
            <w:tcMar>
              <w:top w:w="60" w:type="dxa"/>
              <w:start w:w="60" w:type="dxa"/>
              <w:bottom w:w="60" w:type="dxa"/>
              <w:end w:w="60" w:type="dxa"/>
            </w:tcMar>
            <w:vAlign w:val="top"/>
          </w:tcPr>
          <w:p>
            <w:r/>
            <w:r>
              <w:rPr>
                <w:rFonts w:ascii="Aptos" w:hAnsi="Aptos"/>
                <w:sz w:val="15"/>
              </w:rPr>
              <w:t>SHARE_CLASS_LAUNCH</w:t>
            </w:r>
          </w:p>
        </w:tc>
        <w:tc>
          <w:tcPr>
            <w:tcW w:type="dxa" w:w="6463"/>
            <w:tcMar>
              <w:top w:w="60" w:type="dxa"/>
              <w:start w:w="60" w:type="dxa"/>
              <w:bottom w:w="60" w:type="dxa"/>
              <w:end w:w="60" w:type="dxa"/>
            </w:tcMar>
            <w:vAlign w:val="top"/>
          </w:tcPr>
          <w:p>
            <w:r/>
            <w:r>
              <w:rPr>
                <w:rFonts w:ascii="Aptos" w:hAnsi="Aptos"/>
                <w:sz w:val="15"/>
              </w:rPr>
              <w:t>Création d’une classe</w:t>
            </w:r>
          </w:p>
        </w:tc>
      </w:tr>
      <w:tr>
        <w:tc>
          <w:tcPr>
            <w:tcW w:type="dxa" w:w="2835"/>
            <w:tcMar>
              <w:top w:w="60" w:type="dxa"/>
              <w:start w:w="60" w:type="dxa"/>
              <w:bottom w:w="60" w:type="dxa"/>
              <w:end w:w="60" w:type="dxa"/>
            </w:tcMar>
            <w:vAlign w:val="top"/>
          </w:tcPr>
          <w:p>
            <w:r/>
            <w:r>
              <w:rPr>
                <w:rFonts w:ascii="Aptos" w:hAnsi="Aptos"/>
                <w:sz w:val="15"/>
              </w:rPr>
              <w:t>SHARE_CLASS_CLOSE</w:t>
            </w:r>
          </w:p>
        </w:tc>
        <w:tc>
          <w:tcPr>
            <w:tcW w:type="dxa" w:w="6463"/>
            <w:tcMar>
              <w:top w:w="60" w:type="dxa"/>
              <w:start w:w="60" w:type="dxa"/>
              <w:bottom w:w="60" w:type="dxa"/>
              <w:end w:w="60" w:type="dxa"/>
            </w:tcMar>
            <w:vAlign w:val="top"/>
          </w:tcPr>
          <w:p>
            <w:r/>
            <w:r>
              <w:rPr>
                <w:rFonts w:ascii="Aptos" w:hAnsi="Aptos"/>
                <w:sz w:val="15"/>
              </w:rPr>
              <w:t>Fermeture d’une classe</w:t>
            </w:r>
          </w:p>
        </w:tc>
      </w:tr>
      <w:tr>
        <w:tc>
          <w:tcPr>
            <w:tcW w:type="dxa" w:w="2835"/>
            <w:tcMar>
              <w:top w:w="60" w:type="dxa"/>
              <w:start w:w="60" w:type="dxa"/>
              <w:bottom w:w="60" w:type="dxa"/>
              <w:end w:w="60" w:type="dxa"/>
            </w:tcMar>
            <w:vAlign w:val="top"/>
          </w:tcPr>
          <w:p>
            <w:r/>
            <w:r>
              <w:rPr>
                <w:rFonts w:ascii="Aptos" w:hAnsi="Aptos"/>
                <w:sz w:val="15"/>
              </w:rPr>
              <w:t>SUSPENSION</w:t>
            </w:r>
          </w:p>
        </w:tc>
        <w:tc>
          <w:tcPr>
            <w:tcW w:type="dxa" w:w="6463"/>
            <w:tcMar>
              <w:top w:w="60" w:type="dxa"/>
              <w:start w:w="60" w:type="dxa"/>
              <w:bottom w:w="60" w:type="dxa"/>
              <w:end w:w="60" w:type="dxa"/>
            </w:tcMar>
            <w:vAlign w:val="top"/>
          </w:tcPr>
          <w:p>
            <w:r/>
            <w:r>
              <w:rPr>
                <w:rFonts w:ascii="Aptos" w:hAnsi="Aptos"/>
                <w:sz w:val="15"/>
              </w:rPr>
              <w:t>Suspension des souscriptions/rachats ou de la cotation</w:t>
            </w:r>
          </w:p>
        </w:tc>
      </w:tr>
      <w:tr>
        <w:tc>
          <w:tcPr>
            <w:tcW w:type="dxa" w:w="2835"/>
            <w:tcMar>
              <w:top w:w="60" w:type="dxa"/>
              <w:start w:w="60" w:type="dxa"/>
              <w:bottom w:w="60" w:type="dxa"/>
              <w:end w:w="60" w:type="dxa"/>
            </w:tcMar>
            <w:vAlign w:val="top"/>
          </w:tcPr>
          <w:p>
            <w:r/>
            <w:r>
              <w:rPr>
                <w:rFonts w:ascii="Aptos" w:hAnsi="Aptos"/>
                <w:sz w:val="15"/>
              </w:rPr>
              <w:t>REOPENING</w:t>
            </w:r>
          </w:p>
        </w:tc>
        <w:tc>
          <w:tcPr>
            <w:tcW w:type="dxa" w:w="6463"/>
            <w:tcMar>
              <w:top w:w="60" w:type="dxa"/>
              <w:start w:w="60" w:type="dxa"/>
              <w:bottom w:w="60" w:type="dxa"/>
              <w:end w:w="60" w:type="dxa"/>
            </w:tcMar>
            <w:vAlign w:val="top"/>
          </w:tcPr>
          <w:p>
            <w:r/>
            <w:r>
              <w:rPr>
                <w:rFonts w:ascii="Aptos" w:hAnsi="Aptos"/>
                <w:sz w:val="15"/>
              </w:rPr>
              <w:t>Réouverture</w:t>
            </w:r>
          </w:p>
        </w:tc>
      </w:tr>
      <w:tr>
        <w:tc>
          <w:tcPr>
            <w:tcW w:type="dxa" w:w="2835"/>
            <w:tcMar>
              <w:top w:w="60" w:type="dxa"/>
              <w:start w:w="60" w:type="dxa"/>
              <w:bottom w:w="60" w:type="dxa"/>
              <w:end w:w="60" w:type="dxa"/>
            </w:tcMar>
            <w:vAlign w:val="top"/>
          </w:tcPr>
          <w:p>
            <w:r/>
            <w:r>
              <w:rPr>
                <w:rFonts w:ascii="Aptos" w:hAnsi="Aptos"/>
                <w:sz w:val="15"/>
              </w:rPr>
              <w:t>LIQUIDATION_START</w:t>
            </w:r>
          </w:p>
        </w:tc>
        <w:tc>
          <w:tcPr>
            <w:tcW w:type="dxa" w:w="6463"/>
            <w:tcMar>
              <w:top w:w="60" w:type="dxa"/>
              <w:start w:w="60" w:type="dxa"/>
              <w:bottom w:w="60" w:type="dxa"/>
              <w:end w:w="60" w:type="dxa"/>
            </w:tcMar>
            <w:vAlign w:val="top"/>
          </w:tcPr>
          <w:p>
            <w:r/>
            <w:r>
              <w:rPr>
                <w:rFonts w:ascii="Aptos" w:hAnsi="Aptos"/>
                <w:sz w:val="15"/>
              </w:rPr>
              <w:t>Début de liquidation</w:t>
            </w:r>
          </w:p>
        </w:tc>
      </w:tr>
      <w:tr>
        <w:tc>
          <w:tcPr>
            <w:tcW w:type="dxa" w:w="2835"/>
            <w:tcMar>
              <w:top w:w="60" w:type="dxa"/>
              <w:start w:w="60" w:type="dxa"/>
              <w:bottom w:w="60" w:type="dxa"/>
              <w:end w:w="60" w:type="dxa"/>
            </w:tcMar>
            <w:vAlign w:val="top"/>
          </w:tcPr>
          <w:p>
            <w:r/>
            <w:r>
              <w:rPr>
                <w:rFonts w:ascii="Aptos" w:hAnsi="Aptos"/>
                <w:sz w:val="15"/>
              </w:rPr>
              <w:t>TERMINATION</w:t>
            </w:r>
          </w:p>
        </w:tc>
        <w:tc>
          <w:tcPr>
            <w:tcW w:type="dxa" w:w="6463"/>
            <w:tcMar>
              <w:top w:w="60" w:type="dxa"/>
              <w:start w:w="60" w:type="dxa"/>
              <w:bottom w:w="60" w:type="dxa"/>
              <w:end w:w="60" w:type="dxa"/>
            </w:tcMar>
            <w:vAlign w:val="top"/>
          </w:tcPr>
          <w:p>
            <w:r/>
            <w:r>
              <w:rPr>
                <w:rFonts w:ascii="Aptos" w:hAnsi="Aptos"/>
                <w:sz w:val="15"/>
              </w:rPr>
              <w:t>Termination / dissolution réglementaire</w:t>
            </w:r>
          </w:p>
        </w:tc>
      </w:tr>
      <w:tr>
        <w:tc>
          <w:tcPr>
            <w:tcW w:type="dxa" w:w="2835"/>
            <w:tcMar>
              <w:top w:w="60" w:type="dxa"/>
              <w:start w:w="60" w:type="dxa"/>
              <w:bottom w:w="60" w:type="dxa"/>
              <w:end w:w="60" w:type="dxa"/>
            </w:tcMar>
            <w:vAlign w:val="top"/>
          </w:tcPr>
          <w:p>
            <w:r/>
            <w:r>
              <w:rPr>
                <w:rFonts w:ascii="Aptos" w:hAnsi="Aptos"/>
                <w:sz w:val="15"/>
              </w:rPr>
              <w:t>CLOSURE</w:t>
            </w:r>
          </w:p>
        </w:tc>
        <w:tc>
          <w:tcPr>
            <w:tcW w:type="dxa" w:w="6463"/>
            <w:tcMar>
              <w:top w:w="60" w:type="dxa"/>
              <w:start w:w="60" w:type="dxa"/>
              <w:bottom w:w="60" w:type="dxa"/>
              <w:end w:w="60" w:type="dxa"/>
            </w:tcMar>
            <w:vAlign w:val="top"/>
          </w:tcPr>
          <w:p>
            <w:r/>
            <w:r>
              <w:rPr>
                <w:rFonts w:ascii="Aptos" w:hAnsi="Aptos"/>
                <w:sz w:val="15"/>
              </w:rPr>
              <w:t>Clôture opérationnelle</w:t>
            </w:r>
          </w:p>
        </w:tc>
      </w:tr>
      <w:tr>
        <w:tc>
          <w:tcPr>
            <w:tcW w:type="dxa" w:w="2835"/>
            <w:tcMar>
              <w:top w:w="60" w:type="dxa"/>
              <w:start w:w="60" w:type="dxa"/>
              <w:bottom w:w="60" w:type="dxa"/>
              <w:end w:w="60" w:type="dxa"/>
            </w:tcMar>
            <w:vAlign w:val="top"/>
          </w:tcPr>
          <w:p>
            <w:r/>
            <w:r>
              <w:rPr>
                <w:rFonts w:ascii="Aptos" w:hAnsi="Aptos"/>
                <w:sz w:val="15"/>
              </w:rPr>
              <w:t>DELISTING</w:t>
            </w:r>
          </w:p>
        </w:tc>
        <w:tc>
          <w:tcPr>
            <w:tcW w:type="dxa" w:w="6463"/>
            <w:tcMar>
              <w:top w:w="60" w:type="dxa"/>
              <w:start w:w="60" w:type="dxa"/>
              <w:bottom w:w="60" w:type="dxa"/>
              <w:end w:w="60" w:type="dxa"/>
            </w:tcMar>
            <w:vAlign w:val="top"/>
          </w:tcPr>
          <w:p>
            <w:r/>
            <w:r>
              <w:rPr>
                <w:rFonts w:ascii="Aptos" w:hAnsi="Aptos"/>
                <w:sz w:val="15"/>
              </w:rPr>
              <w:t>Radiation de NGX</w:t>
            </w:r>
          </w:p>
        </w:tc>
      </w:tr>
      <w:tr>
        <w:tc>
          <w:tcPr>
            <w:tcW w:type="dxa" w:w="2835"/>
            <w:tcMar>
              <w:top w:w="60" w:type="dxa"/>
              <w:start w:w="60" w:type="dxa"/>
              <w:bottom w:w="60" w:type="dxa"/>
              <w:end w:w="60" w:type="dxa"/>
            </w:tcMar>
            <w:vAlign w:val="top"/>
          </w:tcPr>
          <w:p>
            <w:r/>
            <w:r>
              <w:rPr>
                <w:rFonts w:ascii="Aptos" w:hAnsi="Aptos"/>
                <w:sz w:val="15"/>
              </w:rPr>
              <w:t>CATEGORY_CHANGE</w:t>
            </w:r>
          </w:p>
        </w:tc>
        <w:tc>
          <w:tcPr>
            <w:tcW w:type="dxa" w:w="6463"/>
            <w:tcMar>
              <w:top w:w="60" w:type="dxa"/>
              <w:start w:w="60" w:type="dxa"/>
              <w:bottom w:w="60" w:type="dxa"/>
              <w:end w:w="60" w:type="dxa"/>
            </w:tcMar>
            <w:vAlign w:val="top"/>
          </w:tcPr>
          <w:p>
            <w:r/>
            <w:r>
              <w:rPr>
                <w:rFonts w:ascii="Aptos" w:hAnsi="Aptos"/>
                <w:sz w:val="15"/>
              </w:rPr>
              <w:t>Changement de catégorie</w:t>
            </w:r>
          </w:p>
        </w:tc>
      </w:tr>
      <w:tr>
        <w:tc>
          <w:tcPr>
            <w:tcW w:type="dxa" w:w="2835"/>
            <w:tcMar>
              <w:top w:w="60" w:type="dxa"/>
              <w:start w:w="60" w:type="dxa"/>
              <w:bottom w:w="60" w:type="dxa"/>
              <w:end w:w="60" w:type="dxa"/>
            </w:tcMar>
            <w:vAlign w:val="top"/>
          </w:tcPr>
          <w:p>
            <w:r/>
            <w:r>
              <w:rPr>
                <w:rFonts w:ascii="Aptos" w:hAnsi="Aptos"/>
                <w:sz w:val="15"/>
              </w:rPr>
              <w:t>OBJECTIVE_CHANGE</w:t>
            </w:r>
          </w:p>
        </w:tc>
        <w:tc>
          <w:tcPr>
            <w:tcW w:type="dxa" w:w="6463"/>
            <w:tcMar>
              <w:top w:w="60" w:type="dxa"/>
              <w:start w:w="60" w:type="dxa"/>
              <w:bottom w:w="60" w:type="dxa"/>
              <w:end w:w="60" w:type="dxa"/>
            </w:tcMar>
            <w:vAlign w:val="top"/>
          </w:tcPr>
          <w:p>
            <w:r/>
            <w:r>
              <w:rPr>
                <w:rFonts w:ascii="Aptos" w:hAnsi="Aptos"/>
                <w:sz w:val="15"/>
              </w:rPr>
              <w:t>Changement d’objectif</w:t>
            </w:r>
          </w:p>
        </w:tc>
      </w:tr>
      <w:tr>
        <w:tc>
          <w:tcPr>
            <w:tcW w:type="dxa" w:w="2835"/>
            <w:tcMar>
              <w:top w:w="60" w:type="dxa"/>
              <w:start w:w="60" w:type="dxa"/>
              <w:bottom w:w="60" w:type="dxa"/>
              <w:end w:w="60" w:type="dxa"/>
            </w:tcMar>
            <w:vAlign w:val="top"/>
          </w:tcPr>
          <w:p>
            <w:r/>
            <w:r>
              <w:rPr>
                <w:rFonts w:ascii="Aptos" w:hAnsi="Aptos"/>
                <w:sz w:val="15"/>
              </w:rPr>
              <w:t>STRATEGY_CHANGE</w:t>
            </w:r>
          </w:p>
        </w:tc>
        <w:tc>
          <w:tcPr>
            <w:tcW w:type="dxa" w:w="6463"/>
            <w:tcMar>
              <w:top w:w="60" w:type="dxa"/>
              <w:start w:w="60" w:type="dxa"/>
              <w:bottom w:w="60" w:type="dxa"/>
              <w:end w:w="60" w:type="dxa"/>
            </w:tcMar>
            <w:vAlign w:val="top"/>
          </w:tcPr>
          <w:p>
            <w:r/>
            <w:r>
              <w:rPr>
                <w:rFonts w:ascii="Aptos" w:hAnsi="Aptos"/>
                <w:sz w:val="15"/>
              </w:rPr>
              <w:t>Changement de stratégie</w:t>
            </w:r>
          </w:p>
        </w:tc>
      </w:tr>
      <w:tr>
        <w:tc>
          <w:tcPr>
            <w:tcW w:type="dxa" w:w="2835"/>
            <w:tcMar>
              <w:top w:w="60" w:type="dxa"/>
              <w:start w:w="60" w:type="dxa"/>
              <w:bottom w:w="60" w:type="dxa"/>
              <w:end w:w="60" w:type="dxa"/>
            </w:tcMar>
            <w:vAlign w:val="top"/>
          </w:tcPr>
          <w:p>
            <w:r/>
            <w:r>
              <w:rPr>
                <w:rFonts w:ascii="Aptos" w:hAnsi="Aptos"/>
                <w:sz w:val="15"/>
              </w:rPr>
              <w:t>BENCHMARK_CHANGE</w:t>
            </w:r>
          </w:p>
        </w:tc>
        <w:tc>
          <w:tcPr>
            <w:tcW w:type="dxa" w:w="6463"/>
            <w:tcMar>
              <w:top w:w="60" w:type="dxa"/>
              <w:start w:w="60" w:type="dxa"/>
              <w:bottom w:w="60" w:type="dxa"/>
              <w:end w:w="60" w:type="dxa"/>
            </w:tcMar>
            <w:vAlign w:val="top"/>
          </w:tcPr>
          <w:p>
            <w:r/>
            <w:r>
              <w:rPr>
                <w:rFonts w:ascii="Aptos" w:hAnsi="Aptos"/>
                <w:sz w:val="15"/>
              </w:rPr>
              <w:t>Changement de benchmark</w:t>
            </w:r>
          </w:p>
        </w:tc>
      </w:tr>
      <w:tr>
        <w:tc>
          <w:tcPr>
            <w:tcW w:type="dxa" w:w="2835"/>
            <w:tcMar>
              <w:top w:w="60" w:type="dxa"/>
              <w:start w:w="60" w:type="dxa"/>
              <w:bottom w:w="60" w:type="dxa"/>
              <w:end w:w="60" w:type="dxa"/>
            </w:tcMar>
            <w:vAlign w:val="top"/>
          </w:tcPr>
          <w:p>
            <w:r/>
            <w:r>
              <w:rPr>
                <w:rFonts w:ascii="Aptos" w:hAnsi="Aptos"/>
                <w:sz w:val="15"/>
              </w:rPr>
              <w:t>CURRENCY_CHANGE</w:t>
            </w:r>
          </w:p>
        </w:tc>
        <w:tc>
          <w:tcPr>
            <w:tcW w:type="dxa" w:w="6463"/>
            <w:tcMar>
              <w:top w:w="60" w:type="dxa"/>
              <w:start w:w="60" w:type="dxa"/>
              <w:bottom w:w="60" w:type="dxa"/>
              <w:end w:w="60" w:type="dxa"/>
            </w:tcMar>
            <w:vAlign w:val="top"/>
          </w:tcPr>
          <w:p>
            <w:r/>
            <w:r>
              <w:rPr>
                <w:rFonts w:ascii="Aptos" w:hAnsi="Aptos"/>
                <w:sz w:val="15"/>
              </w:rPr>
              <w:t>Changement de devise de classe</w:t>
            </w:r>
          </w:p>
        </w:tc>
      </w:tr>
      <w:tr>
        <w:tc>
          <w:tcPr>
            <w:tcW w:type="dxa" w:w="2835"/>
            <w:tcMar>
              <w:top w:w="60" w:type="dxa"/>
              <w:start w:w="60" w:type="dxa"/>
              <w:bottom w:w="60" w:type="dxa"/>
              <w:end w:w="60" w:type="dxa"/>
            </w:tcMar>
            <w:vAlign w:val="top"/>
          </w:tcPr>
          <w:p>
            <w:r/>
            <w:r>
              <w:rPr>
                <w:rFonts w:ascii="Aptos" w:hAnsi="Aptos"/>
                <w:sz w:val="15"/>
              </w:rPr>
              <w:t>DISTRIBUTION_POLICY_CHANGE</w:t>
            </w:r>
          </w:p>
        </w:tc>
        <w:tc>
          <w:tcPr>
            <w:tcW w:type="dxa" w:w="6463"/>
            <w:tcMar>
              <w:top w:w="60" w:type="dxa"/>
              <w:start w:w="60" w:type="dxa"/>
              <w:bottom w:w="60" w:type="dxa"/>
              <w:end w:w="60" w:type="dxa"/>
            </w:tcMar>
            <w:vAlign w:val="top"/>
          </w:tcPr>
          <w:p>
            <w:r/>
            <w:r>
              <w:rPr>
                <w:rFonts w:ascii="Aptos" w:hAnsi="Aptos"/>
                <w:sz w:val="15"/>
              </w:rPr>
              <w:t>Changement capitalisation/distribution</w:t>
            </w:r>
          </w:p>
        </w:tc>
      </w:tr>
      <w:tr>
        <w:tc>
          <w:tcPr>
            <w:tcW w:type="dxa" w:w="2835"/>
            <w:tcMar>
              <w:top w:w="60" w:type="dxa"/>
              <w:start w:w="60" w:type="dxa"/>
              <w:bottom w:w="60" w:type="dxa"/>
              <w:end w:w="60" w:type="dxa"/>
            </w:tcMar>
            <w:vAlign w:val="top"/>
          </w:tcPr>
          <w:p>
            <w:r/>
            <w:r>
              <w:rPr>
                <w:rFonts w:ascii="Aptos" w:hAnsi="Aptos"/>
                <w:sz w:val="15"/>
              </w:rPr>
              <w:t>TRUSTEE_CHANGE</w:t>
            </w:r>
          </w:p>
        </w:tc>
        <w:tc>
          <w:tcPr>
            <w:tcW w:type="dxa" w:w="6463"/>
            <w:tcMar>
              <w:top w:w="60" w:type="dxa"/>
              <w:start w:w="60" w:type="dxa"/>
              <w:bottom w:w="60" w:type="dxa"/>
              <w:end w:w="60" w:type="dxa"/>
            </w:tcMar>
            <w:vAlign w:val="top"/>
          </w:tcPr>
          <w:p>
            <w:r/>
            <w:r>
              <w:rPr>
                <w:rFonts w:ascii="Aptos" w:hAnsi="Aptos"/>
                <w:sz w:val="15"/>
              </w:rPr>
              <w:t>Changement de trustee</w:t>
            </w:r>
          </w:p>
        </w:tc>
      </w:tr>
      <w:tr>
        <w:tc>
          <w:tcPr>
            <w:tcW w:type="dxa" w:w="2835"/>
            <w:tcMar>
              <w:top w:w="60" w:type="dxa"/>
              <w:start w:w="60" w:type="dxa"/>
              <w:bottom w:w="60" w:type="dxa"/>
              <w:end w:w="60" w:type="dxa"/>
            </w:tcMar>
            <w:vAlign w:val="top"/>
          </w:tcPr>
          <w:p>
            <w:r/>
            <w:r>
              <w:rPr>
                <w:rFonts w:ascii="Aptos" w:hAnsi="Aptos"/>
                <w:sz w:val="15"/>
              </w:rPr>
              <w:t>CUSTODIAN_CHANGE</w:t>
            </w:r>
          </w:p>
        </w:tc>
        <w:tc>
          <w:tcPr>
            <w:tcW w:type="dxa" w:w="6463"/>
            <w:tcMar>
              <w:top w:w="60" w:type="dxa"/>
              <w:start w:w="60" w:type="dxa"/>
              <w:bottom w:w="60" w:type="dxa"/>
              <w:end w:w="60" w:type="dxa"/>
            </w:tcMar>
            <w:vAlign w:val="top"/>
          </w:tcPr>
          <w:p>
            <w:r/>
            <w:r>
              <w:rPr>
                <w:rFonts w:ascii="Aptos" w:hAnsi="Aptos"/>
                <w:sz w:val="15"/>
              </w:rPr>
              <w:t>Changement de custodian</w:t>
            </w:r>
          </w:p>
        </w:tc>
      </w:tr>
      <w:tr>
        <w:tc>
          <w:tcPr>
            <w:tcW w:type="dxa" w:w="2835"/>
            <w:tcMar>
              <w:top w:w="60" w:type="dxa"/>
              <w:start w:w="60" w:type="dxa"/>
              <w:bottom w:w="60" w:type="dxa"/>
              <w:end w:w="60" w:type="dxa"/>
            </w:tcMar>
            <w:vAlign w:val="top"/>
          </w:tcPr>
          <w:p>
            <w:r/>
            <w:r>
              <w:rPr>
                <w:rFonts w:ascii="Aptos" w:hAnsi="Aptos"/>
                <w:sz w:val="15"/>
              </w:rPr>
              <w:t>AUDITOR_CHANGE</w:t>
            </w:r>
          </w:p>
        </w:tc>
        <w:tc>
          <w:tcPr>
            <w:tcW w:type="dxa" w:w="6463"/>
            <w:tcMar>
              <w:top w:w="60" w:type="dxa"/>
              <w:start w:w="60" w:type="dxa"/>
              <w:bottom w:w="60" w:type="dxa"/>
              <w:end w:w="60" w:type="dxa"/>
            </w:tcMar>
            <w:vAlign w:val="top"/>
          </w:tcPr>
          <w:p>
            <w:r/>
            <w:r>
              <w:rPr>
                <w:rFonts w:ascii="Aptos" w:hAnsi="Aptos"/>
                <w:sz w:val="15"/>
              </w:rPr>
              <w:t>Changement d’auditeur</w:t>
            </w:r>
          </w:p>
        </w:tc>
      </w:tr>
      <w:tr>
        <w:tc>
          <w:tcPr>
            <w:tcW w:type="dxa" w:w="2835"/>
            <w:tcMar>
              <w:top w:w="60" w:type="dxa"/>
              <w:start w:w="60" w:type="dxa"/>
              <w:bottom w:w="60" w:type="dxa"/>
              <w:end w:w="60" w:type="dxa"/>
            </w:tcMar>
            <w:vAlign w:val="top"/>
          </w:tcPr>
          <w:p>
            <w:r/>
            <w:r>
              <w:rPr>
                <w:rFonts w:ascii="Aptos" w:hAnsi="Aptos"/>
                <w:sz w:val="15"/>
              </w:rPr>
              <w:t>FEE_CHANGE</w:t>
            </w:r>
          </w:p>
        </w:tc>
        <w:tc>
          <w:tcPr>
            <w:tcW w:type="dxa" w:w="6463"/>
            <w:tcMar>
              <w:top w:w="60" w:type="dxa"/>
              <w:start w:w="60" w:type="dxa"/>
              <w:bottom w:w="60" w:type="dxa"/>
              <w:end w:w="60" w:type="dxa"/>
            </w:tcMar>
            <w:vAlign w:val="top"/>
          </w:tcPr>
          <w:p>
            <w:r/>
            <w:r>
              <w:rPr>
                <w:rFonts w:ascii="Aptos" w:hAnsi="Aptos"/>
                <w:sz w:val="15"/>
              </w:rPr>
              <w:t>Changement de frais</w:t>
            </w:r>
          </w:p>
        </w:tc>
      </w:tr>
      <w:tr>
        <w:tc>
          <w:tcPr>
            <w:tcW w:type="dxa" w:w="2835"/>
            <w:tcMar>
              <w:top w:w="60" w:type="dxa"/>
              <w:start w:w="60" w:type="dxa"/>
              <w:bottom w:w="60" w:type="dxa"/>
              <w:end w:w="60" w:type="dxa"/>
            </w:tcMar>
            <w:vAlign w:val="top"/>
          </w:tcPr>
          <w:p>
            <w:r/>
            <w:r>
              <w:rPr>
                <w:rFonts w:ascii="Aptos" w:hAnsi="Aptos"/>
                <w:sz w:val="15"/>
              </w:rPr>
              <w:t>CORRECTION</w:t>
            </w:r>
          </w:p>
        </w:tc>
        <w:tc>
          <w:tcPr>
            <w:tcW w:type="dxa" w:w="6463"/>
            <w:tcMar>
              <w:top w:w="60" w:type="dxa"/>
              <w:start w:w="60" w:type="dxa"/>
              <w:bottom w:w="60" w:type="dxa"/>
              <w:end w:w="60" w:type="dxa"/>
            </w:tcMar>
            <w:vAlign w:val="top"/>
          </w:tcPr>
          <w:p>
            <w:r/>
            <w:r>
              <w:rPr>
                <w:rFonts w:ascii="Aptos" w:hAnsi="Aptos"/>
                <w:sz w:val="15"/>
              </w:rPr>
              <w:t>Correction d’une publication ou d’un document</w:t>
            </w:r>
          </w:p>
        </w:tc>
      </w:tr>
    </w:tbl>
    <w:p>
      <w:pPr>
        <w:widowControl/>
        <w:spacing w:after="0"/>
      </w:pPr>
    </w:p>
    <w:p>
      <w:pPr>
        <w:pStyle w:val="Heading2"/>
        <w:widowControl/>
      </w:pPr>
      <w:r>
        <w:t>9.2 Champs d’un événement</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835"/>
            <w:shd w:fill="D9EAF2"/>
            <w:tcMar>
              <w:top w:w="70" w:type="dxa"/>
              <w:start w:w="70" w:type="dxa"/>
              <w:bottom w:w="70" w:type="dxa"/>
              <w:end w:w="70" w:type="dxa"/>
            </w:tcMar>
            <w:vAlign w:val="center"/>
          </w:tcPr>
          <w:p>
            <w:r/>
            <w:r>
              <w:rPr>
                <w:rFonts w:ascii="Aptos" w:hAnsi="Aptos"/>
                <w:b/>
                <w:color w:val="123E5E"/>
                <w:sz w:val="15"/>
              </w:rPr>
              <w:t>Champ</w:t>
            </w:r>
          </w:p>
        </w:tc>
        <w:tc>
          <w:tcPr>
            <w:tcW w:type="dxa" w:w="6463"/>
            <w:shd w:fill="D9EAF2"/>
            <w:tcMar>
              <w:top w:w="70" w:type="dxa"/>
              <w:start w:w="70" w:type="dxa"/>
              <w:bottom w:w="70" w:type="dxa"/>
              <w:end w:w="70" w:type="dxa"/>
            </w:tcMar>
            <w:vAlign w:val="center"/>
          </w:tcPr>
          <w:p>
            <w:r/>
            <w:r>
              <w:rPr>
                <w:rFonts w:ascii="Aptos" w:hAnsi="Aptos"/>
                <w:b/>
                <w:color w:val="123E5E"/>
                <w:sz w:val="15"/>
              </w:rPr>
              <w:t>Description</w:t>
            </w:r>
          </w:p>
        </w:tc>
      </w:tr>
      <w:tr>
        <w:tc>
          <w:tcPr>
            <w:tcW w:type="dxa" w:w="2835"/>
            <w:tcMar>
              <w:top w:w="60" w:type="dxa"/>
              <w:start w:w="60" w:type="dxa"/>
              <w:bottom w:w="60" w:type="dxa"/>
              <w:end w:w="60" w:type="dxa"/>
            </w:tcMar>
            <w:vAlign w:val="top"/>
          </w:tcPr>
          <w:p>
            <w:r/>
            <w:r>
              <w:rPr>
                <w:rFonts w:ascii="Aptos" w:hAnsi="Aptos"/>
                <w:sz w:val="15"/>
              </w:rPr>
              <w:t>event_id</w:t>
            </w:r>
          </w:p>
        </w:tc>
        <w:tc>
          <w:tcPr>
            <w:tcW w:type="dxa" w:w="6463"/>
            <w:tcMar>
              <w:top w:w="60" w:type="dxa"/>
              <w:start w:w="60" w:type="dxa"/>
              <w:bottom w:w="60" w:type="dxa"/>
              <w:end w:w="60" w:type="dxa"/>
            </w:tcMar>
            <w:vAlign w:val="top"/>
          </w:tcPr>
          <w:p>
            <w:r/>
            <w:r>
              <w:rPr>
                <w:rFonts w:ascii="Aptos" w:hAnsi="Aptos"/>
                <w:sz w:val="15"/>
              </w:rPr>
              <w:t>Identifiant</w:t>
            </w:r>
          </w:p>
        </w:tc>
      </w:tr>
      <w:tr>
        <w:tc>
          <w:tcPr>
            <w:tcW w:type="dxa" w:w="2835"/>
            <w:tcMar>
              <w:top w:w="60" w:type="dxa"/>
              <w:start w:w="60" w:type="dxa"/>
              <w:bottom w:w="60" w:type="dxa"/>
              <w:end w:w="60" w:type="dxa"/>
            </w:tcMar>
            <w:vAlign w:val="top"/>
          </w:tcPr>
          <w:p>
            <w:r/>
            <w:r>
              <w:rPr>
                <w:rFonts w:ascii="Aptos" w:hAnsi="Aptos"/>
                <w:sz w:val="15"/>
              </w:rPr>
              <w:t>event_type</w:t>
            </w:r>
          </w:p>
        </w:tc>
        <w:tc>
          <w:tcPr>
            <w:tcW w:type="dxa" w:w="6463"/>
            <w:tcMar>
              <w:top w:w="60" w:type="dxa"/>
              <w:start w:w="60" w:type="dxa"/>
              <w:bottom w:w="60" w:type="dxa"/>
              <w:end w:w="60" w:type="dxa"/>
            </w:tcMar>
            <w:vAlign w:val="top"/>
          </w:tcPr>
          <w:p>
            <w:r/>
            <w:r>
              <w:rPr>
                <w:rFonts w:ascii="Aptos" w:hAnsi="Aptos"/>
                <w:sz w:val="15"/>
              </w:rPr>
              <w:t>Code contrôlé</w:t>
            </w:r>
          </w:p>
        </w:tc>
      </w:tr>
      <w:tr>
        <w:tc>
          <w:tcPr>
            <w:tcW w:type="dxa" w:w="2835"/>
            <w:tcMar>
              <w:top w:w="60" w:type="dxa"/>
              <w:start w:w="60" w:type="dxa"/>
              <w:bottom w:w="60" w:type="dxa"/>
              <w:end w:w="60" w:type="dxa"/>
            </w:tcMar>
            <w:vAlign w:val="top"/>
          </w:tcPr>
          <w:p>
            <w:r/>
            <w:r>
              <w:rPr>
                <w:rFonts w:ascii="Aptos" w:hAnsi="Aptos"/>
                <w:sz w:val="15"/>
              </w:rPr>
              <w:t>canonical_fund_id</w:t>
            </w:r>
          </w:p>
        </w:tc>
        <w:tc>
          <w:tcPr>
            <w:tcW w:type="dxa" w:w="6463"/>
            <w:tcMar>
              <w:top w:w="60" w:type="dxa"/>
              <w:start w:w="60" w:type="dxa"/>
              <w:bottom w:w="60" w:type="dxa"/>
              <w:end w:w="60" w:type="dxa"/>
            </w:tcMar>
            <w:vAlign w:val="top"/>
          </w:tcPr>
          <w:p>
            <w:r/>
            <w:r>
              <w:rPr>
                <w:rFonts w:ascii="Aptos" w:hAnsi="Aptos"/>
                <w:sz w:val="15"/>
              </w:rPr>
              <w:t>Fonds affecté</w:t>
            </w:r>
          </w:p>
        </w:tc>
      </w:tr>
      <w:tr>
        <w:tc>
          <w:tcPr>
            <w:tcW w:type="dxa" w:w="2835"/>
            <w:tcMar>
              <w:top w:w="60" w:type="dxa"/>
              <w:start w:w="60" w:type="dxa"/>
              <w:bottom w:w="60" w:type="dxa"/>
              <w:end w:w="60" w:type="dxa"/>
            </w:tcMar>
            <w:vAlign w:val="top"/>
          </w:tcPr>
          <w:p>
            <w:r/>
            <w:r>
              <w:rPr>
                <w:rFonts w:ascii="Aptos" w:hAnsi="Aptos"/>
                <w:sz w:val="15"/>
              </w:rPr>
              <w:t>related_fund_id</w:t>
            </w:r>
          </w:p>
        </w:tc>
        <w:tc>
          <w:tcPr>
            <w:tcW w:type="dxa" w:w="6463"/>
            <w:tcMar>
              <w:top w:w="60" w:type="dxa"/>
              <w:start w:w="60" w:type="dxa"/>
              <w:bottom w:w="60" w:type="dxa"/>
              <w:end w:w="60" w:type="dxa"/>
            </w:tcMar>
            <w:vAlign w:val="top"/>
          </w:tcPr>
          <w:p>
            <w:r/>
            <w:r>
              <w:rPr>
                <w:rFonts w:ascii="Aptos" w:hAnsi="Aptos"/>
                <w:sz w:val="15"/>
              </w:rPr>
              <w:t>Fonds absorbant, fusionné ou cible</w:t>
            </w:r>
          </w:p>
        </w:tc>
      </w:tr>
      <w:tr>
        <w:tc>
          <w:tcPr>
            <w:tcW w:type="dxa" w:w="2835"/>
            <w:tcMar>
              <w:top w:w="60" w:type="dxa"/>
              <w:start w:w="60" w:type="dxa"/>
              <w:bottom w:w="60" w:type="dxa"/>
              <w:end w:w="60" w:type="dxa"/>
            </w:tcMar>
            <w:vAlign w:val="top"/>
          </w:tcPr>
          <w:p>
            <w:r/>
            <w:r>
              <w:rPr>
                <w:rFonts w:ascii="Aptos" w:hAnsi="Aptos"/>
                <w:sz w:val="15"/>
              </w:rPr>
              <w:t>effective_date</w:t>
            </w:r>
          </w:p>
        </w:tc>
        <w:tc>
          <w:tcPr>
            <w:tcW w:type="dxa" w:w="6463"/>
            <w:tcMar>
              <w:top w:w="60" w:type="dxa"/>
              <w:start w:w="60" w:type="dxa"/>
              <w:bottom w:w="60" w:type="dxa"/>
              <w:end w:w="60" w:type="dxa"/>
            </w:tcMar>
            <w:vAlign w:val="top"/>
          </w:tcPr>
          <w:p>
            <w:r/>
            <w:r>
              <w:rPr>
                <w:rFonts w:ascii="Aptos" w:hAnsi="Aptos"/>
                <w:sz w:val="15"/>
              </w:rPr>
              <w:t>Date d’effet</w:t>
            </w:r>
          </w:p>
        </w:tc>
      </w:tr>
      <w:tr>
        <w:tc>
          <w:tcPr>
            <w:tcW w:type="dxa" w:w="2835"/>
            <w:tcMar>
              <w:top w:w="60" w:type="dxa"/>
              <w:start w:w="60" w:type="dxa"/>
              <w:bottom w:w="60" w:type="dxa"/>
              <w:end w:w="60" w:type="dxa"/>
            </w:tcMar>
            <w:vAlign w:val="top"/>
          </w:tcPr>
          <w:p>
            <w:r/>
            <w:r>
              <w:rPr>
                <w:rFonts w:ascii="Aptos" w:hAnsi="Aptos"/>
                <w:sz w:val="15"/>
              </w:rPr>
              <w:t>announcement_date</w:t>
            </w:r>
          </w:p>
        </w:tc>
        <w:tc>
          <w:tcPr>
            <w:tcW w:type="dxa" w:w="6463"/>
            <w:tcMar>
              <w:top w:w="60" w:type="dxa"/>
              <w:start w:w="60" w:type="dxa"/>
              <w:bottom w:w="60" w:type="dxa"/>
              <w:end w:w="60" w:type="dxa"/>
            </w:tcMar>
            <w:vAlign w:val="top"/>
          </w:tcPr>
          <w:p>
            <w:r/>
            <w:r>
              <w:rPr>
                <w:rFonts w:ascii="Aptos" w:hAnsi="Aptos"/>
                <w:sz w:val="15"/>
              </w:rPr>
              <w:t>Date d’annonce</w:t>
            </w:r>
          </w:p>
        </w:tc>
      </w:tr>
      <w:tr>
        <w:tc>
          <w:tcPr>
            <w:tcW w:type="dxa" w:w="2835"/>
            <w:tcMar>
              <w:top w:w="60" w:type="dxa"/>
              <w:start w:w="60" w:type="dxa"/>
              <w:bottom w:w="60" w:type="dxa"/>
              <w:end w:w="60" w:type="dxa"/>
            </w:tcMar>
            <w:vAlign w:val="top"/>
          </w:tcPr>
          <w:p>
            <w:r/>
            <w:r>
              <w:rPr>
                <w:rFonts w:ascii="Aptos" w:hAnsi="Aptos"/>
                <w:sz w:val="15"/>
              </w:rPr>
              <w:t>date_precision</w:t>
            </w:r>
          </w:p>
        </w:tc>
        <w:tc>
          <w:tcPr>
            <w:tcW w:type="dxa" w:w="6463"/>
            <w:tcMar>
              <w:top w:w="60" w:type="dxa"/>
              <w:start w:w="60" w:type="dxa"/>
              <w:bottom w:w="60" w:type="dxa"/>
              <w:end w:w="60" w:type="dxa"/>
            </w:tcMar>
            <w:vAlign w:val="top"/>
          </w:tcPr>
          <w:p>
            <w:r/>
            <w:r>
              <w:rPr>
                <w:rFonts w:ascii="Aptos" w:hAnsi="Aptos"/>
                <w:sz w:val="15"/>
              </w:rPr>
              <w:t>day/month/year, month/year, year</w:t>
            </w:r>
          </w:p>
        </w:tc>
      </w:tr>
      <w:tr>
        <w:tc>
          <w:tcPr>
            <w:tcW w:type="dxa" w:w="2835"/>
            <w:tcMar>
              <w:top w:w="60" w:type="dxa"/>
              <w:start w:w="60" w:type="dxa"/>
              <w:bottom w:w="60" w:type="dxa"/>
              <w:end w:w="60" w:type="dxa"/>
            </w:tcMar>
            <w:vAlign w:val="top"/>
          </w:tcPr>
          <w:p>
            <w:r/>
            <w:r>
              <w:rPr>
                <w:rFonts w:ascii="Aptos" w:hAnsi="Aptos"/>
                <w:sz w:val="15"/>
              </w:rPr>
              <w:t>status</w:t>
            </w:r>
          </w:p>
        </w:tc>
        <w:tc>
          <w:tcPr>
            <w:tcW w:type="dxa" w:w="6463"/>
            <w:tcMar>
              <w:top w:w="60" w:type="dxa"/>
              <w:start w:w="60" w:type="dxa"/>
              <w:bottom w:w="60" w:type="dxa"/>
              <w:end w:w="60" w:type="dxa"/>
            </w:tcMar>
            <w:vAlign w:val="top"/>
          </w:tcPr>
          <w:p>
            <w:r/>
            <w:r>
              <w:rPr>
                <w:rFonts w:ascii="Aptos" w:hAnsi="Aptos"/>
                <w:sz w:val="15"/>
              </w:rPr>
              <w:t>confirmed/probable/disputed</w:t>
            </w:r>
          </w:p>
        </w:tc>
      </w:tr>
      <w:tr>
        <w:tc>
          <w:tcPr>
            <w:tcW w:type="dxa" w:w="2835"/>
            <w:tcMar>
              <w:top w:w="60" w:type="dxa"/>
              <w:start w:w="60" w:type="dxa"/>
              <w:bottom w:w="60" w:type="dxa"/>
              <w:end w:w="60" w:type="dxa"/>
            </w:tcMar>
            <w:vAlign w:val="top"/>
          </w:tcPr>
          <w:p>
            <w:r/>
            <w:r>
              <w:rPr>
                <w:rFonts w:ascii="Aptos" w:hAnsi="Aptos"/>
                <w:sz w:val="15"/>
              </w:rPr>
              <w:t>description</w:t>
            </w:r>
          </w:p>
        </w:tc>
        <w:tc>
          <w:tcPr>
            <w:tcW w:type="dxa" w:w="6463"/>
            <w:tcMar>
              <w:top w:w="60" w:type="dxa"/>
              <w:start w:w="60" w:type="dxa"/>
              <w:bottom w:w="60" w:type="dxa"/>
              <w:end w:w="60" w:type="dxa"/>
            </w:tcMar>
            <w:vAlign w:val="top"/>
          </w:tcPr>
          <w:p>
            <w:r/>
            <w:r>
              <w:rPr>
                <w:rFonts w:ascii="Aptos" w:hAnsi="Aptos"/>
                <w:sz w:val="15"/>
              </w:rPr>
              <w:t>Fait neutre</w:t>
            </w:r>
          </w:p>
        </w:tc>
      </w:tr>
      <w:tr>
        <w:tc>
          <w:tcPr>
            <w:tcW w:type="dxa" w:w="2835"/>
            <w:tcMar>
              <w:top w:w="60" w:type="dxa"/>
              <w:start w:w="60" w:type="dxa"/>
              <w:bottom w:w="60" w:type="dxa"/>
              <w:end w:w="60" w:type="dxa"/>
            </w:tcMar>
            <w:vAlign w:val="top"/>
          </w:tcPr>
          <w:p>
            <w:r/>
            <w:r>
              <w:rPr>
                <w:rFonts w:ascii="Aptos" w:hAnsi="Aptos"/>
                <w:sz w:val="15"/>
              </w:rPr>
              <w:t>before_state</w:t>
            </w:r>
          </w:p>
        </w:tc>
        <w:tc>
          <w:tcPr>
            <w:tcW w:type="dxa" w:w="6463"/>
            <w:tcMar>
              <w:top w:w="60" w:type="dxa"/>
              <w:start w:w="60" w:type="dxa"/>
              <w:bottom w:w="60" w:type="dxa"/>
              <w:end w:w="60" w:type="dxa"/>
            </w:tcMar>
            <w:vAlign w:val="top"/>
          </w:tcPr>
          <w:p>
            <w:r/>
            <w:r>
              <w:rPr>
                <w:rFonts w:ascii="Aptos" w:hAnsi="Aptos"/>
                <w:sz w:val="15"/>
              </w:rPr>
              <w:t>État avant</w:t>
            </w:r>
          </w:p>
        </w:tc>
      </w:tr>
      <w:tr>
        <w:tc>
          <w:tcPr>
            <w:tcW w:type="dxa" w:w="2835"/>
            <w:tcMar>
              <w:top w:w="60" w:type="dxa"/>
              <w:start w:w="60" w:type="dxa"/>
              <w:bottom w:w="60" w:type="dxa"/>
              <w:end w:w="60" w:type="dxa"/>
            </w:tcMar>
            <w:vAlign w:val="top"/>
          </w:tcPr>
          <w:p>
            <w:r/>
            <w:r>
              <w:rPr>
                <w:rFonts w:ascii="Aptos" w:hAnsi="Aptos"/>
                <w:sz w:val="15"/>
              </w:rPr>
              <w:t>after_state</w:t>
            </w:r>
          </w:p>
        </w:tc>
        <w:tc>
          <w:tcPr>
            <w:tcW w:type="dxa" w:w="6463"/>
            <w:tcMar>
              <w:top w:w="60" w:type="dxa"/>
              <w:start w:w="60" w:type="dxa"/>
              <w:bottom w:w="60" w:type="dxa"/>
              <w:end w:w="60" w:type="dxa"/>
            </w:tcMar>
            <w:vAlign w:val="top"/>
          </w:tcPr>
          <w:p>
            <w:r/>
            <w:r>
              <w:rPr>
                <w:rFonts w:ascii="Aptos" w:hAnsi="Aptos"/>
                <w:sz w:val="15"/>
              </w:rPr>
              <w:t>État après</w:t>
            </w:r>
          </w:p>
        </w:tc>
      </w:tr>
      <w:tr>
        <w:tc>
          <w:tcPr>
            <w:tcW w:type="dxa" w:w="2835"/>
            <w:tcMar>
              <w:top w:w="60" w:type="dxa"/>
              <w:start w:w="60" w:type="dxa"/>
              <w:bottom w:w="60" w:type="dxa"/>
              <w:end w:w="60" w:type="dxa"/>
            </w:tcMar>
            <w:vAlign w:val="top"/>
          </w:tcPr>
          <w:p>
            <w:r/>
            <w:r>
              <w:rPr>
                <w:rFonts w:ascii="Aptos" w:hAnsi="Aptos"/>
                <w:sz w:val="15"/>
              </w:rPr>
              <w:t>source_document_ids</w:t>
            </w:r>
          </w:p>
        </w:tc>
        <w:tc>
          <w:tcPr>
            <w:tcW w:type="dxa" w:w="6463"/>
            <w:tcMar>
              <w:top w:w="60" w:type="dxa"/>
              <w:start w:w="60" w:type="dxa"/>
              <w:bottom w:w="60" w:type="dxa"/>
              <w:end w:w="60" w:type="dxa"/>
            </w:tcMar>
            <w:vAlign w:val="top"/>
          </w:tcPr>
          <w:p>
            <w:r/>
            <w:r>
              <w:rPr>
                <w:rFonts w:ascii="Aptos" w:hAnsi="Aptos"/>
                <w:sz w:val="15"/>
              </w:rPr>
              <w:t>Preuves</w:t>
            </w:r>
          </w:p>
        </w:tc>
      </w:tr>
      <w:tr>
        <w:tc>
          <w:tcPr>
            <w:tcW w:type="dxa" w:w="2835"/>
            <w:tcMar>
              <w:top w:w="60" w:type="dxa"/>
              <w:start w:w="60" w:type="dxa"/>
              <w:bottom w:w="60" w:type="dxa"/>
              <w:end w:w="60" w:type="dxa"/>
            </w:tcMar>
            <w:vAlign w:val="top"/>
          </w:tcPr>
          <w:p>
            <w:r/>
            <w:r>
              <w:rPr>
                <w:rFonts w:ascii="Aptos" w:hAnsi="Aptos"/>
                <w:sz w:val="15"/>
              </w:rPr>
              <w:t>supporting_quotes</w:t>
            </w:r>
          </w:p>
        </w:tc>
        <w:tc>
          <w:tcPr>
            <w:tcW w:type="dxa" w:w="6463"/>
            <w:tcMar>
              <w:top w:w="60" w:type="dxa"/>
              <w:start w:w="60" w:type="dxa"/>
              <w:bottom w:w="60" w:type="dxa"/>
              <w:end w:w="60" w:type="dxa"/>
            </w:tcMar>
            <w:vAlign w:val="top"/>
          </w:tcPr>
          <w:p>
            <w:r/>
            <w:r>
              <w:rPr>
                <w:rFonts w:ascii="Aptos" w:hAnsi="Aptos"/>
                <w:sz w:val="15"/>
              </w:rPr>
              <w:t>Extraits courts</w:t>
            </w:r>
          </w:p>
        </w:tc>
      </w:tr>
      <w:tr>
        <w:tc>
          <w:tcPr>
            <w:tcW w:type="dxa" w:w="2835"/>
            <w:tcMar>
              <w:top w:w="60" w:type="dxa"/>
              <w:start w:w="60" w:type="dxa"/>
              <w:bottom w:w="60" w:type="dxa"/>
              <w:end w:w="60" w:type="dxa"/>
            </w:tcMar>
            <w:vAlign w:val="top"/>
          </w:tcPr>
          <w:p>
            <w:r/>
            <w:r>
              <w:rPr>
                <w:rFonts w:ascii="Aptos" w:hAnsi="Aptos"/>
                <w:sz w:val="15"/>
              </w:rPr>
              <w:t>confidence</w:t>
            </w:r>
          </w:p>
        </w:tc>
        <w:tc>
          <w:tcPr>
            <w:tcW w:type="dxa" w:w="6463"/>
            <w:tcMar>
              <w:top w:w="60" w:type="dxa"/>
              <w:start w:w="60" w:type="dxa"/>
              <w:bottom w:w="60" w:type="dxa"/>
              <w:end w:w="60" w:type="dxa"/>
            </w:tcMar>
            <w:vAlign w:val="top"/>
          </w:tcPr>
          <w:p>
            <w:r/>
            <w:r>
              <w:rPr>
                <w:rFonts w:ascii="Aptos" w:hAnsi="Aptos"/>
                <w:sz w:val="15"/>
              </w:rPr>
              <w:t>Score</w:t>
            </w:r>
          </w:p>
        </w:tc>
      </w:tr>
      <w:tr>
        <w:tc>
          <w:tcPr>
            <w:tcW w:type="dxa" w:w="2835"/>
            <w:tcMar>
              <w:top w:w="60" w:type="dxa"/>
              <w:start w:w="60" w:type="dxa"/>
              <w:bottom w:w="60" w:type="dxa"/>
              <w:end w:w="60" w:type="dxa"/>
            </w:tcMar>
            <w:vAlign w:val="top"/>
          </w:tcPr>
          <w:p>
            <w:r/>
            <w:r>
              <w:rPr>
                <w:rFonts w:ascii="Aptos" w:hAnsi="Aptos"/>
                <w:sz w:val="15"/>
              </w:rPr>
              <w:t>reviewer</w:t>
            </w:r>
          </w:p>
        </w:tc>
        <w:tc>
          <w:tcPr>
            <w:tcW w:type="dxa" w:w="6463"/>
            <w:tcMar>
              <w:top w:w="60" w:type="dxa"/>
              <w:start w:w="60" w:type="dxa"/>
              <w:bottom w:w="60" w:type="dxa"/>
              <w:end w:w="60" w:type="dxa"/>
            </w:tcMar>
            <w:vAlign w:val="top"/>
          </w:tcPr>
          <w:p>
            <w:r/>
            <w:r>
              <w:rPr>
                <w:rFonts w:ascii="Aptos" w:hAnsi="Aptos"/>
                <w:sz w:val="15"/>
              </w:rPr>
              <w:t>Validation</w:t>
            </w:r>
          </w:p>
        </w:tc>
      </w:tr>
      <w:tr>
        <w:tc>
          <w:tcPr>
            <w:tcW w:type="dxa" w:w="2835"/>
            <w:tcMar>
              <w:top w:w="60" w:type="dxa"/>
              <w:start w:w="60" w:type="dxa"/>
              <w:bottom w:w="60" w:type="dxa"/>
              <w:end w:w="60" w:type="dxa"/>
            </w:tcMar>
            <w:vAlign w:val="top"/>
          </w:tcPr>
          <w:p>
            <w:r/>
            <w:r>
              <w:rPr>
                <w:rFonts w:ascii="Aptos" w:hAnsi="Aptos"/>
                <w:sz w:val="15"/>
              </w:rPr>
              <w:t>review_date</w:t>
            </w:r>
          </w:p>
        </w:tc>
        <w:tc>
          <w:tcPr>
            <w:tcW w:type="dxa" w:w="6463"/>
            <w:tcMar>
              <w:top w:w="60" w:type="dxa"/>
              <w:start w:w="60" w:type="dxa"/>
              <w:bottom w:w="60" w:type="dxa"/>
              <w:end w:w="60" w:type="dxa"/>
            </w:tcMar>
            <w:vAlign w:val="top"/>
          </w:tcPr>
          <w:p>
            <w:r/>
            <w:r>
              <w:rPr>
                <w:rFonts w:ascii="Aptos" w:hAnsi="Aptos"/>
                <w:sz w:val="15"/>
              </w:rPr>
              <w:t>Date</w:t>
            </w:r>
          </w:p>
        </w:tc>
      </w:tr>
    </w:tbl>
    <w:p>
      <w:pPr>
        <w:widowControl/>
        <w:spacing w:after="0"/>
      </w:pPr>
    </w:p>
    <w:p>
      <w:pPr>
        <w:pStyle w:val="Heading2"/>
        <w:widowControl/>
      </w:pPr>
      <w:r>
        <w:t>9.3 Règles de causalité</w:t>
      </w:r>
    </w:p>
    <w:p>
      <w:pPr>
        <w:pStyle w:val="ListBullet"/>
        <w:widowControl/>
        <w:ind w:left="397" w:hanging="142"/>
      </w:pPr>
      <w:r>
        <w:rPr>
          <w:rFonts w:ascii="Aptos" w:hAnsi="Aptos"/>
          <w:sz w:val="18"/>
        </w:rPr>
        <w:t>Une disparition des fichiers Weekly ne suffit pas à conclure à une liquidation.</w:t>
      </w:r>
    </w:p>
    <w:p>
      <w:pPr>
        <w:pStyle w:val="ListBullet"/>
        <w:widowControl/>
        <w:ind w:left="397" w:hanging="142"/>
      </w:pPr>
      <w:r>
        <w:rPr>
          <w:rFonts w:ascii="Aptos" w:hAnsi="Aptos"/>
          <w:sz w:val="18"/>
        </w:rPr>
        <w:t>Un changement de gestionnaire dans le tableau SEC peut être un transfert, une erreur de saisie ou un changement de marque ; rechercher l’avis ou le rapport.</w:t>
      </w:r>
    </w:p>
    <w:p>
      <w:pPr>
        <w:pStyle w:val="ListBullet"/>
        <w:widowControl/>
        <w:ind w:left="397" w:hanging="142"/>
      </w:pPr>
      <w:r>
        <w:rPr>
          <w:rFonts w:ascii="Aptos" w:hAnsi="Aptos"/>
          <w:sz w:val="18"/>
        </w:rPr>
        <w:t>Une rupture de série de prix peut résulter d’un split, d’une classe distincte ou d’une erreur de parsing.</w:t>
      </w:r>
    </w:p>
    <w:p>
      <w:pPr>
        <w:pStyle w:val="ListBullet"/>
        <w:widowControl/>
        <w:ind w:left="397" w:hanging="142"/>
      </w:pPr>
      <w:r>
        <w:rPr>
          <w:rFonts w:ascii="Aptos" w:hAnsi="Aptos"/>
          <w:sz w:val="18"/>
        </w:rPr>
        <w:t>Une fusion doit identifier fonds source, fonds cible, date d’effet et traitement des unités si disponible.</w:t>
      </w:r>
    </w:p>
    <w:p>
      <w:pPr>
        <w:pStyle w:val="ListBullet"/>
        <w:widowControl/>
        <w:ind w:left="397" w:hanging="142"/>
      </w:pPr>
      <w:r>
        <w:rPr>
          <w:rFonts w:ascii="Aptos" w:hAnsi="Aptos"/>
          <w:sz w:val="18"/>
        </w:rPr>
        <w:t>Un changement de nom ne crée pas un nouveau fonds si la continuité juridique est prouvée ; l’ancien nom reste valide historiquement.</w:t>
      </w:r>
    </w:p>
    <w:p>
      <w:pPr>
        <w:pStyle w:val="ListBullet"/>
        <w:widowControl/>
        <w:ind w:left="397" w:hanging="142"/>
      </w:pPr>
      <w:r>
        <w:rPr>
          <w:rFonts w:ascii="Aptos" w:hAnsi="Aptos"/>
          <w:sz w:val="18"/>
        </w:rPr>
        <w:t>Une absorption entraîne généralement la fin de la série de l’absorbé et la continuité du fonds absorbant ; ne concaténer les séries que selon la méthode analytique définie.</w:t>
      </w:r>
    </w:p>
    <w:p>
      <w:pPr>
        <w:pStyle w:val="ListBullet"/>
        <w:widowControl/>
        <w:ind w:left="397" w:hanging="142"/>
      </w:pPr>
      <w:r>
        <w:rPr>
          <w:rFonts w:ascii="Aptos" w:hAnsi="Aptos"/>
          <w:sz w:val="18"/>
        </w:rPr>
        <w:t>Le statut actuel doit être calculé à partir du dernier événement confirmé, pas seulement d’un flag historique.</w:t>
      </w:r>
    </w:p>
    <w:p>
      <w:pPr>
        <w:pStyle w:val="Heading2"/>
        <w:widowControl/>
      </w:pPr>
      <w:r>
        <w:t>9.4 Dates distinctes à conserver</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948"/>
            <w:shd w:fill="D9EAF2"/>
            <w:tcMar>
              <w:top w:w="70" w:type="dxa"/>
              <w:start w:w="70" w:type="dxa"/>
              <w:bottom w:w="70" w:type="dxa"/>
              <w:end w:w="70" w:type="dxa"/>
            </w:tcMar>
            <w:vAlign w:val="center"/>
          </w:tcPr>
          <w:p>
            <w:r/>
            <w:r>
              <w:rPr>
                <w:rFonts w:ascii="Aptos" w:hAnsi="Aptos"/>
                <w:b/>
                <w:color w:val="123E5E"/>
                <w:sz w:val="16"/>
              </w:rPr>
              <w:t>Date</w:t>
            </w:r>
          </w:p>
        </w:tc>
        <w:tc>
          <w:tcPr>
            <w:tcW w:type="dxa" w:w="6350"/>
            <w:shd w:fill="D9EAF2"/>
            <w:tcMar>
              <w:top w:w="70" w:type="dxa"/>
              <w:start w:w="70" w:type="dxa"/>
              <w:bottom w:w="70" w:type="dxa"/>
              <w:end w:w="70" w:type="dxa"/>
            </w:tcMar>
            <w:vAlign w:val="center"/>
          </w:tcPr>
          <w:p>
            <w:r/>
            <w:r>
              <w:rPr>
                <w:rFonts w:ascii="Aptos" w:hAnsi="Aptos"/>
                <w:b/>
                <w:color w:val="123E5E"/>
                <w:sz w:val="16"/>
              </w:rPr>
              <w:t>Sens</w:t>
            </w:r>
          </w:p>
        </w:tc>
      </w:tr>
      <w:tr>
        <w:tc>
          <w:tcPr>
            <w:tcW w:type="dxa" w:w="2948"/>
            <w:tcMar>
              <w:top w:w="60" w:type="dxa"/>
              <w:start w:w="60" w:type="dxa"/>
              <w:bottom w:w="60" w:type="dxa"/>
              <w:end w:w="60" w:type="dxa"/>
            </w:tcMar>
            <w:vAlign w:val="top"/>
          </w:tcPr>
          <w:p>
            <w:r/>
            <w:r>
              <w:rPr>
                <w:rFonts w:ascii="Aptos" w:hAnsi="Aptos"/>
                <w:sz w:val="16"/>
              </w:rPr>
              <w:t>inception_date</w:t>
            </w:r>
          </w:p>
        </w:tc>
        <w:tc>
          <w:tcPr>
            <w:tcW w:type="dxa" w:w="6350"/>
            <w:tcMar>
              <w:top w:w="60" w:type="dxa"/>
              <w:start w:w="60" w:type="dxa"/>
              <w:bottom w:w="60" w:type="dxa"/>
              <w:end w:w="60" w:type="dxa"/>
            </w:tcMar>
            <w:vAlign w:val="top"/>
          </w:tcPr>
          <w:p>
            <w:r/>
            <w:r>
              <w:rPr>
                <w:rFonts w:ascii="Aptos" w:hAnsi="Aptos"/>
                <w:sz w:val="16"/>
              </w:rPr>
              <w:t>Date de création/lancement annoncée.</w:t>
            </w:r>
          </w:p>
        </w:tc>
      </w:tr>
      <w:tr>
        <w:tc>
          <w:tcPr>
            <w:tcW w:type="dxa" w:w="2948"/>
            <w:tcMar>
              <w:top w:w="60" w:type="dxa"/>
              <w:start w:w="60" w:type="dxa"/>
              <w:bottom w:w="60" w:type="dxa"/>
              <w:end w:w="60" w:type="dxa"/>
            </w:tcMar>
            <w:vAlign w:val="top"/>
          </w:tcPr>
          <w:p>
            <w:r/>
            <w:r>
              <w:rPr>
                <w:rFonts w:ascii="Aptos" w:hAnsi="Aptos"/>
                <w:sz w:val="16"/>
              </w:rPr>
              <w:t>sec_approval_date</w:t>
            </w:r>
          </w:p>
        </w:tc>
        <w:tc>
          <w:tcPr>
            <w:tcW w:type="dxa" w:w="6350"/>
            <w:tcMar>
              <w:top w:w="60" w:type="dxa"/>
              <w:start w:w="60" w:type="dxa"/>
              <w:bottom w:w="60" w:type="dxa"/>
              <w:end w:w="60" w:type="dxa"/>
            </w:tcMar>
            <w:vAlign w:val="top"/>
          </w:tcPr>
          <w:p>
            <w:r/>
            <w:r>
              <w:rPr>
                <w:rFonts w:ascii="Aptos" w:hAnsi="Aptos"/>
                <w:sz w:val="16"/>
              </w:rPr>
              <w:t>Approbation ou enregistrement SEC.</w:t>
            </w:r>
          </w:p>
        </w:tc>
      </w:tr>
      <w:tr>
        <w:tc>
          <w:tcPr>
            <w:tcW w:type="dxa" w:w="2948"/>
            <w:tcMar>
              <w:top w:w="60" w:type="dxa"/>
              <w:start w:w="60" w:type="dxa"/>
              <w:bottom w:w="60" w:type="dxa"/>
              <w:end w:w="60" w:type="dxa"/>
            </w:tcMar>
            <w:vAlign w:val="top"/>
          </w:tcPr>
          <w:p>
            <w:r/>
            <w:r>
              <w:rPr>
                <w:rFonts w:ascii="Aptos" w:hAnsi="Aptos"/>
                <w:sz w:val="16"/>
              </w:rPr>
              <w:t>commencement_date</w:t>
            </w:r>
          </w:p>
        </w:tc>
        <w:tc>
          <w:tcPr>
            <w:tcW w:type="dxa" w:w="6350"/>
            <w:tcMar>
              <w:top w:w="60" w:type="dxa"/>
              <w:start w:w="60" w:type="dxa"/>
              <w:bottom w:w="60" w:type="dxa"/>
              <w:end w:w="60" w:type="dxa"/>
            </w:tcMar>
            <w:vAlign w:val="top"/>
          </w:tcPr>
          <w:p>
            <w:r/>
            <w:r>
              <w:rPr>
                <w:rFonts w:ascii="Aptos" w:hAnsi="Aptos"/>
                <w:sz w:val="16"/>
              </w:rPr>
              <w:t>Début d’activité ou d’offre.</w:t>
            </w:r>
          </w:p>
        </w:tc>
      </w:tr>
      <w:tr>
        <w:tc>
          <w:tcPr>
            <w:tcW w:type="dxa" w:w="2948"/>
            <w:tcMar>
              <w:top w:w="60" w:type="dxa"/>
              <w:start w:w="60" w:type="dxa"/>
              <w:bottom w:w="60" w:type="dxa"/>
              <w:end w:w="60" w:type="dxa"/>
            </w:tcMar>
            <w:vAlign w:val="top"/>
          </w:tcPr>
          <w:p>
            <w:r/>
            <w:r>
              <w:rPr>
                <w:rFonts w:ascii="Aptos" w:hAnsi="Aptos"/>
                <w:sz w:val="16"/>
              </w:rPr>
              <w:t>first_valuation_date</w:t>
            </w:r>
          </w:p>
        </w:tc>
        <w:tc>
          <w:tcPr>
            <w:tcW w:type="dxa" w:w="6350"/>
            <w:tcMar>
              <w:top w:w="60" w:type="dxa"/>
              <w:start w:w="60" w:type="dxa"/>
              <w:bottom w:w="60" w:type="dxa"/>
              <w:end w:w="60" w:type="dxa"/>
            </w:tcMar>
            <w:vAlign w:val="top"/>
          </w:tcPr>
          <w:p>
            <w:r/>
            <w:r>
              <w:rPr>
                <w:rFonts w:ascii="Aptos" w:hAnsi="Aptos"/>
                <w:sz w:val="16"/>
              </w:rPr>
              <w:t>Première valeur disponible dans les archives.</w:t>
            </w:r>
          </w:p>
        </w:tc>
      </w:tr>
      <w:tr>
        <w:tc>
          <w:tcPr>
            <w:tcW w:type="dxa" w:w="2948"/>
            <w:tcMar>
              <w:top w:w="60" w:type="dxa"/>
              <w:start w:w="60" w:type="dxa"/>
              <w:bottom w:w="60" w:type="dxa"/>
              <w:end w:w="60" w:type="dxa"/>
            </w:tcMar>
            <w:vAlign w:val="top"/>
          </w:tcPr>
          <w:p>
            <w:r/>
            <w:r>
              <w:rPr>
                <w:rFonts w:ascii="Aptos" w:hAnsi="Aptos"/>
                <w:sz w:val="16"/>
              </w:rPr>
              <w:t>event_announcement_date</w:t>
            </w:r>
          </w:p>
        </w:tc>
        <w:tc>
          <w:tcPr>
            <w:tcW w:type="dxa" w:w="6350"/>
            <w:tcMar>
              <w:top w:w="60" w:type="dxa"/>
              <w:start w:w="60" w:type="dxa"/>
              <w:bottom w:w="60" w:type="dxa"/>
              <w:end w:w="60" w:type="dxa"/>
            </w:tcMar>
            <w:vAlign w:val="top"/>
          </w:tcPr>
          <w:p>
            <w:r/>
            <w:r>
              <w:rPr>
                <w:rFonts w:ascii="Aptos" w:hAnsi="Aptos"/>
                <w:sz w:val="16"/>
              </w:rPr>
              <w:t>Annonce publique.</w:t>
            </w:r>
          </w:p>
        </w:tc>
      </w:tr>
      <w:tr>
        <w:tc>
          <w:tcPr>
            <w:tcW w:type="dxa" w:w="2948"/>
            <w:tcMar>
              <w:top w:w="60" w:type="dxa"/>
              <w:start w:w="60" w:type="dxa"/>
              <w:bottom w:w="60" w:type="dxa"/>
              <w:end w:w="60" w:type="dxa"/>
            </w:tcMar>
            <w:vAlign w:val="top"/>
          </w:tcPr>
          <w:p>
            <w:r/>
            <w:r>
              <w:rPr>
                <w:rFonts w:ascii="Aptos" w:hAnsi="Aptos"/>
                <w:sz w:val="16"/>
              </w:rPr>
              <w:t>event_effective_date</w:t>
            </w:r>
          </w:p>
        </w:tc>
        <w:tc>
          <w:tcPr>
            <w:tcW w:type="dxa" w:w="6350"/>
            <w:tcMar>
              <w:top w:w="60" w:type="dxa"/>
              <w:start w:w="60" w:type="dxa"/>
              <w:bottom w:w="60" w:type="dxa"/>
              <w:end w:w="60" w:type="dxa"/>
            </w:tcMar>
            <w:vAlign w:val="top"/>
          </w:tcPr>
          <w:p>
            <w:r/>
            <w:r>
              <w:rPr>
                <w:rFonts w:ascii="Aptos" w:hAnsi="Aptos"/>
                <w:sz w:val="16"/>
              </w:rPr>
              <w:t>Date d’effet juridique/opérationnel.</w:t>
            </w:r>
          </w:p>
        </w:tc>
      </w:tr>
      <w:tr>
        <w:tc>
          <w:tcPr>
            <w:tcW w:type="dxa" w:w="2948"/>
            <w:tcMar>
              <w:top w:w="60" w:type="dxa"/>
              <w:start w:w="60" w:type="dxa"/>
              <w:bottom w:w="60" w:type="dxa"/>
              <w:end w:w="60" w:type="dxa"/>
            </w:tcMar>
            <w:vAlign w:val="top"/>
          </w:tcPr>
          <w:p>
            <w:r/>
            <w:r>
              <w:rPr>
                <w:rFonts w:ascii="Aptos" w:hAnsi="Aptos"/>
                <w:sz w:val="16"/>
              </w:rPr>
              <w:t>last_valuation_date</w:t>
            </w:r>
          </w:p>
        </w:tc>
        <w:tc>
          <w:tcPr>
            <w:tcW w:type="dxa" w:w="6350"/>
            <w:tcMar>
              <w:top w:w="60" w:type="dxa"/>
              <w:start w:w="60" w:type="dxa"/>
              <w:bottom w:w="60" w:type="dxa"/>
              <w:end w:w="60" w:type="dxa"/>
            </w:tcMar>
            <w:vAlign w:val="top"/>
          </w:tcPr>
          <w:p>
            <w:r/>
            <w:r>
              <w:rPr>
                <w:rFonts w:ascii="Aptos" w:hAnsi="Aptos"/>
                <w:sz w:val="16"/>
              </w:rPr>
              <w:t>Dernière publication connue.</w:t>
            </w:r>
          </w:p>
        </w:tc>
      </w:tr>
      <w:tr>
        <w:tc>
          <w:tcPr>
            <w:tcW w:type="dxa" w:w="2948"/>
            <w:tcMar>
              <w:top w:w="60" w:type="dxa"/>
              <w:start w:w="60" w:type="dxa"/>
              <w:bottom w:w="60" w:type="dxa"/>
              <w:end w:w="60" w:type="dxa"/>
            </w:tcMar>
            <w:vAlign w:val="top"/>
          </w:tcPr>
          <w:p>
            <w:r/>
            <w:r>
              <w:rPr>
                <w:rFonts w:ascii="Aptos" w:hAnsi="Aptos"/>
                <w:sz w:val="16"/>
              </w:rPr>
              <w:t>termination_date</w:t>
            </w:r>
          </w:p>
        </w:tc>
        <w:tc>
          <w:tcPr>
            <w:tcW w:type="dxa" w:w="6350"/>
            <w:tcMar>
              <w:top w:w="60" w:type="dxa"/>
              <w:start w:w="60" w:type="dxa"/>
              <w:bottom w:w="60" w:type="dxa"/>
              <w:end w:w="60" w:type="dxa"/>
            </w:tcMar>
            <w:vAlign w:val="top"/>
          </w:tcPr>
          <w:p>
            <w:r/>
            <w:r>
              <w:rPr>
                <w:rFonts w:ascii="Aptos" w:hAnsi="Aptos"/>
                <w:sz w:val="16"/>
              </w:rPr>
              <w:t>Fin ou dissolution confirmée.</w:t>
            </w:r>
          </w:p>
        </w:tc>
      </w:tr>
    </w:tbl>
    <w:p>
      <w:pPr>
        <w:widowControl/>
        <w:spacing w:after="0"/>
      </w:pPr>
    </w:p>
    <w:tbl>
      <w:tblPr>
        <w:tblW w:type="auto" w:w="0"/>
        <w:jc w:val="center"/>
        <w:tblLayout w:type="autofit"/>
        <w:tblLook w:firstColumn="1" w:firstRow="1" w:lastColumn="0" w:lastRow="0" w:noHBand="0" w:noVBand="1" w:val="04A0"/>
      </w:tblPr>
      <w:tblGrid>
        <w:gridCol w:w="10200"/>
      </w:tblGrid>
      <w:tr>
        <w:tc>
          <w:tcPr>
            <w:tcW w:type="dxa" w:w="10200"/>
            <w:shd w:fill="FFF2CC"/>
            <w:tcMar>
              <w:top w:w="140" w:type="dxa"/>
              <w:start w:w="150" w:type="dxa"/>
              <w:bottom w:w="140" w:type="dxa"/>
              <w:end w:w="150" w:type="dxa"/>
            </w:tcMar>
          </w:tcPr>
          <w:p>
            <w:r>
              <w:rPr>
                <w:rFonts w:ascii="Aptos" w:hAnsi="Aptos"/>
                <w:b/>
                <w:color w:val="123E5E"/>
                <w:sz w:val="18"/>
              </w:rPr>
              <w:t xml:space="preserve">Interdit — </w:t>
            </w:r>
            <w:r>
              <w:rPr>
                <w:rFonts w:ascii="Aptos" w:hAnsi="Aptos"/>
                <w:sz w:val="18"/>
              </w:rPr>
              <w:t>Ne jamais remplacer inception_date par first_valuation_date sans mention. Les deux dates peuvent différer de plusieurs mois ou années.</w:t>
            </w:r>
          </w:p>
        </w:tc>
      </w:tr>
    </w:tbl>
    <w:p>
      <w:pPr>
        <w:widowControl/>
        <w:spacing w:after="0"/>
      </w:pPr>
    </w:p>
    <w:p>
      <w:pPr>
        <w:pStyle w:val="Heading2"/>
        <w:widowControl/>
      </w:pPr>
      <w:r>
        <w:t>9.5 Colonne « Ce qui s’est passé »</w:t>
      </w:r>
    </w:p>
    <w:p>
      <w:pPr>
        <w:widowControl/>
      </w:pPr>
      <w:r>
        <w:rPr>
          <w:rFonts w:ascii="Aptos" w:hAnsi="Aptos"/>
          <w:sz w:val="19"/>
        </w:rPr>
        <w:t>La narration doit être factuelle, chronologique, datée et sourcée. Elle ne doit pas masquer les incertitudes.</w:t>
      </w:r>
    </w:p>
    <w:p>
      <w:pPr>
        <w:pStyle w:val="CodeNigeria"/>
        <w:widowControl/>
        <w:shd w:fill="F4F6F7"/>
      </w:pPr>
      <w:r>
        <w:rPr>
          <w:rFonts w:ascii="Liberation Mono" w:hAnsi="Liberation Mono"/>
          <w:color w:val="1E1E1E"/>
          <w:sz w:val="15"/>
        </w:rPr>
        <w:t>Créé/lancé le [date] sous le nom [nom historique], initialement géré par [gestionnaire].</w:t>
        <w:br/>
        <w:t>La première valorisation SEC retrouvée date du [date].</w:t>
        <w:br/>
        <w:t>Le [date], [événement confirmé] selon [source].</w:t>
        <w:br/>
        <w:t>À compter du [date], le fonds est publié sous le nom [nouveau nom] et géré par [gestionnaire].</w:t>
        <w:br/>
        <w:t>Statut au [date de vérification] : [actif / suspendu / liquidé / non résolu].</w:t>
        <w:br/>
        <w:t>Points non résolus : [liste courte].</w:t>
      </w:r>
    </w:p>
    <w:p>
      <w:pPr>
        <w:widowControl/>
      </w:pPr>
      <w:r>
        <w:br w:type="page"/>
      </w:r>
    </w:p>
    <w:p>
      <w:pPr>
        <w:widowControl/>
        <w:jc w:val="center"/>
      </w:pPr>
      <w:r>
        <w:rPr>
          <w:rFonts w:ascii="Aptos Display" w:hAnsi="Aptos Display"/>
          <w:b/>
          <w:color w:val="123E5E"/>
          <w:sz w:val="44"/>
        </w:rPr>
        <w:t>PARTIE X — MÉTHODE DE RECHERCHE DOCUMENTAIRE ET GOOGLE</w:t>
      </w:r>
    </w:p>
    <w:p>
      <w:pPr>
        <w:widowControl/>
        <w:jc w:val="center"/>
      </w:pPr>
      <w:r>
        <w:rPr>
          <w:rFonts w:ascii="Aptos" w:hAnsi="Aptos"/>
          <w:i/>
          <w:color w:val="505050"/>
          <w:sz w:val="22"/>
        </w:rPr>
        <w:t>Trouver les preuves officielles, pas seulement des résultats</w:t>
      </w:r>
    </w:p>
    <w:p>
      <w:pPr>
        <w:widowControl/>
      </w:pPr>
    </w:p>
    <w:p>
      <w:pPr>
        <w:pStyle w:val="Heading1"/>
        <w:widowControl/>
      </w:pPr>
      <w:r>
        <w:t>10. Workflow de recherche par fonds</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850"/>
            <w:shd w:fill="D9EAF2"/>
            <w:tcMar>
              <w:top w:w="70" w:type="dxa"/>
              <w:start w:w="70" w:type="dxa"/>
              <w:bottom w:w="70" w:type="dxa"/>
              <w:end w:w="70" w:type="dxa"/>
            </w:tcMar>
            <w:vAlign w:val="center"/>
          </w:tcPr>
          <w:p>
            <w:r/>
            <w:r>
              <w:rPr>
                <w:rFonts w:ascii="Aptos" w:hAnsi="Aptos"/>
                <w:b/>
                <w:color w:val="123E5E"/>
                <w:sz w:val="16"/>
              </w:rPr>
              <w:t>Étape</w:t>
            </w:r>
          </w:p>
        </w:tc>
        <w:tc>
          <w:tcPr>
            <w:tcW w:type="dxa" w:w="8447"/>
            <w:shd w:fill="D9EAF2"/>
            <w:tcMar>
              <w:top w:w="70" w:type="dxa"/>
              <w:start w:w="70" w:type="dxa"/>
              <w:bottom w:w="70" w:type="dxa"/>
              <w:end w:w="70" w:type="dxa"/>
            </w:tcMar>
            <w:vAlign w:val="center"/>
          </w:tcPr>
          <w:p>
            <w:r/>
            <w:r>
              <w:rPr>
                <w:rFonts w:ascii="Aptos" w:hAnsi="Aptos"/>
                <w:b/>
                <w:color w:val="123E5E"/>
                <w:sz w:val="16"/>
              </w:rPr>
              <w:t>Action</w:t>
            </w:r>
          </w:p>
        </w:tc>
      </w:tr>
      <w:tr>
        <w:tc>
          <w:tcPr>
            <w:tcW w:type="dxa" w:w="850"/>
            <w:tcMar>
              <w:top w:w="60" w:type="dxa"/>
              <w:start w:w="60" w:type="dxa"/>
              <w:bottom w:w="60" w:type="dxa"/>
              <w:end w:w="60" w:type="dxa"/>
            </w:tcMar>
            <w:vAlign w:val="top"/>
          </w:tcPr>
          <w:p>
            <w:r/>
            <w:r>
              <w:rPr>
                <w:rFonts w:ascii="Aptos" w:hAnsi="Aptos"/>
                <w:sz w:val="16"/>
              </w:rPr>
              <w:t>1</w:t>
            </w:r>
          </w:p>
        </w:tc>
        <w:tc>
          <w:tcPr>
            <w:tcW w:type="dxa" w:w="8447"/>
            <w:tcMar>
              <w:top w:w="60" w:type="dxa"/>
              <w:start w:w="60" w:type="dxa"/>
              <w:bottom w:w="60" w:type="dxa"/>
              <w:end w:w="60" w:type="dxa"/>
            </w:tcMar>
            <w:vAlign w:val="top"/>
          </w:tcPr>
          <w:p>
            <w:r/>
            <w:r>
              <w:rPr>
                <w:rFonts w:ascii="Aptos" w:hAnsi="Aptos"/>
                <w:sz w:val="16"/>
              </w:rPr>
              <w:t>Lire les cellules déjà renseignées sans les modifier.</w:t>
            </w:r>
          </w:p>
        </w:tc>
      </w:tr>
      <w:tr>
        <w:tc>
          <w:tcPr>
            <w:tcW w:type="dxa" w:w="850"/>
            <w:tcMar>
              <w:top w:w="60" w:type="dxa"/>
              <w:start w:w="60" w:type="dxa"/>
              <w:bottom w:w="60" w:type="dxa"/>
              <w:end w:w="60" w:type="dxa"/>
            </w:tcMar>
            <w:vAlign w:val="top"/>
          </w:tcPr>
          <w:p>
            <w:r/>
            <w:r>
              <w:rPr>
                <w:rFonts w:ascii="Aptos" w:hAnsi="Aptos"/>
                <w:sz w:val="16"/>
              </w:rPr>
              <w:t>2</w:t>
            </w:r>
          </w:p>
        </w:tc>
        <w:tc>
          <w:tcPr>
            <w:tcW w:type="dxa" w:w="8447"/>
            <w:tcMar>
              <w:top w:w="60" w:type="dxa"/>
              <w:start w:w="60" w:type="dxa"/>
              <w:bottom w:w="60" w:type="dxa"/>
              <w:end w:w="60" w:type="dxa"/>
            </w:tcMar>
            <w:vAlign w:val="top"/>
          </w:tcPr>
          <w:p>
            <w:r/>
            <w:r>
              <w:rPr>
                <w:rFonts w:ascii="Aptos" w:hAnsi="Aptos"/>
                <w:sz w:val="16"/>
              </w:rPr>
              <w:t>Lancer la recherche avec le nom historique exact entre guillemets.</w:t>
            </w:r>
          </w:p>
        </w:tc>
      </w:tr>
      <w:tr>
        <w:tc>
          <w:tcPr>
            <w:tcW w:type="dxa" w:w="850"/>
            <w:tcMar>
              <w:top w:w="60" w:type="dxa"/>
              <w:start w:w="60" w:type="dxa"/>
              <w:bottom w:w="60" w:type="dxa"/>
              <w:end w:w="60" w:type="dxa"/>
            </w:tcMar>
            <w:vAlign w:val="top"/>
          </w:tcPr>
          <w:p>
            <w:r/>
            <w:r>
              <w:rPr>
                <w:rFonts w:ascii="Aptos" w:hAnsi="Aptos"/>
                <w:sz w:val="16"/>
              </w:rPr>
              <w:t>3</w:t>
            </w:r>
          </w:p>
        </w:tc>
        <w:tc>
          <w:tcPr>
            <w:tcW w:type="dxa" w:w="8447"/>
            <w:tcMar>
              <w:top w:w="60" w:type="dxa"/>
              <w:start w:w="60" w:type="dxa"/>
              <w:bottom w:w="60" w:type="dxa"/>
              <w:end w:w="60" w:type="dxa"/>
            </w:tcMar>
            <w:vAlign w:val="top"/>
          </w:tcPr>
          <w:p>
            <w:r/>
            <w:r>
              <w:rPr>
                <w:rFonts w:ascii="Aptos" w:hAnsi="Aptos"/>
                <w:sz w:val="16"/>
              </w:rPr>
              <w:t>Rechercher toutes les variantes de ponctuation, spacing, compact name et ancien gestionnaire.</w:t>
            </w:r>
          </w:p>
        </w:tc>
      </w:tr>
      <w:tr>
        <w:tc>
          <w:tcPr>
            <w:tcW w:type="dxa" w:w="850"/>
            <w:tcMar>
              <w:top w:w="60" w:type="dxa"/>
              <w:start w:w="60" w:type="dxa"/>
              <w:bottom w:w="60" w:type="dxa"/>
              <w:end w:w="60" w:type="dxa"/>
            </w:tcMar>
            <w:vAlign w:val="top"/>
          </w:tcPr>
          <w:p>
            <w:r/>
            <w:r>
              <w:rPr>
                <w:rFonts w:ascii="Aptos" w:hAnsi="Aptos"/>
                <w:sz w:val="16"/>
              </w:rPr>
              <w:t>4</w:t>
            </w:r>
          </w:p>
        </w:tc>
        <w:tc>
          <w:tcPr>
            <w:tcW w:type="dxa" w:w="8447"/>
            <w:tcMar>
              <w:top w:w="60" w:type="dxa"/>
              <w:start w:w="60" w:type="dxa"/>
              <w:bottom w:w="60" w:type="dxa"/>
              <w:end w:w="60" w:type="dxa"/>
            </w:tcMar>
            <w:vAlign w:val="top"/>
          </w:tcPr>
          <w:p>
            <w:r/>
            <w:r>
              <w:rPr>
                <w:rFonts w:ascii="Aptos" w:hAnsi="Aptos"/>
                <w:sz w:val="16"/>
              </w:rPr>
              <w:t>Identifier les domaines officiels du gestionnaire actuel et historique.</w:t>
            </w:r>
          </w:p>
        </w:tc>
      </w:tr>
      <w:tr>
        <w:tc>
          <w:tcPr>
            <w:tcW w:type="dxa" w:w="850"/>
            <w:tcMar>
              <w:top w:w="60" w:type="dxa"/>
              <w:start w:w="60" w:type="dxa"/>
              <w:bottom w:w="60" w:type="dxa"/>
              <w:end w:w="60" w:type="dxa"/>
            </w:tcMar>
            <w:vAlign w:val="top"/>
          </w:tcPr>
          <w:p>
            <w:r/>
            <w:r>
              <w:rPr>
                <w:rFonts w:ascii="Aptos" w:hAnsi="Aptos"/>
                <w:sz w:val="16"/>
              </w:rPr>
              <w:t>5</w:t>
            </w:r>
          </w:p>
        </w:tc>
        <w:tc>
          <w:tcPr>
            <w:tcW w:type="dxa" w:w="8447"/>
            <w:tcMar>
              <w:top w:w="60" w:type="dxa"/>
              <w:start w:w="60" w:type="dxa"/>
              <w:bottom w:w="60" w:type="dxa"/>
              <w:end w:w="60" w:type="dxa"/>
            </w:tcMar>
            <w:vAlign w:val="top"/>
          </w:tcPr>
          <w:p>
            <w:r/>
            <w:r>
              <w:rPr>
                <w:rFonts w:ascii="Aptos" w:hAnsi="Aptos"/>
                <w:sz w:val="16"/>
              </w:rPr>
              <w:t>Rechercher les PDF par type de document.</w:t>
            </w:r>
          </w:p>
        </w:tc>
      </w:tr>
      <w:tr>
        <w:tc>
          <w:tcPr>
            <w:tcW w:type="dxa" w:w="850"/>
            <w:tcMar>
              <w:top w:w="60" w:type="dxa"/>
              <w:start w:w="60" w:type="dxa"/>
              <w:bottom w:w="60" w:type="dxa"/>
              <w:end w:w="60" w:type="dxa"/>
            </w:tcMar>
            <w:vAlign w:val="top"/>
          </w:tcPr>
          <w:p>
            <w:r/>
            <w:r>
              <w:rPr>
                <w:rFonts w:ascii="Aptos" w:hAnsi="Aptos"/>
                <w:sz w:val="16"/>
              </w:rPr>
              <w:t>6</w:t>
            </w:r>
          </w:p>
        </w:tc>
        <w:tc>
          <w:tcPr>
            <w:tcW w:type="dxa" w:w="8447"/>
            <w:tcMar>
              <w:top w:w="60" w:type="dxa"/>
              <w:start w:w="60" w:type="dxa"/>
              <w:bottom w:w="60" w:type="dxa"/>
              <w:end w:w="60" w:type="dxa"/>
            </w:tcMar>
            <w:vAlign w:val="top"/>
          </w:tcPr>
          <w:p>
            <w:r/>
            <w:r>
              <w:rPr>
                <w:rFonts w:ascii="Aptos" w:hAnsi="Aptos"/>
                <w:sz w:val="16"/>
              </w:rPr>
              <w:t>Rechercher sur le domaine SEC et dans les rapports annuels SEC.</w:t>
            </w:r>
          </w:p>
        </w:tc>
      </w:tr>
      <w:tr>
        <w:tc>
          <w:tcPr>
            <w:tcW w:type="dxa" w:w="850"/>
            <w:tcMar>
              <w:top w:w="60" w:type="dxa"/>
              <w:start w:w="60" w:type="dxa"/>
              <w:bottom w:w="60" w:type="dxa"/>
              <w:end w:w="60" w:type="dxa"/>
            </w:tcMar>
            <w:vAlign w:val="top"/>
          </w:tcPr>
          <w:p>
            <w:r/>
            <w:r>
              <w:rPr>
                <w:rFonts w:ascii="Aptos" w:hAnsi="Aptos"/>
                <w:sz w:val="16"/>
              </w:rPr>
              <w:t>7</w:t>
            </w:r>
          </w:p>
        </w:tc>
        <w:tc>
          <w:tcPr>
            <w:tcW w:type="dxa" w:w="8447"/>
            <w:tcMar>
              <w:top w:w="60" w:type="dxa"/>
              <w:start w:w="60" w:type="dxa"/>
              <w:bottom w:w="60" w:type="dxa"/>
              <w:end w:w="60" w:type="dxa"/>
            </w:tcMar>
            <w:vAlign w:val="top"/>
          </w:tcPr>
          <w:p>
            <w:r/>
            <w:r>
              <w:rPr>
                <w:rFonts w:ascii="Aptos" w:hAnsi="Aptos"/>
                <w:sz w:val="16"/>
              </w:rPr>
              <w:t>Rechercher les événements : rename, merger, transfer, termination, liquidation, takeover.</w:t>
            </w:r>
          </w:p>
        </w:tc>
      </w:tr>
      <w:tr>
        <w:tc>
          <w:tcPr>
            <w:tcW w:type="dxa" w:w="850"/>
            <w:tcMar>
              <w:top w:w="60" w:type="dxa"/>
              <w:start w:w="60" w:type="dxa"/>
              <w:bottom w:w="60" w:type="dxa"/>
              <w:end w:w="60" w:type="dxa"/>
            </w:tcMar>
            <w:vAlign w:val="top"/>
          </w:tcPr>
          <w:p>
            <w:r/>
            <w:r>
              <w:rPr>
                <w:rFonts w:ascii="Aptos" w:hAnsi="Aptos"/>
                <w:sz w:val="16"/>
              </w:rPr>
              <w:t>8</w:t>
            </w:r>
          </w:p>
        </w:tc>
        <w:tc>
          <w:tcPr>
            <w:tcW w:type="dxa" w:w="8447"/>
            <w:tcMar>
              <w:top w:w="60" w:type="dxa"/>
              <w:start w:w="60" w:type="dxa"/>
              <w:bottom w:w="60" w:type="dxa"/>
              <w:end w:w="60" w:type="dxa"/>
            </w:tcMar>
            <w:vAlign w:val="top"/>
          </w:tcPr>
          <w:p>
            <w:r/>
            <w:r>
              <w:rPr>
                <w:rFonts w:ascii="Aptos" w:hAnsi="Aptos"/>
                <w:sz w:val="16"/>
              </w:rPr>
              <w:t>Explorer Wayback pour les pages et documents disparus.</w:t>
            </w:r>
          </w:p>
        </w:tc>
      </w:tr>
      <w:tr>
        <w:tc>
          <w:tcPr>
            <w:tcW w:type="dxa" w:w="850"/>
            <w:tcMar>
              <w:top w:w="60" w:type="dxa"/>
              <w:start w:w="60" w:type="dxa"/>
              <w:bottom w:w="60" w:type="dxa"/>
              <w:end w:w="60" w:type="dxa"/>
            </w:tcMar>
            <w:vAlign w:val="top"/>
          </w:tcPr>
          <w:p>
            <w:r/>
            <w:r>
              <w:rPr>
                <w:rFonts w:ascii="Aptos" w:hAnsi="Aptos"/>
                <w:sz w:val="16"/>
              </w:rPr>
              <w:t>9</w:t>
            </w:r>
          </w:p>
        </w:tc>
        <w:tc>
          <w:tcPr>
            <w:tcW w:type="dxa" w:w="8447"/>
            <w:tcMar>
              <w:top w:w="60" w:type="dxa"/>
              <w:start w:w="60" w:type="dxa"/>
              <w:bottom w:w="60" w:type="dxa"/>
              <w:end w:w="60" w:type="dxa"/>
            </w:tcMar>
            <w:vAlign w:val="top"/>
          </w:tcPr>
          <w:p>
            <w:r/>
            <w:r>
              <w:rPr>
                <w:rFonts w:ascii="Aptos" w:hAnsi="Aptos"/>
                <w:sz w:val="16"/>
              </w:rPr>
              <w:t>Croiser avec NGX/FMDQ/CBN/DMO/NBS selon la catégorie.</w:t>
            </w:r>
          </w:p>
        </w:tc>
      </w:tr>
      <w:tr>
        <w:tc>
          <w:tcPr>
            <w:tcW w:type="dxa" w:w="850"/>
            <w:tcMar>
              <w:top w:w="60" w:type="dxa"/>
              <w:start w:w="60" w:type="dxa"/>
              <w:bottom w:w="60" w:type="dxa"/>
              <w:end w:w="60" w:type="dxa"/>
            </w:tcMar>
            <w:vAlign w:val="top"/>
          </w:tcPr>
          <w:p>
            <w:r/>
            <w:r>
              <w:rPr>
                <w:rFonts w:ascii="Aptos" w:hAnsi="Aptos"/>
                <w:sz w:val="16"/>
              </w:rPr>
              <w:t>10</w:t>
            </w:r>
          </w:p>
        </w:tc>
        <w:tc>
          <w:tcPr>
            <w:tcW w:type="dxa" w:w="8447"/>
            <w:tcMar>
              <w:top w:w="60" w:type="dxa"/>
              <w:start w:w="60" w:type="dxa"/>
              <w:bottom w:w="60" w:type="dxa"/>
              <w:end w:w="60" w:type="dxa"/>
            </w:tcMar>
            <w:vAlign w:val="top"/>
          </w:tcPr>
          <w:p>
            <w:r/>
            <w:r>
              <w:rPr>
                <w:rFonts w:ascii="Aptos" w:hAnsi="Aptos"/>
                <w:sz w:val="16"/>
              </w:rPr>
              <w:t>Créer une fiche de preuves avant de renseigner les cellules.</w:t>
            </w:r>
          </w:p>
        </w:tc>
      </w:tr>
      <w:tr>
        <w:tc>
          <w:tcPr>
            <w:tcW w:type="dxa" w:w="850"/>
            <w:tcMar>
              <w:top w:w="60" w:type="dxa"/>
              <w:start w:w="60" w:type="dxa"/>
              <w:bottom w:w="60" w:type="dxa"/>
              <w:end w:w="60" w:type="dxa"/>
            </w:tcMar>
            <w:vAlign w:val="top"/>
          </w:tcPr>
          <w:p>
            <w:r/>
            <w:r>
              <w:rPr>
                <w:rFonts w:ascii="Aptos" w:hAnsi="Aptos"/>
                <w:sz w:val="16"/>
              </w:rPr>
              <w:t>11</w:t>
            </w:r>
          </w:p>
        </w:tc>
        <w:tc>
          <w:tcPr>
            <w:tcW w:type="dxa" w:w="8447"/>
            <w:tcMar>
              <w:top w:w="60" w:type="dxa"/>
              <w:start w:w="60" w:type="dxa"/>
              <w:bottom w:w="60" w:type="dxa"/>
              <w:end w:w="60" w:type="dxa"/>
            </w:tcMar>
            <w:vAlign w:val="top"/>
          </w:tcPr>
          <w:p>
            <w:r/>
            <w:r>
              <w:rPr>
                <w:rFonts w:ascii="Aptos" w:hAnsi="Aptos"/>
                <w:sz w:val="16"/>
              </w:rPr>
              <w:t>Noter explicitement les éléments non trouvés.</w:t>
            </w:r>
          </w:p>
        </w:tc>
      </w:tr>
      <w:tr>
        <w:tc>
          <w:tcPr>
            <w:tcW w:type="dxa" w:w="850"/>
            <w:tcMar>
              <w:top w:w="60" w:type="dxa"/>
              <w:start w:w="60" w:type="dxa"/>
              <w:bottom w:w="60" w:type="dxa"/>
              <w:end w:w="60" w:type="dxa"/>
            </w:tcMar>
            <w:vAlign w:val="top"/>
          </w:tcPr>
          <w:p>
            <w:r/>
            <w:r>
              <w:rPr>
                <w:rFonts w:ascii="Aptos" w:hAnsi="Aptos"/>
                <w:sz w:val="16"/>
              </w:rPr>
              <w:t>12</w:t>
            </w:r>
          </w:p>
        </w:tc>
        <w:tc>
          <w:tcPr>
            <w:tcW w:type="dxa" w:w="8447"/>
            <w:tcMar>
              <w:top w:w="60" w:type="dxa"/>
              <w:start w:w="60" w:type="dxa"/>
              <w:bottom w:w="60" w:type="dxa"/>
              <w:end w:w="60" w:type="dxa"/>
            </w:tcMar>
            <w:vAlign w:val="top"/>
          </w:tcPr>
          <w:p>
            <w:r/>
            <w:r>
              <w:rPr>
                <w:rFonts w:ascii="Aptos" w:hAnsi="Aptos"/>
                <w:sz w:val="16"/>
              </w:rPr>
              <w:t>Rédiger la narration chronologique et mettre à jour les champs annuels.</w:t>
            </w:r>
          </w:p>
        </w:tc>
      </w:tr>
    </w:tbl>
    <w:p>
      <w:pPr>
        <w:widowControl/>
        <w:spacing w:after="0"/>
      </w:pPr>
    </w:p>
    <w:p>
      <w:pPr>
        <w:pStyle w:val="Heading2"/>
        <w:widowControl/>
      </w:pPr>
      <w:r>
        <w:t>10.1 Bibliothèque de requêtes Google</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608"/>
            <w:shd w:fill="D9EAF2"/>
            <w:tcMar>
              <w:top w:w="70" w:type="dxa"/>
              <w:start w:w="70" w:type="dxa"/>
              <w:bottom w:w="70" w:type="dxa"/>
              <w:end w:w="70" w:type="dxa"/>
            </w:tcMar>
            <w:vAlign w:val="center"/>
          </w:tcPr>
          <w:p>
            <w:r/>
            <w:r>
              <w:rPr>
                <w:rFonts w:ascii="Aptos" w:hAnsi="Aptos"/>
                <w:b/>
                <w:color w:val="123E5E"/>
                <w:sz w:val="15"/>
              </w:rPr>
              <w:t>Objectif</w:t>
            </w:r>
          </w:p>
        </w:tc>
        <w:tc>
          <w:tcPr>
            <w:tcW w:type="dxa" w:w="6690"/>
            <w:shd w:fill="D9EAF2"/>
            <w:tcMar>
              <w:top w:w="70" w:type="dxa"/>
              <w:start w:w="70" w:type="dxa"/>
              <w:bottom w:w="70" w:type="dxa"/>
              <w:end w:w="70" w:type="dxa"/>
            </w:tcMar>
            <w:vAlign w:val="center"/>
          </w:tcPr>
          <w:p>
            <w:r/>
            <w:r>
              <w:rPr>
                <w:rFonts w:ascii="Aptos" w:hAnsi="Aptos"/>
                <w:b/>
                <w:color w:val="123E5E"/>
                <w:sz w:val="15"/>
              </w:rPr>
              <w:t>Requête</w:t>
            </w:r>
          </w:p>
        </w:tc>
      </w:tr>
      <w:tr>
        <w:tc>
          <w:tcPr>
            <w:tcW w:type="dxa" w:w="2608"/>
            <w:tcMar>
              <w:top w:w="60" w:type="dxa"/>
              <w:start w:w="60" w:type="dxa"/>
              <w:bottom w:w="60" w:type="dxa"/>
              <w:end w:w="60" w:type="dxa"/>
            </w:tcMar>
            <w:vAlign w:val="top"/>
          </w:tcPr>
          <w:p>
            <w:r/>
            <w:r>
              <w:rPr>
                <w:rFonts w:ascii="Aptos" w:hAnsi="Aptos"/>
                <w:sz w:val="15"/>
              </w:rPr>
              <w:t>Identité exacte</w:t>
            </w:r>
          </w:p>
        </w:tc>
        <w:tc>
          <w:tcPr>
            <w:tcW w:type="dxa" w:w="6690"/>
            <w:tcMar>
              <w:top w:w="60" w:type="dxa"/>
              <w:start w:w="60" w:type="dxa"/>
              <w:bottom w:w="60" w:type="dxa"/>
              <w:end w:w="60" w:type="dxa"/>
            </w:tcMar>
            <w:vAlign w:val="top"/>
          </w:tcPr>
          <w:p>
            <w:r/>
            <w:r>
              <w:rPr>
                <w:rFonts w:ascii="Aptos" w:hAnsi="Aptos"/>
                <w:sz w:val="15"/>
              </w:rPr>
              <w:t>"{FUND_NAME}"</w:t>
            </w:r>
          </w:p>
        </w:tc>
      </w:tr>
      <w:tr>
        <w:tc>
          <w:tcPr>
            <w:tcW w:type="dxa" w:w="2608"/>
            <w:tcMar>
              <w:top w:w="60" w:type="dxa"/>
              <w:start w:w="60" w:type="dxa"/>
              <w:bottom w:w="60" w:type="dxa"/>
              <w:end w:w="60" w:type="dxa"/>
            </w:tcMar>
            <w:vAlign w:val="top"/>
          </w:tcPr>
          <w:p>
            <w:r/>
            <w:r>
              <w:rPr>
                <w:rFonts w:ascii="Aptos" w:hAnsi="Aptos"/>
                <w:sz w:val="15"/>
              </w:rPr>
              <w:t>Site gestionnaire</w:t>
            </w:r>
          </w:p>
        </w:tc>
        <w:tc>
          <w:tcPr>
            <w:tcW w:type="dxa" w:w="6690"/>
            <w:tcMar>
              <w:top w:w="60" w:type="dxa"/>
              <w:start w:w="60" w:type="dxa"/>
              <w:bottom w:w="60" w:type="dxa"/>
              <w:end w:w="60" w:type="dxa"/>
            </w:tcMar>
            <w:vAlign w:val="top"/>
          </w:tcPr>
          <w:p>
            <w:r/>
            <w:r>
              <w:rPr>
                <w:rFonts w:ascii="Aptos" w:hAnsi="Aptos"/>
                <w:sz w:val="15"/>
              </w:rPr>
              <w:t>"{FUND_NAME}" site:{MANAGER_DOMAIN}</w:t>
            </w:r>
          </w:p>
        </w:tc>
      </w:tr>
      <w:tr>
        <w:tc>
          <w:tcPr>
            <w:tcW w:type="dxa" w:w="2608"/>
            <w:tcMar>
              <w:top w:w="60" w:type="dxa"/>
              <w:start w:w="60" w:type="dxa"/>
              <w:bottom w:w="60" w:type="dxa"/>
              <w:end w:w="60" w:type="dxa"/>
            </w:tcMar>
            <w:vAlign w:val="top"/>
          </w:tcPr>
          <w:p>
            <w:r/>
            <w:r>
              <w:rPr>
                <w:rFonts w:ascii="Aptos" w:hAnsi="Aptos"/>
                <w:sz w:val="15"/>
              </w:rPr>
              <w:t>PDF général</w:t>
            </w:r>
          </w:p>
        </w:tc>
        <w:tc>
          <w:tcPr>
            <w:tcW w:type="dxa" w:w="6690"/>
            <w:tcMar>
              <w:top w:w="60" w:type="dxa"/>
              <w:start w:w="60" w:type="dxa"/>
              <w:bottom w:w="60" w:type="dxa"/>
              <w:end w:w="60" w:type="dxa"/>
            </w:tcMar>
            <w:vAlign w:val="top"/>
          </w:tcPr>
          <w:p>
            <w:r/>
            <w:r>
              <w:rPr>
                <w:rFonts w:ascii="Aptos" w:hAnsi="Aptos"/>
                <w:sz w:val="15"/>
              </w:rPr>
              <w:t>"{FUND_NAME}" filetype:pdf</w:t>
            </w:r>
          </w:p>
        </w:tc>
      </w:tr>
      <w:tr>
        <w:tc>
          <w:tcPr>
            <w:tcW w:type="dxa" w:w="2608"/>
            <w:tcMar>
              <w:top w:w="60" w:type="dxa"/>
              <w:start w:w="60" w:type="dxa"/>
              <w:bottom w:w="60" w:type="dxa"/>
              <w:end w:w="60" w:type="dxa"/>
            </w:tcMar>
            <w:vAlign w:val="top"/>
          </w:tcPr>
          <w:p>
            <w:r/>
            <w:r>
              <w:rPr>
                <w:rFonts w:ascii="Aptos" w:hAnsi="Aptos"/>
                <w:sz w:val="15"/>
              </w:rPr>
              <w:t>Prospectus</w:t>
            </w:r>
          </w:p>
        </w:tc>
        <w:tc>
          <w:tcPr>
            <w:tcW w:type="dxa" w:w="6690"/>
            <w:tcMar>
              <w:top w:w="60" w:type="dxa"/>
              <w:start w:w="60" w:type="dxa"/>
              <w:bottom w:w="60" w:type="dxa"/>
              <w:end w:w="60" w:type="dxa"/>
            </w:tcMar>
            <w:vAlign w:val="top"/>
          </w:tcPr>
          <w:p>
            <w:r/>
            <w:r>
              <w:rPr>
                <w:rFonts w:ascii="Aptos" w:hAnsi="Aptos"/>
                <w:sz w:val="15"/>
              </w:rPr>
              <w:t>"{FUND_NAME}" prospectus filetype:pdf</w:t>
            </w:r>
          </w:p>
        </w:tc>
      </w:tr>
      <w:tr>
        <w:tc>
          <w:tcPr>
            <w:tcW w:type="dxa" w:w="2608"/>
            <w:tcMar>
              <w:top w:w="60" w:type="dxa"/>
              <w:start w:w="60" w:type="dxa"/>
              <w:bottom w:w="60" w:type="dxa"/>
              <w:end w:w="60" w:type="dxa"/>
            </w:tcMar>
            <w:vAlign w:val="top"/>
          </w:tcPr>
          <w:p>
            <w:r/>
            <w:r>
              <w:rPr>
                <w:rFonts w:ascii="Aptos" w:hAnsi="Aptos"/>
                <w:sz w:val="15"/>
              </w:rPr>
              <w:t>Supplemental prospectus</w:t>
            </w:r>
          </w:p>
        </w:tc>
        <w:tc>
          <w:tcPr>
            <w:tcW w:type="dxa" w:w="6690"/>
            <w:tcMar>
              <w:top w:w="60" w:type="dxa"/>
              <w:start w:w="60" w:type="dxa"/>
              <w:bottom w:w="60" w:type="dxa"/>
              <w:end w:w="60" w:type="dxa"/>
            </w:tcMar>
            <w:vAlign w:val="top"/>
          </w:tcPr>
          <w:p>
            <w:r/>
            <w:r>
              <w:rPr>
                <w:rFonts w:ascii="Aptos" w:hAnsi="Aptos"/>
                <w:sz w:val="15"/>
              </w:rPr>
              <w:t>"{FUND_NAME}" supplemental prospectus</w:t>
            </w:r>
          </w:p>
        </w:tc>
      </w:tr>
      <w:tr>
        <w:tc>
          <w:tcPr>
            <w:tcW w:type="dxa" w:w="2608"/>
            <w:tcMar>
              <w:top w:w="60" w:type="dxa"/>
              <w:start w:w="60" w:type="dxa"/>
              <w:bottom w:w="60" w:type="dxa"/>
              <w:end w:w="60" w:type="dxa"/>
            </w:tcMar>
            <w:vAlign w:val="top"/>
          </w:tcPr>
          <w:p>
            <w:r/>
            <w:r>
              <w:rPr>
                <w:rFonts w:ascii="Aptos" w:hAnsi="Aptos"/>
                <w:sz w:val="15"/>
              </w:rPr>
              <w:t>Fact sheet</w:t>
            </w:r>
          </w:p>
        </w:tc>
        <w:tc>
          <w:tcPr>
            <w:tcW w:type="dxa" w:w="6690"/>
            <w:tcMar>
              <w:top w:w="60" w:type="dxa"/>
              <w:start w:w="60" w:type="dxa"/>
              <w:bottom w:w="60" w:type="dxa"/>
              <w:end w:w="60" w:type="dxa"/>
            </w:tcMar>
            <w:vAlign w:val="top"/>
          </w:tcPr>
          <w:p>
            <w:r/>
            <w:r>
              <w:rPr>
                <w:rFonts w:ascii="Aptos" w:hAnsi="Aptos"/>
                <w:sz w:val="15"/>
              </w:rPr>
              <w:t>"{FUND_NAME}" factsheet OR "fact sheet" filetype:pdf</w:t>
            </w:r>
          </w:p>
        </w:tc>
      </w:tr>
      <w:tr>
        <w:tc>
          <w:tcPr>
            <w:tcW w:type="dxa" w:w="2608"/>
            <w:tcMar>
              <w:top w:w="60" w:type="dxa"/>
              <w:start w:w="60" w:type="dxa"/>
              <w:bottom w:w="60" w:type="dxa"/>
              <w:end w:w="60" w:type="dxa"/>
            </w:tcMar>
            <w:vAlign w:val="top"/>
          </w:tcPr>
          <w:p>
            <w:r/>
            <w:r>
              <w:rPr>
                <w:rFonts w:ascii="Aptos" w:hAnsi="Aptos"/>
                <w:sz w:val="15"/>
              </w:rPr>
              <w:t>Annual report</w:t>
            </w:r>
          </w:p>
        </w:tc>
        <w:tc>
          <w:tcPr>
            <w:tcW w:type="dxa" w:w="6690"/>
            <w:tcMar>
              <w:top w:w="60" w:type="dxa"/>
              <w:start w:w="60" w:type="dxa"/>
              <w:bottom w:w="60" w:type="dxa"/>
              <w:end w:w="60" w:type="dxa"/>
            </w:tcMar>
            <w:vAlign w:val="top"/>
          </w:tcPr>
          <w:p>
            <w:r/>
            <w:r>
              <w:rPr>
                <w:rFonts w:ascii="Aptos" w:hAnsi="Aptos"/>
                <w:sz w:val="15"/>
              </w:rPr>
              <w:t>"{FUND_NAME}" annual report filetype:pdf</w:t>
            </w:r>
          </w:p>
        </w:tc>
      </w:tr>
      <w:tr>
        <w:tc>
          <w:tcPr>
            <w:tcW w:type="dxa" w:w="2608"/>
            <w:tcMar>
              <w:top w:w="60" w:type="dxa"/>
              <w:start w:w="60" w:type="dxa"/>
              <w:bottom w:w="60" w:type="dxa"/>
              <w:end w:w="60" w:type="dxa"/>
            </w:tcMar>
            <w:vAlign w:val="top"/>
          </w:tcPr>
          <w:p>
            <w:r/>
            <w:r>
              <w:rPr>
                <w:rFonts w:ascii="Aptos" w:hAnsi="Aptos"/>
                <w:sz w:val="15"/>
              </w:rPr>
              <w:t>Audited accounts</w:t>
            </w:r>
          </w:p>
        </w:tc>
        <w:tc>
          <w:tcPr>
            <w:tcW w:type="dxa" w:w="6690"/>
            <w:tcMar>
              <w:top w:w="60" w:type="dxa"/>
              <w:start w:w="60" w:type="dxa"/>
              <w:bottom w:w="60" w:type="dxa"/>
              <w:end w:w="60" w:type="dxa"/>
            </w:tcMar>
            <w:vAlign w:val="top"/>
          </w:tcPr>
          <w:p>
            <w:r/>
            <w:r>
              <w:rPr>
                <w:rFonts w:ascii="Aptos" w:hAnsi="Aptos"/>
                <w:sz w:val="15"/>
              </w:rPr>
              <w:t>"{FUND_NAME}" audited financial statements</w:t>
            </w:r>
          </w:p>
        </w:tc>
      </w:tr>
      <w:tr>
        <w:tc>
          <w:tcPr>
            <w:tcW w:type="dxa" w:w="2608"/>
            <w:tcMar>
              <w:top w:w="60" w:type="dxa"/>
              <w:start w:w="60" w:type="dxa"/>
              <w:bottom w:w="60" w:type="dxa"/>
              <w:end w:w="60" w:type="dxa"/>
            </w:tcMar>
            <w:vAlign w:val="top"/>
          </w:tcPr>
          <w:p>
            <w:r/>
            <w:r>
              <w:rPr>
                <w:rFonts w:ascii="Aptos" w:hAnsi="Aptos"/>
                <w:sz w:val="15"/>
              </w:rPr>
              <w:t>SEC</w:t>
            </w:r>
          </w:p>
        </w:tc>
        <w:tc>
          <w:tcPr>
            <w:tcW w:type="dxa" w:w="6690"/>
            <w:tcMar>
              <w:top w:w="60" w:type="dxa"/>
              <w:start w:w="60" w:type="dxa"/>
              <w:bottom w:w="60" w:type="dxa"/>
              <w:end w:w="60" w:type="dxa"/>
            </w:tcMar>
            <w:vAlign w:val="top"/>
          </w:tcPr>
          <w:p>
            <w:r/>
            <w:r>
              <w:rPr>
                <w:rFonts w:ascii="Aptos" w:hAnsi="Aptos"/>
                <w:sz w:val="15"/>
              </w:rPr>
              <w:t>"{FUND_NAME}" site:sec.gov.ng</w:t>
            </w:r>
          </w:p>
        </w:tc>
      </w:tr>
      <w:tr>
        <w:tc>
          <w:tcPr>
            <w:tcW w:type="dxa" w:w="2608"/>
            <w:tcMar>
              <w:top w:w="60" w:type="dxa"/>
              <w:start w:w="60" w:type="dxa"/>
              <w:bottom w:w="60" w:type="dxa"/>
              <w:end w:w="60" w:type="dxa"/>
            </w:tcMar>
            <w:vAlign w:val="top"/>
          </w:tcPr>
          <w:p>
            <w:r/>
            <w:r>
              <w:rPr>
                <w:rFonts w:ascii="Aptos" w:hAnsi="Aptos"/>
                <w:sz w:val="15"/>
              </w:rPr>
              <w:t>Ancien domaine SEC</w:t>
            </w:r>
          </w:p>
        </w:tc>
        <w:tc>
          <w:tcPr>
            <w:tcW w:type="dxa" w:w="6690"/>
            <w:tcMar>
              <w:top w:w="60" w:type="dxa"/>
              <w:start w:w="60" w:type="dxa"/>
              <w:bottom w:w="60" w:type="dxa"/>
              <w:end w:w="60" w:type="dxa"/>
            </w:tcMar>
            <w:vAlign w:val="top"/>
          </w:tcPr>
          <w:p>
            <w:r/>
            <w:r>
              <w:rPr>
                <w:rFonts w:ascii="Aptos" w:hAnsi="Aptos"/>
                <w:sz w:val="15"/>
              </w:rPr>
              <w:t>"{FUND_NAME}" site:home.sec.gov.ng</w:t>
            </w:r>
          </w:p>
        </w:tc>
      </w:tr>
      <w:tr>
        <w:tc>
          <w:tcPr>
            <w:tcW w:type="dxa" w:w="2608"/>
            <w:tcMar>
              <w:top w:w="60" w:type="dxa"/>
              <w:start w:w="60" w:type="dxa"/>
              <w:bottom w:w="60" w:type="dxa"/>
              <w:end w:w="60" w:type="dxa"/>
            </w:tcMar>
            <w:vAlign w:val="top"/>
          </w:tcPr>
          <w:p>
            <w:r/>
            <w:r>
              <w:rPr>
                <w:rFonts w:ascii="Aptos" w:hAnsi="Aptos"/>
                <w:sz w:val="15"/>
              </w:rPr>
              <w:t>Renommage</w:t>
            </w:r>
          </w:p>
        </w:tc>
        <w:tc>
          <w:tcPr>
            <w:tcW w:type="dxa" w:w="6690"/>
            <w:tcMar>
              <w:top w:w="60" w:type="dxa"/>
              <w:start w:w="60" w:type="dxa"/>
              <w:bottom w:w="60" w:type="dxa"/>
              <w:end w:w="60" w:type="dxa"/>
            </w:tcMar>
            <w:vAlign w:val="top"/>
          </w:tcPr>
          <w:p>
            <w:r/>
            <w:r>
              <w:rPr>
                <w:rFonts w:ascii="Aptos" w:hAnsi="Aptos"/>
                <w:sz w:val="15"/>
              </w:rPr>
              <w:t>"{FUND_NAME}" renamed OR "change of name"</w:t>
            </w:r>
          </w:p>
        </w:tc>
      </w:tr>
      <w:tr>
        <w:tc>
          <w:tcPr>
            <w:tcW w:type="dxa" w:w="2608"/>
            <w:tcMar>
              <w:top w:w="60" w:type="dxa"/>
              <w:start w:w="60" w:type="dxa"/>
              <w:bottom w:w="60" w:type="dxa"/>
              <w:end w:w="60" w:type="dxa"/>
            </w:tcMar>
            <w:vAlign w:val="top"/>
          </w:tcPr>
          <w:p>
            <w:r/>
            <w:r>
              <w:rPr>
                <w:rFonts w:ascii="Aptos" w:hAnsi="Aptos"/>
                <w:sz w:val="15"/>
              </w:rPr>
              <w:t>Fusion</w:t>
            </w:r>
          </w:p>
        </w:tc>
        <w:tc>
          <w:tcPr>
            <w:tcW w:type="dxa" w:w="6690"/>
            <w:tcMar>
              <w:top w:w="60" w:type="dxa"/>
              <w:start w:w="60" w:type="dxa"/>
              <w:bottom w:w="60" w:type="dxa"/>
              <w:end w:w="60" w:type="dxa"/>
            </w:tcMar>
            <w:vAlign w:val="top"/>
          </w:tcPr>
          <w:p>
            <w:r/>
            <w:r>
              <w:rPr>
                <w:rFonts w:ascii="Aptos" w:hAnsi="Aptos"/>
                <w:sz w:val="15"/>
              </w:rPr>
              <w:t>"{FUND_NAME}" merger OR merged OR absorption</w:t>
            </w:r>
          </w:p>
        </w:tc>
      </w:tr>
      <w:tr>
        <w:tc>
          <w:tcPr>
            <w:tcW w:type="dxa" w:w="2608"/>
            <w:tcMar>
              <w:top w:w="60" w:type="dxa"/>
              <w:start w:w="60" w:type="dxa"/>
              <w:bottom w:w="60" w:type="dxa"/>
              <w:end w:w="60" w:type="dxa"/>
            </w:tcMar>
            <w:vAlign w:val="top"/>
          </w:tcPr>
          <w:p>
            <w:r/>
            <w:r>
              <w:rPr>
                <w:rFonts w:ascii="Aptos" w:hAnsi="Aptos"/>
                <w:sz w:val="15"/>
              </w:rPr>
              <w:t>Transfert</w:t>
            </w:r>
          </w:p>
        </w:tc>
        <w:tc>
          <w:tcPr>
            <w:tcW w:type="dxa" w:w="6690"/>
            <w:tcMar>
              <w:top w:w="60" w:type="dxa"/>
              <w:start w:w="60" w:type="dxa"/>
              <w:bottom w:w="60" w:type="dxa"/>
              <w:end w:w="60" w:type="dxa"/>
            </w:tcMar>
            <w:vAlign w:val="top"/>
          </w:tcPr>
          <w:p>
            <w:r/>
            <w:r>
              <w:rPr>
                <w:rFonts w:ascii="Aptos" w:hAnsi="Aptos"/>
                <w:sz w:val="15"/>
              </w:rPr>
              <w:t>"{FUND_NAME}" transfer OR transferred "fund manager"</w:t>
            </w:r>
          </w:p>
        </w:tc>
      </w:tr>
      <w:tr>
        <w:tc>
          <w:tcPr>
            <w:tcW w:type="dxa" w:w="2608"/>
            <w:tcMar>
              <w:top w:w="60" w:type="dxa"/>
              <w:start w:w="60" w:type="dxa"/>
              <w:bottom w:w="60" w:type="dxa"/>
              <w:end w:w="60" w:type="dxa"/>
            </w:tcMar>
            <w:vAlign w:val="top"/>
          </w:tcPr>
          <w:p>
            <w:r/>
            <w:r>
              <w:rPr>
                <w:rFonts w:ascii="Aptos" w:hAnsi="Aptos"/>
                <w:sz w:val="15"/>
              </w:rPr>
              <w:t>Liquidation</w:t>
            </w:r>
          </w:p>
        </w:tc>
        <w:tc>
          <w:tcPr>
            <w:tcW w:type="dxa" w:w="6690"/>
            <w:tcMar>
              <w:top w:w="60" w:type="dxa"/>
              <w:start w:w="60" w:type="dxa"/>
              <w:bottom w:w="60" w:type="dxa"/>
              <w:end w:w="60" w:type="dxa"/>
            </w:tcMar>
            <w:vAlign w:val="top"/>
          </w:tcPr>
          <w:p>
            <w:r/>
            <w:r>
              <w:rPr>
                <w:rFonts w:ascii="Aptos" w:hAnsi="Aptos"/>
                <w:sz w:val="15"/>
              </w:rPr>
              <w:t>"{FUND_NAME}" liquidation OR termination OR winding up</w:t>
            </w:r>
          </w:p>
        </w:tc>
      </w:tr>
      <w:tr>
        <w:tc>
          <w:tcPr>
            <w:tcW w:type="dxa" w:w="2608"/>
            <w:tcMar>
              <w:top w:w="60" w:type="dxa"/>
              <w:start w:w="60" w:type="dxa"/>
              <w:bottom w:w="60" w:type="dxa"/>
              <w:end w:w="60" w:type="dxa"/>
            </w:tcMar>
            <w:vAlign w:val="top"/>
          </w:tcPr>
          <w:p>
            <w:r/>
            <w:r>
              <w:rPr>
                <w:rFonts w:ascii="Aptos" w:hAnsi="Aptos"/>
                <w:sz w:val="15"/>
              </w:rPr>
              <w:t>Suspension</w:t>
            </w:r>
          </w:p>
        </w:tc>
        <w:tc>
          <w:tcPr>
            <w:tcW w:type="dxa" w:w="6690"/>
            <w:tcMar>
              <w:top w:w="60" w:type="dxa"/>
              <w:start w:w="60" w:type="dxa"/>
              <w:bottom w:w="60" w:type="dxa"/>
              <w:end w:w="60" w:type="dxa"/>
            </w:tcMar>
            <w:vAlign w:val="top"/>
          </w:tcPr>
          <w:p>
            <w:r/>
            <w:r>
              <w:rPr>
                <w:rFonts w:ascii="Aptos" w:hAnsi="Aptos"/>
                <w:sz w:val="15"/>
              </w:rPr>
              <w:t>"{FUND_NAME}" suspension OR suspended redemptions</w:t>
            </w:r>
          </w:p>
        </w:tc>
      </w:tr>
      <w:tr>
        <w:tc>
          <w:tcPr>
            <w:tcW w:type="dxa" w:w="2608"/>
            <w:tcMar>
              <w:top w:w="60" w:type="dxa"/>
              <w:start w:w="60" w:type="dxa"/>
              <w:bottom w:w="60" w:type="dxa"/>
              <w:end w:w="60" w:type="dxa"/>
            </w:tcMar>
            <w:vAlign w:val="top"/>
          </w:tcPr>
          <w:p>
            <w:r/>
            <w:r>
              <w:rPr>
                <w:rFonts w:ascii="Aptos" w:hAnsi="Aptos"/>
                <w:sz w:val="15"/>
              </w:rPr>
              <w:t>Gestionnaire</w:t>
            </w:r>
          </w:p>
        </w:tc>
        <w:tc>
          <w:tcPr>
            <w:tcW w:type="dxa" w:w="6690"/>
            <w:tcMar>
              <w:top w:w="60" w:type="dxa"/>
              <w:start w:w="60" w:type="dxa"/>
              <w:bottom w:w="60" w:type="dxa"/>
              <w:end w:w="60" w:type="dxa"/>
            </w:tcMar>
            <w:vAlign w:val="top"/>
          </w:tcPr>
          <w:p>
            <w:r/>
            <w:r>
              <w:rPr>
                <w:rFonts w:ascii="Aptos" w:hAnsi="Aptos"/>
                <w:sz w:val="15"/>
              </w:rPr>
              <w:t>"{FUND_NAME}" "{MANAGER_NAME}"</w:t>
            </w:r>
          </w:p>
        </w:tc>
      </w:tr>
      <w:tr>
        <w:tc>
          <w:tcPr>
            <w:tcW w:type="dxa" w:w="2608"/>
            <w:tcMar>
              <w:top w:w="60" w:type="dxa"/>
              <w:start w:w="60" w:type="dxa"/>
              <w:bottom w:w="60" w:type="dxa"/>
              <w:end w:w="60" w:type="dxa"/>
            </w:tcMar>
            <w:vAlign w:val="top"/>
          </w:tcPr>
          <w:p>
            <w:r/>
            <w:r>
              <w:rPr>
                <w:rFonts w:ascii="Aptos" w:hAnsi="Aptos"/>
                <w:sz w:val="15"/>
              </w:rPr>
              <w:t>Trustee</w:t>
            </w:r>
          </w:p>
        </w:tc>
        <w:tc>
          <w:tcPr>
            <w:tcW w:type="dxa" w:w="6690"/>
            <w:tcMar>
              <w:top w:w="60" w:type="dxa"/>
              <w:start w:w="60" w:type="dxa"/>
              <w:bottom w:w="60" w:type="dxa"/>
              <w:end w:w="60" w:type="dxa"/>
            </w:tcMar>
            <w:vAlign w:val="top"/>
          </w:tcPr>
          <w:p>
            <w:r/>
            <w:r>
              <w:rPr>
                <w:rFonts w:ascii="Aptos" w:hAnsi="Aptos"/>
                <w:sz w:val="15"/>
              </w:rPr>
              <w:t>"{FUND_NAME}" trustee</w:t>
            </w:r>
          </w:p>
        </w:tc>
      </w:tr>
      <w:tr>
        <w:tc>
          <w:tcPr>
            <w:tcW w:type="dxa" w:w="2608"/>
            <w:tcMar>
              <w:top w:w="60" w:type="dxa"/>
              <w:start w:w="60" w:type="dxa"/>
              <w:bottom w:w="60" w:type="dxa"/>
              <w:end w:w="60" w:type="dxa"/>
            </w:tcMar>
            <w:vAlign w:val="top"/>
          </w:tcPr>
          <w:p>
            <w:r/>
            <w:r>
              <w:rPr>
                <w:rFonts w:ascii="Aptos" w:hAnsi="Aptos"/>
                <w:sz w:val="15"/>
              </w:rPr>
              <w:t>Custodian</w:t>
            </w:r>
          </w:p>
        </w:tc>
        <w:tc>
          <w:tcPr>
            <w:tcW w:type="dxa" w:w="6690"/>
            <w:tcMar>
              <w:top w:w="60" w:type="dxa"/>
              <w:start w:w="60" w:type="dxa"/>
              <w:bottom w:w="60" w:type="dxa"/>
              <w:end w:w="60" w:type="dxa"/>
            </w:tcMar>
            <w:vAlign w:val="top"/>
          </w:tcPr>
          <w:p>
            <w:r/>
            <w:r>
              <w:rPr>
                <w:rFonts w:ascii="Aptos" w:hAnsi="Aptos"/>
                <w:sz w:val="15"/>
              </w:rPr>
              <w:t>"{FUND_NAME}" custodian</w:t>
            </w:r>
          </w:p>
        </w:tc>
      </w:tr>
      <w:tr>
        <w:tc>
          <w:tcPr>
            <w:tcW w:type="dxa" w:w="2608"/>
            <w:tcMar>
              <w:top w:w="60" w:type="dxa"/>
              <w:start w:w="60" w:type="dxa"/>
              <w:bottom w:w="60" w:type="dxa"/>
              <w:end w:w="60" w:type="dxa"/>
            </w:tcMar>
            <w:vAlign w:val="top"/>
          </w:tcPr>
          <w:p>
            <w:r/>
            <w:r>
              <w:rPr>
                <w:rFonts w:ascii="Aptos" w:hAnsi="Aptos"/>
                <w:sz w:val="15"/>
              </w:rPr>
              <w:t>Benchmark</w:t>
            </w:r>
          </w:p>
        </w:tc>
        <w:tc>
          <w:tcPr>
            <w:tcW w:type="dxa" w:w="6690"/>
            <w:tcMar>
              <w:top w:w="60" w:type="dxa"/>
              <w:start w:w="60" w:type="dxa"/>
              <w:bottom w:w="60" w:type="dxa"/>
              <w:end w:w="60" w:type="dxa"/>
            </w:tcMar>
            <w:vAlign w:val="top"/>
          </w:tcPr>
          <w:p>
            <w:r/>
            <w:r>
              <w:rPr>
                <w:rFonts w:ascii="Aptos" w:hAnsi="Aptos"/>
                <w:sz w:val="15"/>
              </w:rPr>
              <w:t>"{FUND_NAME}" benchmark</w:t>
            </w:r>
          </w:p>
        </w:tc>
      </w:tr>
      <w:tr>
        <w:tc>
          <w:tcPr>
            <w:tcW w:type="dxa" w:w="2608"/>
            <w:tcMar>
              <w:top w:w="60" w:type="dxa"/>
              <w:start w:w="60" w:type="dxa"/>
              <w:bottom w:w="60" w:type="dxa"/>
              <w:end w:w="60" w:type="dxa"/>
            </w:tcMar>
            <w:vAlign w:val="top"/>
          </w:tcPr>
          <w:p>
            <w:r/>
            <w:r>
              <w:rPr>
                <w:rFonts w:ascii="Aptos" w:hAnsi="Aptos"/>
                <w:sz w:val="15"/>
              </w:rPr>
              <w:t>Date de lancement</w:t>
            </w:r>
          </w:p>
        </w:tc>
        <w:tc>
          <w:tcPr>
            <w:tcW w:type="dxa" w:w="6690"/>
            <w:tcMar>
              <w:top w:w="60" w:type="dxa"/>
              <w:start w:w="60" w:type="dxa"/>
              <w:bottom w:w="60" w:type="dxa"/>
              <w:end w:w="60" w:type="dxa"/>
            </w:tcMar>
            <w:vAlign w:val="top"/>
          </w:tcPr>
          <w:p>
            <w:r/>
            <w:r>
              <w:rPr>
                <w:rFonts w:ascii="Aptos" w:hAnsi="Aptos"/>
                <w:sz w:val="15"/>
              </w:rPr>
              <w:t>"{FUND_NAME}" inception OR launched OR commencement</w:t>
            </w:r>
          </w:p>
        </w:tc>
      </w:tr>
      <w:tr>
        <w:tc>
          <w:tcPr>
            <w:tcW w:type="dxa" w:w="2608"/>
            <w:tcMar>
              <w:top w:w="60" w:type="dxa"/>
              <w:start w:w="60" w:type="dxa"/>
              <w:bottom w:w="60" w:type="dxa"/>
              <w:end w:w="60" w:type="dxa"/>
            </w:tcMar>
            <w:vAlign w:val="top"/>
          </w:tcPr>
          <w:p>
            <w:r/>
            <w:r>
              <w:rPr>
                <w:rFonts w:ascii="Aptos" w:hAnsi="Aptos"/>
                <w:sz w:val="15"/>
              </w:rPr>
              <w:t>Prix initial</w:t>
            </w:r>
          </w:p>
        </w:tc>
        <w:tc>
          <w:tcPr>
            <w:tcW w:type="dxa" w:w="6690"/>
            <w:tcMar>
              <w:top w:w="60" w:type="dxa"/>
              <w:start w:w="60" w:type="dxa"/>
              <w:bottom w:w="60" w:type="dxa"/>
              <w:end w:w="60" w:type="dxa"/>
            </w:tcMar>
            <w:vAlign w:val="top"/>
          </w:tcPr>
          <w:p>
            <w:r/>
            <w:r>
              <w:rPr>
                <w:rFonts w:ascii="Aptos" w:hAnsi="Aptos"/>
                <w:sz w:val="15"/>
              </w:rPr>
              <w:t>"{FUND_NAME}" "initial offer price" OR "initial unit price"</w:t>
            </w:r>
          </w:p>
        </w:tc>
      </w:tr>
      <w:tr>
        <w:tc>
          <w:tcPr>
            <w:tcW w:type="dxa" w:w="2608"/>
            <w:tcMar>
              <w:top w:w="60" w:type="dxa"/>
              <w:start w:w="60" w:type="dxa"/>
              <w:bottom w:w="60" w:type="dxa"/>
              <w:end w:w="60" w:type="dxa"/>
            </w:tcMar>
            <w:vAlign w:val="top"/>
          </w:tcPr>
          <w:p>
            <w:r/>
            <w:r>
              <w:rPr>
                <w:rFonts w:ascii="Aptos" w:hAnsi="Aptos"/>
                <w:sz w:val="15"/>
              </w:rPr>
              <w:t>Distribution</w:t>
            </w:r>
          </w:p>
        </w:tc>
        <w:tc>
          <w:tcPr>
            <w:tcW w:type="dxa" w:w="6690"/>
            <w:tcMar>
              <w:top w:w="60" w:type="dxa"/>
              <w:start w:w="60" w:type="dxa"/>
              <w:bottom w:w="60" w:type="dxa"/>
              <w:end w:w="60" w:type="dxa"/>
            </w:tcMar>
            <w:vAlign w:val="top"/>
          </w:tcPr>
          <w:p>
            <w:r/>
            <w:r>
              <w:rPr>
                <w:rFonts w:ascii="Aptos" w:hAnsi="Aptos"/>
                <w:sz w:val="15"/>
              </w:rPr>
              <w:t>"{FUND_NAME}" dividend OR distribution</w:t>
            </w:r>
          </w:p>
        </w:tc>
      </w:tr>
      <w:tr>
        <w:tc>
          <w:tcPr>
            <w:tcW w:type="dxa" w:w="2608"/>
            <w:tcMar>
              <w:top w:w="60" w:type="dxa"/>
              <w:start w:w="60" w:type="dxa"/>
              <w:bottom w:w="60" w:type="dxa"/>
              <w:end w:w="60" w:type="dxa"/>
            </w:tcMar>
            <w:vAlign w:val="top"/>
          </w:tcPr>
          <w:p>
            <w:r/>
            <w:r>
              <w:rPr>
                <w:rFonts w:ascii="Aptos" w:hAnsi="Aptos"/>
                <w:sz w:val="15"/>
              </w:rPr>
              <w:t>Wayback</w:t>
            </w:r>
          </w:p>
        </w:tc>
        <w:tc>
          <w:tcPr>
            <w:tcW w:type="dxa" w:w="6690"/>
            <w:tcMar>
              <w:top w:w="60" w:type="dxa"/>
              <w:start w:w="60" w:type="dxa"/>
              <w:bottom w:w="60" w:type="dxa"/>
              <w:end w:w="60" w:type="dxa"/>
            </w:tcMar>
            <w:vAlign w:val="top"/>
          </w:tcPr>
          <w:p>
            <w:r/>
            <w:r>
              <w:rPr>
                <w:rFonts w:ascii="Aptos" w:hAnsi="Aptos"/>
                <w:sz w:val="15"/>
              </w:rPr>
              <w:t>site:web.archive.org "{FUND_NAME}"</w:t>
            </w:r>
          </w:p>
        </w:tc>
      </w:tr>
      <w:tr>
        <w:tc>
          <w:tcPr>
            <w:tcW w:type="dxa" w:w="2608"/>
            <w:tcMar>
              <w:top w:w="60" w:type="dxa"/>
              <w:start w:w="60" w:type="dxa"/>
              <w:bottom w:w="60" w:type="dxa"/>
              <w:end w:w="60" w:type="dxa"/>
            </w:tcMar>
            <w:vAlign w:val="top"/>
          </w:tcPr>
          <w:p>
            <w:r/>
            <w:r>
              <w:rPr>
                <w:rFonts w:ascii="Aptos" w:hAnsi="Aptos"/>
                <w:sz w:val="15"/>
              </w:rPr>
              <w:t>NGX</w:t>
            </w:r>
          </w:p>
        </w:tc>
        <w:tc>
          <w:tcPr>
            <w:tcW w:type="dxa" w:w="6690"/>
            <w:tcMar>
              <w:top w:w="60" w:type="dxa"/>
              <w:start w:w="60" w:type="dxa"/>
              <w:bottom w:w="60" w:type="dxa"/>
              <w:end w:w="60" w:type="dxa"/>
            </w:tcMar>
            <w:vAlign w:val="top"/>
          </w:tcPr>
          <w:p>
            <w:r/>
            <w:r>
              <w:rPr>
                <w:rFonts w:ascii="Aptos" w:hAnsi="Aptos"/>
                <w:sz w:val="15"/>
              </w:rPr>
              <w:t>"{FUND_NAME}" site:ngxgroup.com</w:t>
            </w:r>
          </w:p>
        </w:tc>
      </w:tr>
      <w:tr>
        <w:tc>
          <w:tcPr>
            <w:tcW w:type="dxa" w:w="2608"/>
            <w:tcMar>
              <w:top w:w="60" w:type="dxa"/>
              <w:start w:w="60" w:type="dxa"/>
              <w:bottom w:w="60" w:type="dxa"/>
              <w:end w:w="60" w:type="dxa"/>
            </w:tcMar>
            <w:vAlign w:val="top"/>
          </w:tcPr>
          <w:p>
            <w:r/>
            <w:r>
              <w:rPr>
                <w:rFonts w:ascii="Aptos" w:hAnsi="Aptos"/>
                <w:sz w:val="15"/>
              </w:rPr>
              <w:t>Presse Nigeria</w:t>
            </w:r>
          </w:p>
        </w:tc>
        <w:tc>
          <w:tcPr>
            <w:tcW w:type="dxa" w:w="6690"/>
            <w:tcMar>
              <w:top w:w="60" w:type="dxa"/>
              <w:start w:w="60" w:type="dxa"/>
              <w:bottom w:w="60" w:type="dxa"/>
              <w:end w:w="60" w:type="dxa"/>
            </w:tcMar>
            <w:vAlign w:val="top"/>
          </w:tcPr>
          <w:p>
            <w:r/>
            <w:r>
              <w:rPr>
                <w:rFonts w:ascii="Aptos" w:hAnsi="Aptos"/>
                <w:sz w:val="15"/>
              </w:rPr>
              <w:t>"{FUND_NAME}" (BusinessDay OR Nairametrics OR ThisDay OR Guardian)</w:t>
            </w:r>
          </w:p>
        </w:tc>
      </w:tr>
    </w:tbl>
    <w:p>
      <w:pPr>
        <w:widowControl/>
        <w:spacing w:after="0"/>
      </w:pPr>
    </w:p>
    <w:p>
      <w:pPr>
        <w:pStyle w:val="Heading2"/>
        <w:widowControl/>
      </w:pPr>
      <w:r>
        <w:t>10.2 Expansion intelligente des noms</w:t>
      </w:r>
    </w:p>
    <w:p>
      <w:pPr>
        <w:pStyle w:val="ListBullet"/>
        <w:widowControl/>
        <w:ind w:left="397" w:hanging="142"/>
      </w:pPr>
      <w:r>
        <w:rPr>
          <w:rFonts w:ascii="Aptos" w:hAnsi="Aptos"/>
          <w:sz w:val="18"/>
        </w:rPr>
        <w:t>Canary Growth / CanaryGrowth ; Euro Bond / Eurobond ; Mgt / Management ; Co. / Company.</w:t>
      </w:r>
    </w:p>
    <w:p>
      <w:pPr>
        <w:pStyle w:val="ListBullet"/>
        <w:widowControl/>
        <w:ind w:left="397" w:hanging="142"/>
      </w:pPr>
      <w:r>
        <w:rPr>
          <w:rFonts w:ascii="Aptos" w:hAnsi="Aptos"/>
          <w:sz w:val="18"/>
        </w:rPr>
        <w:t>Nom avec et sans Fund, Scheme, Trust, ETF, REIT.</w:t>
      </w:r>
    </w:p>
    <w:p>
      <w:pPr>
        <w:pStyle w:val="ListBullet"/>
        <w:widowControl/>
        <w:ind w:left="397" w:hanging="142"/>
      </w:pPr>
      <w:r>
        <w:rPr>
          <w:rFonts w:ascii="Aptos" w:hAnsi="Aptos"/>
          <w:sz w:val="18"/>
        </w:rPr>
        <w:t>Ancienne marque bancaire et nouvelle société de gestion.</w:t>
      </w:r>
    </w:p>
    <w:p>
      <w:pPr>
        <w:pStyle w:val="ListBullet"/>
        <w:widowControl/>
        <w:ind w:left="397" w:hanging="142"/>
      </w:pPr>
      <w:r>
        <w:rPr>
          <w:rFonts w:ascii="Aptos" w:hAnsi="Aptos"/>
          <w:sz w:val="18"/>
        </w:rPr>
        <w:t>Nom en majuscules tel que SEC et capitalisation commerciale du gestionnaire.</w:t>
      </w:r>
    </w:p>
    <w:p>
      <w:pPr>
        <w:pStyle w:val="ListBullet"/>
        <w:widowControl/>
        <w:ind w:left="397" w:hanging="142"/>
      </w:pPr>
      <w:r>
        <w:rPr>
          <w:rFonts w:ascii="Aptos" w:hAnsi="Aptos"/>
          <w:sz w:val="18"/>
        </w:rPr>
        <w:t>Faute probable de la SEC, mais ne jamais corriger le raw.</w:t>
      </w:r>
    </w:p>
    <w:p>
      <w:pPr>
        <w:pStyle w:val="ListBullet"/>
        <w:widowControl/>
        <w:ind w:left="397" w:hanging="142"/>
      </w:pPr>
      <w:r>
        <w:rPr>
          <w:rFonts w:ascii="Aptos" w:hAnsi="Aptos"/>
          <w:sz w:val="18"/>
        </w:rPr>
        <w:t>Recherche par phrase unique du prospectus ou par nom du trustee lorsque le nom du fonds est générique.</w:t>
      </w:r>
    </w:p>
    <w:p>
      <w:pPr>
        <w:pStyle w:val="ListBullet"/>
        <w:widowControl/>
        <w:ind w:left="397" w:hanging="142"/>
      </w:pPr>
      <w:r>
        <w:rPr>
          <w:rFonts w:ascii="Aptos" w:hAnsi="Aptos"/>
          <w:sz w:val="18"/>
        </w:rPr>
        <w:t>Recherche par numéro CAC, ticker, ISIN ou code SEC lorsqu’ils sont disponibles.</w:t>
      </w:r>
    </w:p>
    <w:p>
      <w:pPr>
        <w:pStyle w:val="Heading2"/>
        <w:widowControl/>
      </w:pPr>
      <w:r>
        <w:t>10.3 Recherche dans les documents</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268"/>
            <w:shd w:fill="D9EAF2"/>
            <w:tcMar>
              <w:top w:w="70" w:type="dxa"/>
              <w:start w:w="70" w:type="dxa"/>
              <w:bottom w:w="70" w:type="dxa"/>
              <w:end w:w="70" w:type="dxa"/>
            </w:tcMar>
            <w:vAlign w:val="center"/>
          </w:tcPr>
          <w:p>
            <w:r/>
            <w:r>
              <w:rPr>
                <w:rFonts w:ascii="Aptos" w:hAnsi="Aptos"/>
                <w:b/>
                <w:color w:val="123E5E"/>
                <w:sz w:val="15"/>
              </w:rPr>
              <w:t>Famille</w:t>
            </w:r>
          </w:p>
        </w:tc>
        <w:tc>
          <w:tcPr>
            <w:tcW w:type="dxa" w:w="7030"/>
            <w:shd w:fill="D9EAF2"/>
            <w:tcMar>
              <w:top w:w="70" w:type="dxa"/>
              <w:start w:w="70" w:type="dxa"/>
              <w:bottom w:w="70" w:type="dxa"/>
              <w:end w:w="70" w:type="dxa"/>
            </w:tcMar>
            <w:vAlign w:val="center"/>
          </w:tcPr>
          <w:p>
            <w:r/>
            <w:r>
              <w:rPr>
                <w:rFonts w:ascii="Aptos" w:hAnsi="Aptos"/>
                <w:b/>
                <w:color w:val="123E5E"/>
                <w:sz w:val="15"/>
              </w:rPr>
              <w:t>Mots-clés</w:t>
            </w:r>
          </w:p>
        </w:tc>
      </w:tr>
      <w:tr>
        <w:tc>
          <w:tcPr>
            <w:tcW w:type="dxa" w:w="2268"/>
            <w:tcMar>
              <w:top w:w="60" w:type="dxa"/>
              <w:start w:w="60" w:type="dxa"/>
              <w:bottom w:w="60" w:type="dxa"/>
              <w:end w:w="60" w:type="dxa"/>
            </w:tcMar>
            <w:vAlign w:val="top"/>
          </w:tcPr>
          <w:p>
            <w:r/>
            <w:r>
              <w:rPr>
                <w:rFonts w:ascii="Aptos" w:hAnsi="Aptos"/>
                <w:sz w:val="15"/>
              </w:rPr>
              <w:t>Lancement</w:t>
            </w:r>
          </w:p>
        </w:tc>
        <w:tc>
          <w:tcPr>
            <w:tcW w:type="dxa" w:w="7030"/>
            <w:tcMar>
              <w:top w:w="60" w:type="dxa"/>
              <w:start w:w="60" w:type="dxa"/>
              <w:bottom w:w="60" w:type="dxa"/>
              <w:end w:w="60" w:type="dxa"/>
            </w:tcMar>
            <w:vAlign w:val="top"/>
          </w:tcPr>
          <w:p>
            <w:r/>
            <w:r>
              <w:rPr>
                <w:rFonts w:ascii="Aptos" w:hAnsi="Aptos"/>
                <w:sz w:val="15"/>
              </w:rPr>
              <w:t>inception, commenced operations, initial offer price, unit price</w:t>
            </w:r>
          </w:p>
        </w:tc>
      </w:tr>
      <w:tr>
        <w:tc>
          <w:tcPr>
            <w:tcW w:type="dxa" w:w="2268"/>
            <w:tcMar>
              <w:top w:w="60" w:type="dxa"/>
              <w:start w:w="60" w:type="dxa"/>
              <w:bottom w:w="60" w:type="dxa"/>
              <w:end w:w="60" w:type="dxa"/>
            </w:tcMar>
            <w:vAlign w:val="top"/>
          </w:tcPr>
          <w:p>
            <w:r/>
            <w:r>
              <w:rPr>
                <w:rFonts w:ascii="Aptos" w:hAnsi="Aptos"/>
                <w:sz w:val="15"/>
              </w:rPr>
              <w:t>Prestataires</w:t>
            </w:r>
          </w:p>
        </w:tc>
        <w:tc>
          <w:tcPr>
            <w:tcW w:type="dxa" w:w="7030"/>
            <w:tcMar>
              <w:top w:w="60" w:type="dxa"/>
              <w:start w:w="60" w:type="dxa"/>
              <w:bottom w:w="60" w:type="dxa"/>
              <w:end w:w="60" w:type="dxa"/>
            </w:tcMar>
            <w:vAlign w:val="top"/>
          </w:tcPr>
          <w:p>
            <w:r/>
            <w:r>
              <w:rPr>
                <w:rFonts w:ascii="Aptos" w:hAnsi="Aptos"/>
                <w:sz w:val="15"/>
              </w:rPr>
              <w:t>trustee, custodian, registrar, fund manager</w:t>
            </w:r>
          </w:p>
        </w:tc>
      </w:tr>
      <w:tr>
        <w:tc>
          <w:tcPr>
            <w:tcW w:type="dxa" w:w="2268"/>
            <w:tcMar>
              <w:top w:w="60" w:type="dxa"/>
              <w:start w:w="60" w:type="dxa"/>
              <w:bottom w:w="60" w:type="dxa"/>
              <w:end w:w="60" w:type="dxa"/>
            </w:tcMar>
            <w:vAlign w:val="top"/>
          </w:tcPr>
          <w:p>
            <w:r/>
            <w:r>
              <w:rPr>
                <w:rFonts w:ascii="Aptos" w:hAnsi="Aptos"/>
                <w:sz w:val="15"/>
              </w:rPr>
              <w:t>Politique</w:t>
            </w:r>
          </w:p>
        </w:tc>
        <w:tc>
          <w:tcPr>
            <w:tcW w:type="dxa" w:w="7030"/>
            <w:tcMar>
              <w:top w:w="60" w:type="dxa"/>
              <w:start w:w="60" w:type="dxa"/>
              <w:bottom w:w="60" w:type="dxa"/>
              <w:end w:w="60" w:type="dxa"/>
            </w:tcMar>
            <w:vAlign w:val="top"/>
          </w:tcPr>
          <w:p>
            <w:r/>
            <w:r>
              <w:rPr>
                <w:rFonts w:ascii="Aptos" w:hAnsi="Aptos"/>
                <w:sz w:val="15"/>
              </w:rPr>
              <w:t>investment objective, benchmark, distribution, dividend</w:t>
            </w:r>
          </w:p>
        </w:tc>
      </w:tr>
      <w:tr>
        <w:tc>
          <w:tcPr>
            <w:tcW w:type="dxa" w:w="2268"/>
            <w:tcMar>
              <w:top w:w="60" w:type="dxa"/>
              <w:start w:w="60" w:type="dxa"/>
              <w:bottom w:w="60" w:type="dxa"/>
              <w:end w:w="60" w:type="dxa"/>
            </w:tcMar>
            <w:vAlign w:val="top"/>
          </w:tcPr>
          <w:p>
            <w:r/>
            <w:r>
              <w:rPr>
                <w:rFonts w:ascii="Aptos" w:hAnsi="Aptos"/>
                <w:sz w:val="15"/>
              </w:rPr>
              <w:t>Événements</w:t>
            </w:r>
          </w:p>
        </w:tc>
        <w:tc>
          <w:tcPr>
            <w:tcW w:type="dxa" w:w="7030"/>
            <w:tcMar>
              <w:top w:w="60" w:type="dxa"/>
              <w:start w:w="60" w:type="dxa"/>
              <w:bottom w:w="60" w:type="dxa"/>
              <w:end w:w="60" w:type="dxa"/>
            </w:tcMar>
            <w:vAlign w:val="top"/>
          </w:tcPr>
          <w:p>
            <w:r/>
            <w:r>
              <w:rPr>
                <w:rFonts w:ascii="Aptos" w:hAnsi="Aptos"/>
                <w:sz w:val="15"/>
              </w:rPr>
              <w:t>change of name, merged, transfer, termination, liquidation, subsequent events, comparative figures, going concern, SEC approval</w:t>
            </w:r>
          </w:p>
        </w:tc>
      </w:tr>
    </w:tbl>
    <w:p>
      <w:pPr>
        <w:widowControl/>
        <w:spacing w:after="0"/>
      </w:pPr>
    </w:p>
    <w:p>
      <w:pPr>
        <w:pStyle w:val="Heading2"/>
        <w:widowControl/>
      </w:pPr>
      <w:r>
        <w:t>10.4 Wayback Machine</w:t>
      </w:r>
    </w:p>
    <w:p>
      <w:pPr>
        <w:pStyle w:val="ListBullet"/>
        <w:widowControl/>
        <w:ind w:left="397" w:hanging="142"/>
      </w:pPr>
      <w:r>
        <w:rPr>
          <w:rFonts w:ascii="Aptos" w:hAnsi="Aptos"/>
          <w:sz w:val="18"/>
        </w:rPr>
        <w:t>Rechercher d'abord l'URL actuelle, puis les anciens domaines du gestionnaire.</w:t>
      </w:r>
    </w:p>
    <w:p>
      <w:pPr>
        <w:pStyle w:val="ListBullet"/>
        <w:widowControl/>
        <w:ind w:left="397" w:hanging="142"/>
      </w:pPr>
      <w:r>
        <w:rPr>
          <w:rFonts w:ascii="Aptos" w:hAnsi="Aptos"/>
          <w:sz w:val="18"/>
        </w:rPr>
        <w:t>Capturer la date du snapshot et l’URL exacte de la ressource.</w:t>
      </w:r>
    </w:p>
    <w:p>
      <w:pPr>
        <w:pStyle w:val="ListBullet"/>
        <w:widowControl/>
        <w:ind w:left="397" w:hanging="142"/>
      </w:pPr>
      <w:r>
        <w:rPr>
          <w:rFonts w:ascii="Aptos" w:hAnsi="Aptos"/>
          <w:sz w:val="18"/>
        </w:rPr>
        <w:t>Tester les liens PDF présents dans la page archivée ; certains fichiers sont archivés séparément.</w:t>
      </w:r>
    </w:p>
    <w:p>
      <w:pPr>
        <w:pStyle w:val="ListBullet"/>
        <w:widowControl/>
        <w:ind w:left="397" w:hanging="142"/>
      </w:pPr>
      <w:r>
        <w:rPr>
          <w:rFonts w:ascii="Aptos" w:hAnsi="Aptos"/>
          <w:sz w:val="18"/>
        </w:rPr>
        <w:t>Comparer plusieurs snapshots pour dater une apparition, un changement ou une disparition.</w:t>
      </w:r>
    </w:p>
    <w:p>
      <w:pPr>
        <w:pStyle w:val="ListBullet"/>
        <w:widowControl/>
        <w:ind w:left="397" w:hanging="142"/>
      </w:pPr>
      <w:r>
        <w:rPr>
          <w:rFonts w:ascii="Aptos" w:hAnsi="Aptos"/>
          <w:sz w:val="18"/>
        </w:rPr>
        <w:t>Une absence dans Wayback ne prouve pas une absence historique.</w:t>
      </w:r>
    </w:p>
    <w:p>
      <w:pPr>
        <w:pStyle w:val="ListBullet"/>
        <w:widowControl/>
        <w:ind w:left="397" w:hanging="142"/>
      </w:pPr>
      <w:r>
        <w:rPr>
          <w:rFonts w:ascii="Aptos" w:hAnsi="Aptos"/>
          <w:sz w:val="18"/>
        </w:rPr>
        <w:t>Qualifier l'archive comme source B si elle préserve un document officiel, D si elle préserve seulement une page.</w:t>
      </w:r>
    </w:p>
    <w:p>
      <w:pPr>
        <w:pStyle w:val="Heading2"/>
        <w:widowControl/>
      </w:pPr>
      <w:r>
        <w:t>10.5 Journal de recherche</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835"/>
            <w:shd w:fill="D9EAF2"/>
            <w:tcMar>
              <w:top w:w="70" w:type="dxa"/>
              <w:start w:w="70" w:type="dxa"/>
              <w:bottom w:w="70" w:type="dxa"/>
              <w:end w:w="70" w:type="dxa"/>
            </w:tcMar>
            <w:vAlign w:val="center"/>
          </w:tcPr>
          <w:p>
            <w:r/>
            <w:r>
              <w:rPr>
                <w:rFonts w:ascii="Aptos" w:hAnsi="Aptos"/>
                <w:b/>
                <w:color w:val="123E5E"/>
                <w:sz w:val="15"/>
              </w:rPr>
              <w:t>Champ</w:t>
            </w:r>
          </w:p>
        </w:tc>
        <w:tc>
          <w:tcPr>
            <w:tcW w:type="dxa" w:w="6463"/>
            <w:shd w:fill="D9EAF2"/>
            <w:tcMar>
              <w:top w:w="70" w:type="dxa"/>
              <w:start w:w="70" w:type="dxa"/>
              <w:bottom w:w="70" w:type="dxa"/>
              <w:end w:w="70" w:type="dxa"/>
            </w:tcMar>
            <w:vAlign w:val="center"/>
          </w:tcPr>
          <w:p>
            <w:r/>
            <w:r>
              <w:rPr>
                <w:rFonts w:ascii="Aptos" w:hAnsi="Aptos"/>
                <w:b/>
                <w:color w:val="123E5E"/>
                <w:sz w:val="15"/>
              </w:rPr>
              <w:t>Description</w:t>
            </w:r>
          </w:p>
        </w:tc>
      </w:tr>
      <w:tr>
        <w:tc>
          <w:tcPr>
            <w:tcW w:type="dxa" w:w="2835"/>
            <w:tcMar>
              <w:top w:w="60" w:type="dxa"/>
              <w:start w:w="60" w:type="dxa"/>
              <w:bottom w:w="60" w:type="dxa"/>
              <w:end w:w="60" w:type="dxa"/>
            </w:tcMar>
            <w:vAlign w:val="top"/>
          </w:tcPr>
          <w:p>
            <w:r/>
            <w:r>
              <w:rPr>
                <w:rFonts w:ascii="Aptos" w:hAnsi="Aptos"/>
                <w:sz w:val="15"/>
              </w:rPr>
              <w:t>search_run_id</w:t>
            </w:r>
          </w:p>
        </w:tc>
        <w:tc>
          <w:tcPr>
            <w:tcW w:type="dxa" w:w="6463"/>
            <w:tcMar>
              <w:top w:w="60" w:type="dxa"/>
              <w:start w:w="60" w:type="dxa"/>
              <w:bottom w:w="60" w:type="dxa"/>
              <w:end w:w="60" w:type="dxa"/>
            </w:tcMar>
            <w:vAlign w:val="top"/>
          </w:tcPr>
          <w:p>
            <w:r/>
            <w:r>
              <w:rPr>
                <w:rFonts w:ascii="Aptos" w:hAnsi="Aptos"/>
                <w:sz w:val="15"/>
              </w:rPr>
              <w:t>Identifiant</w:t>
            </w:r>
          </w:p>
        </w:tc>
      </w:tr>
      <w:tr>
        <w:tc>
          <w:tcPr>
            <w:tcW w:type="dxa" w:w="2835"/>
            <w:tcMar>
              <w:top w:w="60" w:type="dxa"/>
              <w:start w:w="60" w:type="dxa"/>
              <w:bottom w:w="60" w:type="dxa"/>
              <w:end w:w="60" w:type="dxa"/>
            </w:tcMar>
            <w:vAlign w:val="top"/>
          </w:tcPr>
          <w:p>
            <w:r/>
            <w:r>
              <w:rPr>
                <w:rFonts w:ascii="Aptos" w:hAnsi="Aptos"/>
                <w:sz w:val="15"/>
              </w:rPr>
              <w:t>fund_id / row_id</w:t>
            </w:r>
          </w:p>
        </w:tc>
        <w:tc>
          <w:tcPr>
            <w:tcW w:type="dxa" w:w="6463"/>
            <w:tcMar>
              <w:top w:w="60" w:type="dxa"/>
              <w:start w:w="60" w:type="dxa"/>
              <w:bottom w:w="60" w:type="dxa"/>
              <w:end w:w="60" w:type="dxa"/>
            </w:tcMar>
            <w:vAlign w:val="top"/>
          </w:tcPr>
          <w:p>
            <w:r/>
            <w:r>
              <w:rPr>
                <w:rFonts w:ascii="Aptos" w:hAnsi="Aptos"/>
                <w:sz w:val="15"/>
              </w:rPr>
              <w:t>Cible</w:t>
            </w:r>
          </w:p>
        </w:tc>
      </w:tr>
      <w:tr>
        <w:tc>
          <w:tcPr>
            <w:tcW w:type="dxa" w:w="2835"/>
            <w:tcMar>
              <w:top w:w="60" w:type="dxa"/>
              <w:start w:w="60" w:type="dxa"/>
              <w:bottom w:w="60" w:type="dxa"/>
              <w:end w:w="60" w:type="dxa"/>
            </w:tcMar>
            <w:vAlign w:val="top"/>
          </w:tcPr>
          <w:p>
            <w:r/>
            <w:r>
              <w:rPr>
                <w:rFonts w:ascii="Aptos" w:hAnsi="Aptos"/>
                <w:sz w:val="15"/>
              </w:rPr>
              <w:t>query</w:t>
            </w:r>
          </w:p>
        </w:tc>
        <w:tc>
          <w:tcPr>
            <w:tcW w:type="dxa" w:w="6463"/>
            <w:tcMar>
              <w:top w:w="60" w:type="dxa"/>
              <w:start w:w="60" w:type="dxa"/>
              <w:bottom w:w="60" w:type="dxa"/>
              <w:end w:w="60" w:type="dxa"/>
            </w:tcMar>
            <w:vAlign w:val="top"/>
          </w:tcPr>
          <w:p>
            <w:r/>
            <w:r>
              <w:rPr>
                <w:rFonts w:ascii="Aptos" w:hAnsi="Aptos"/>
                <w:sz w:val="15"/>
              </w:rPr>
              <w:t>Requête exacte</w:t>
            </w:r>
          </w:p>
        </w:tc>
      </w:tr>
      <w:tr>
        <w:tc>
          <w:tcPr>
            <w:tcW w:type="dxa" w:w="2835"/>
            <w:tcMar>
              <w:top w:w="60" w:type="dxa"/>
              <w:start w:w="60" w:type="dxa"/>
              <w:bottom w:w="60" w:type="dxa"/>
              <w:end w:w="60" w:type="dxa"/>
            </w:tcMar>
            <w:vAlign w:val="top"/>
          </w:tcPr>
          <w:p>
            <w:r/>
            <w:r>
              <w:rPr>
                <w:rFonts w:ascii="Aptos" w:hAnsi="Aptos"/>
                <w:sz w:val="15"/>
              </w:rPr>
              <w:t>engine</w:t>
            </w:r>
          </w:p>
        </w:tc>
        <w:tc>
          <w:tcPr>
            <w:tcW w:type="dxa" w:w="6463"/>
            <w:tcMar>
              <w:top w:w="60" w:type="dxa"/>
              <w:start w:w="60" w:type="dxa"/>
              <w:bottom w:w="60" w:type="dxa"/>
              <w:end w:w="60" w:type="dxa"/>
            </w:tcMar>
            <w:vAlign w:val="top"/>
          </w:tcPr>
          <w:p>
            <w:r/>
            <w:r>
              <w:rPr>
                <w:rFonts w:ascii="Aptos" w:hAnsi="Aptos"/>
                <w:sz w:val="15"/>
              </w:rPr>
              <w:t>Google/Bing/site search</w:t>
            </w:r>
          </w:p>
        </w:tc>
      </w:tr>
      <w:tr>
        <w:tc>
          <w:tcPr>
            <w:tcW w:type="dxa" w:w="2835"/>
            <w:tcMar>
              <w:top w:w="60" w:type="dxa"/>
              <w:start w:w="60" w:type="dxa"/>
              <w:bottom w:w="60" w:type="dxa"/>
              <w:end w:w="60" w:type="dxa"/>
            </w:tcMar>
            <w:vAlign w:val="top"/>
          </w:tcPr>
          <w:p>
            <w:r/>
            <w:r>
              <w:rPr>
                <w:rFonts w:ascii="Aptos" w:hAnsi="Aptos"/>
                <w:sz w:val="15"/>
              </w:rPr>
              <w:t>searched_at</w:t>
            </w:r>
          </w:p>
        </w:tc>
        <w:tc>
          <w:tcPr>
            <w:tcW w:type="dxa" w:w="6463"/>
            <w:tcMar>
              <w:top w:w="60" w:type="dxa"/>
              <w:start w:w="60" w:type="dxa"/>
              <w:bottom w:w="60" w:type="dxa"/>
              <w:end w:w="60" w:type="dxa"/>
            </w:tcMar>
            <w:vAlign w:val="top"/>
          </w:tcPr>
          <w:p>
            <w:r/>
            <w:r>
              <w:rPr>
                <w:rFonts w:ascii="Aptos" w:hAnsi="Aptos"/>
                <w:sz w:val="15"/>
              </w:rPr>
              <w:t>Horodatage</w:t>
            </w:r>
          </w:p>
        </w:tc>
      </w:tr>
      <w:tr>
        <w:tc>
          <w:tcPr>
            <w:tcW w:type="dxa" w:w="2835"/>
            <w:tcMar>
              <w:top w:w="60" w:type="dxa"/>
              <w:start w:w="60" w:type="dxa"/>
              <w:bottom w:w="60" w:type="dxa"/>
              <w:end w:w="60" w:type="dxa"/>
            </w:tcMar>
            <w:vAlign w:val="top"/>
          </w:tcPr>
          <w:p>
            <w:r/>
            <w:r>
              <w:rPr>
                <w:rFonts w:ascii="Aptos" w:hAnsi="Aptos"/>
                <w:sz w:val="15"/>
              </w:rPr>
              <w:t>result_url</w:t>
            </w:r>
          </w:p>
        </w:tc>
        <w:tc>
          <w:tcPr>
            <w:tcW w:type="dxa" w:w="6463"/>
            <w:tcMar>
              <w:top w:w="60" w:type="dxa"/>
              <w:start w:w="60" w:type="dxa"/>
              <w:bottom w:w="60" w:type="dxa"/>
              <w:end w:w="60" w:type="dxa"/>
            </w:tcMar>
            <w:vAlign w:val="top"/>
          </w:tcPr>
          <w:p>
            <w:r/>
            <w:r>
              <w:rPr>
                <w:rFonts w:ascii="Aptos" w:hAnsi="Aptos"/>
                <w:sz w:val="15"/>
              </w:rPr>
              <w:t>Résultat</w:t>
            </w:r>
          </w:p>
        </w:tc>
      </w:tr>
      <w:tr>
        <w:tc>
          <w:tcPr>
            <w:tcW w:type="dxa" w:w="2835"/>
            <w:tcMar>
              <w:top w:w="60" w:type="dxa"/>
              <w:start w:w="60" w:type="dxa"/>
              <w:bottom w:w="60" w:type="dxa"/>
              <w:end w:w="60" w:type="dxa"/>
            </w:tcMar>
            <w:vAlign w:val="top"/>
          </w:tcPr>
          <w:p>
            <w:r/>
            <w:r>
              <w:rPr>
                <w:rFonts w:ascii="Aptos" w:hAnsi="Aptos"/>
                <w:sz w:val="15"/>
              </w:rPr>
              <w:t>result_title</w:t>
            </w:r>
          </w:p>
        </w:tc>
        <w:tc>
          <w:tcPr>
            <w:tcW w:type="dxa" w:w="6463"/>
            <w:tcMar>
              <w:top w:w="60" w:type="dxa"/>
              <w:start w:w="60" w:type="dxa"/>
              <w:bottom w:w="60" w:type="dxa"/>
              <w:end w:w="60" w:type="dxa"/>
            </w:tcMar>
            <w:vAlign w:val="top"/>
          </w:tcPr>
          <w:p>
            <w:r/>
            <w:r>
              <w:rPr>
                <w:rFonts w:ascii="Aptos" w:hAnsi="Aptos"/>
                <w:sz w:val="15"/>
              </w:rPr>
              <w:t>Titre</w:t>
            </w:r>
          </w:p>
        </w:tc>
      </w:tr>
      <w:tr>
        <w:tc>
          <w:tcPr>
            <w:tcW w:type="dxa" w:w="2835"/>
            <w:tcMar>
              <w:top w:w="60" w:type="dxa"/>
              <w:start w:w="60" w:type="dxa"/>
              <w:bottom w:w="60" w:type="dxa"/>
              <w:end w:w="60" w:type="dxa"/>
            </w:tcMar>
            <w:vAlign w:val="top"/>
          </w:tcPr>
          <w:p>
            <w:r/>
            <w:r>
              <w:rPr>
                <w:rFonts w:ascii="Aptos" w:hAnsi="Aptos"/>
                <w:sz w:val="15"/>
              </w:rPr>
              <w:t>source_type</w:t>
            </w:r>
          </w:p>
        </w:tc>
        <w:tc>
          <w:tcPr>
            <w:tcW w:type="dxa" w:w="6463"/>
            <w:tcMar>
              <w:top w:w="60" w:type="dxa"/>
              <w:start w:w="60" w:type="dxa"/>
              <w:bottom w:w="60" w:type="dxa"/>
              <w:end w:w="60" w:type="dxa"/>
            </w:tcMar>
            <w:vAlign w:val="top"/>
          </w:tcPr>
          <w:p>
            <w:r/>
            <w:r>
              <w:rPr>
                <w:rFonts w:ascii="Aptos" w:hAnsi="Aptos"/>
                <w:sz w:val="15"/>
              </w:rPr>
              <w:t>Officiel/secondaire/archive</w:t>
            </w:r>
          </w:p>
        </w:tc>
      </w:tr>
      <w:tr>
        <w:tc>
          <w:tcPr>
            <w:tcW w:type="dxa" w:w="2835"/>
            <w:tcMar>
              <w:top w:w="60" w:type="dxa"/>
              <w:start w:w="60" w:type="dxa"/>
              <w:bottom w:w="60" w:type="dxa"/>
              <w:end w:w="60" w:type="dxa"/>
            </w:tcMar>
            <w:vAlign w:val="top"/>
          </w:tcPr>
          <w:p>
            <w:r/>
            <w:r>
              <w:rPr>
                <w:rFonts w:ascii="Aptos" w:hAnsi="Aptos"/>
                <w:sz w:val="15"/>
              </w:rPr>
              <w:t>relevance</w:t>
            </w:r>
          </w:p>
        </w:tc>
        <w:tc>
          <w:tcPr>
            <w:tcW w:type="dxa" w:w="6463"/>
            <w:tcMar>
              <w:top w:w="60" w:type="dxa"/>
              <w:start w:w="60" w:type="dxa"/>
              <w:bottom w:w="60" w:type="dxa"/>
              <w:end w:w="60" w:type="dxa"/>
            </w:tcMar>
            <w:vAlign w:val="top"/>
          </w:tcPr>
          <w:p>
            <w:r/>
            <w:r>
              <w:rPr>
                <w:rFonts w:ascii="Aptos" w:hAnsi="Aptos"/>
                <w:sz w:val="15"/>
              </w:rPr>
              <w:t>0–3</w:t>
            </w:r>
          </w:p>
        </w:tc>
      </w:tr>
      <w:tr>
        <w:tc>
          <w:tcPr>
            <w:tcW w:type="dxa" w:w="2835"/>
            <w:tcMar>
              <w:top w:w="60" w:type="dxa"/>
              <w:start w:w="60" w:type="dxa"/>
              <w:bottom w:w="60" w:type="dxa"/>
              <w:end w:w="60" w:type="dxa"/>
            </w:tcMar>
            <w:vAlign w:val="top"/>
          </w:tcPr>
          <w:p>
            <w:r/>
            <w:r>
              <w:rPr>
                <w:rFonts w:ascii="Aptos" w:hAnsi="Aptos"/>
                <w:sz w:val="15"/>
              </w:rPr>
              <w:t>document_saved</w:t>
            </w:r>
          </w:p>
        </w:tc>
        <w:tc>
          <w:tcPr>
            <w:tcW w:type="dxa" w:w="6463"/>
            <w:tcMar>
              <w:top w:w="60" w:type="dxa"/>
              <w:start w:w="60" w:type="dxa"/>
              <w:bottom w:w="60" w:type="dxa"/>
              <w:end w:w="60" w:type="dxa"/>
            </w:tcMar>
            <w:vAlign w:val="top"/>
          </w:tcPr>
          <w:p>
            <w:r/>
            <w:r>
              <w:rPr>
                <w:rFonts w:ascii="Aptos" w:hAnsi="Aptos"/>
                <w:sz w:val="15"/>
              </w:rPr>
              <w:t>Oui/non</w:t>
            </w:r>
          </w:p>
        </w:tc>
      </w:tr>
      <w:tr>
        <w:tc>
          <w:tcPr>
            <w:tcW w:type="dxa" w:w="2835"/>
            <w:tcMar>
              <w:top w:w="60" w:type="dxa"/>
              <w:start w:w="60" w:type="dxa"/>
              <w:bottom w:w="60" w:type="dxa"/>
              <w:end w:w="60" w:type="dxa"/>
            </w:tcMar>
            <w:vAlign w:val="top"/>
          </w:tcPr>
          <w:p>
            <w:r/>
            <w:r>
              <w:rPr>
                <w:rFonts w:ascii="Aptos" w:hAnsi="Aptos"/>
                <w:sz w:val="15"/>
              </w:rPr>
              <w:t>claim_supported</w:t>
            </w:r>
          </w:p>
        </w:tc>
        <w:tc>
          <w:tcPr>
            <w:tcW w:type="dxa" w:w="6463"/>
            <w:tcMar>
              <w:top w:w="60" w:type="dxa"/>
              <w:start w:w="60" w:type="dxa"/>
              <w:bottom w:w="60" w:type="dxa"/>
              <w:end w:w="60" w:type="dxa"/>
            </w:tcMar>
            <w:vAlign w:val="top"/>
          </w:tcPr>
          <w:p>
            <w:r/>
            <w:r>
              <w:rPr>
                <w:rFonts w:ascii="Aptos" w:hAnsi="Aptos"/>
                <w:sz w:val="15"/>
              </w:rPr>
              <w:t>Affirmation</w:t>
            </w:r>
          </w:p>
        </w:tc>
      </w:tr>
      <w:tr>
        <w:tc>
          <w:tcPr>
            <w:tcW w:type="dxa" w:w="2835"/>
            <w:tcMar>
              <w:top w:w="60" w:type="dxa"/>
              <w:start w:w="60" w:type="dxa"/>
              <w:bottom w:w="60" w:type="dxa"/>
              <w:end w:w="60" w:type="dxa"/>
            </w:tcMar>
            <w:vAlign w:val="top"/>
          </w:tcPr>
          <w:p>
            <w:r/>
            <w:r>
              <w:rPr>
                <w:rFonts w:ascii="Aptos" w:hAnsi="Aptos"/>
                <w:sz w:val="15"/>
              </w:rPr>
              <w:t>notes</w:t>
            </w:r>
          </w:p>
        </w:tc>
        <w:tc>
          <w:tcPr>
            <w:tcW w:type="dxa" w:w="6463"/>
            <w:tcMar>
              <w:top w:w="60" w:type="dxa"/>
              <w:start w:w="60" w:type="dxa"/>
              <w:bottom w:w="60" w:type="dxa"/>
              <w:end w:w="60" w:type="dxa"/>
            </w:tcMar>
            <w:vAlign w:val="top"/>
          </w:tcPr>
          <w:p>
            <w:r/>
            <w:r>
              <w:rPr>
                <w:rFonts w:ascii="Aptos" w:hAnsi="Aptos"/>
                <w:sz w:val="15"/>
              </w:rPr>
              <w:t>Pourquoi retenu ou rejeté</w:t>
            </w:r>
          </w:p>
        </w:tc>
      </w:tr>
    </w:tbl>
    <w:p>
      <w:pPr>
        <w:widowControl/>
        <w:spacing w:after="0"/>
      </w:pPr>
    </w:p>
    <w:p>
      <w:pPr>
        <w:widowControl/>
      </w:pPr>
      <w:r>
        <w:br w:type="page"/>
      </w:r>
    </w:p>
    <w:p>
      <w:pPr>
        <w:widowControl/>
        <w:jc w:val="center"/>
      </w:pPr>
      <w:r>
        <w:rPr>
          <w:rFonts w:ascii="Aptos Display" w:hAnsi="Aptos Display"/>
          <w:b/>
          <w:color w:val="123E5E"/>
          <w:sz w:val="44"/>
        </w:rPr>
        <w:t>PARTIE XI — COMPLÉTION DU DATAFRAME À 90 CHAMPS</w:t>
      </w:r>
    </w:p>
    <w:p>
      <w:pPr>
        <w:widowControl/>
        <w:jc w:val="center"/>
      </w:pPr>
      <w:r>
        <w:rPr>
          <w:rFonts w:ascii="Aptos" w:hAnsi="Aptos"/>
          <w:i/>
          <w:color w:val="505050"/>
          <w:sz w:val="22"/>
        </w:rPr>
        <w:t>Dictionnaire de recherche, sources et règles cellule par cellule</w:t>
      </w:r>
    </w:p>
    <w:p>
      <w:pPr>
        <w:widowControl/>
      </w:pPr>
    </w:p>
    <w:p>
      <w:pPr>
        <w:pStyle w:val="Heading1"/>
        <w:widowControl/>
      </w:pPr>
      <w:r>
        <w:t>11. Principe de mapping</w:t>
      </w:r>
    </w:p>
    <w:p>
      <w:pPr>
        <w:widowControl/>
      </w:pPr>
      <w:r>
        <w:rPr>
          <w:rFonts w:ascii="Aptos" w:hAnsi="Aptos"/>
          <w:sz w:val="19"/>
        </w:rPr>
        <w:t>Le classeur d'origine reste la source de vérité pour les intitulés exacts, lettres de colonnes et ordre. La matrice ci-dessous définit 90 objets logiques à rechercher. Lorsqu'une année est éclatée en plusieurs sous-colonnes dans le classeur réel, appliquer le mini-dictionnaire annuel à chaque sous-colonne sans renommer le fichier à l'aveugle.</w:t>
      </w:r>
    </w:p>
    <w:tbl>
      <w:tblPr>
        <w:tblW w:type="auto" w:w="0"/>
        <w:jc w:val="center"/>
        <w:tblLayout w:type="autofit"/>
        <w:tblLook w:firstColumn="1" w:firstRow="1" w:lastColumn="0" w:lastRow="0" w:noHBand="0" w:noVBand="1" w:val="04A0"/>
      </w:tblPr>
      <w:tblGrid>
        <w:gridCol w:w="10200"/>
      </w:tblGrid>
      <w:tr>
        <w:tc>
          <w:tcPr>
            <w:tcW w:type="dxa" w:w="10200"/>
            <w:shd w:fill="E8F5E9"/>
            <w:tcMar>
              <w:top w:w="140" w:type="dxa"/>
              <w:start w:w="150" w:type="dxa"/>
              <w:bottom w:w="140" w:type="dxa"/>
              <w:end w:w="150" w:type="dxa"/>
            </w:tcMar>
          </w:tcPr>
          <w:p>
            <w:r>
              <w:rPr>
                <w:rFonts w:ascii="Aptos" w:hAnsi="Aptos"/>
                <w:b/>
                <w:color w:val="123E5E"/>
                <w:sz w:val="18"/>
              </w:rPr>
              <w:t xml:space="preserve">Ancrages connus — </w:t>
            </w:r>
            <w:r>
              <w:rPr>
                <w:rFonts w:ascii="Aptos" w:hAnsi="Aptos"/>
                <w:sz w:val="18"/>
              </w:rPr>
              <w:t>Colonne A : nom du fonds dans les archives, point de départ absolu. Colonne D : nom actuel, indice de transformation. Colonne L : société de gestion actuelle. Colonne O : narration « Ce qui s'est passé ». Toutes les autres positions doivent être confirmées dans le classeur avant écriture.</w:t>
            </w:r>
          </w:p>
        </w:tc>
      </w:tr>
    </w:tbl>
    <w:p>
      <w:pPr>
        <w:widowControl/>
        <w:spacing w:after="0"/>
      </w:pPr>
    </w:p>
    <w:tbl>
      <w:tblPr>
        <w:tblStyle w:val="TableGrid"/>
        <w:tblW w:type="auto" w:w="0"/>
        <w:jc w:val="center"/>
        <w:tblLayout w:type="fixed"/>
        <w:tblLook w:firstColumn="1" w:firstRow="1" w:lastColumn="0" w:lastRow="0" w:noHBand="0" w:noVBand="1" w:val="04A0"/>
      </w:tblPr>
      <w:tblGrid>
        <w:gridCol w:w="1700"/>
        <w:gridCol w:w="1700"/>
        <w:gridCol w:w="1700"/>
        <w:gridCol w:w="1700"/>
        <w:gridCol w:w="1700"/>
        <w:gridCol w:w="1700"/>
      </w:tblGrid>
      <w:tr>
        <w:trPr>
          <w:tblHeader w:val="true"/>
        </w:trPr>
        <w:tc>
          <w:tcPr>
            <w:tcW w:type="dxa" w:w="397"/>
            <w:shd w:fill="D9EAF2"/>
            <w:tcMar>
              <w:top w:w="70" w:type="dxa"/>
              <w:start w:w="70" w:type="dxa"/>
              <w:bottom w:w="70" w:type="dxa"/>
              <w:end w:w="70" w:type="dxa"/>
            </w:tcMar>
            <w:vAlign w:val="center"/>
          </w:tcPr>
          <w:p>
            <w:r/>
            <w:r>
              <w:rPr>
                <w:rFonts w:ascii="Aptos" w:hAnsi="Aptos"/>
                <w:b/>
                <w:color w:val="123E5E"/>
                <w:sz w:val="12"/>
              </w:rPr>
              <w:t>#</w:t>
            </w:r>
          </w:p>
        </w:tc>
        <w:tc>
          <w:tcPr>
            <w:tcW w:type="dxa" w:w="1474"/>
            <w:shd w:fill="D9EAF2"/>
            <w:tcMar>
              <w:top w:w="70" w:type="dxa"/>
              <w:start w:w="70" w:type="dxa"/>
              <w:bottom w:w="70" w:type="dxa"/>
              <w:end w:w="70" w:type="dxa"/>
            </w:tcMar>
            <w:vAlign w:val="center"/>
          </w:tcPr>
          <w:p>
            <w:r/>
            <w:r>
              <w:rPr>
                <w:rFonts w:ascii="Aptos" w:hAnsi="Aptos"/>
                <w:b/>
                <w:color w:val="123E5E"/>
                <w:sz w:val="12"/>
              </w:rPr>
              <w:t>Bloc</w:t>
            </w:r>
          </w:p>
        </w:tc>
        <w:tc>
          <w:tcPr>
            <w:tcW w:type="dxa" w:w="1757"/>
            <w:shd w:fill="D9EAF2"/>
            <w:tcMar>
              <w:top w:w="70" w:type="dxa"/>
              <w:start w:w="70" w:type="dxa"/>
              <w:bottom w:w="70" w:type="dxa"/>
              <w:end w:w="70" w:type="dxa"/>
            </w:tcMar>
            <w:vAlign w:val="center"/>
          </w:tcPr>
          <w:p>
            <w:r/>
            <w:r>
              <w:rPr>
                <w:rFonts w:ascii="Aptos" w:hAnsi="Aptos"/>
                <w:b/>
                <w:color w:val="123E5E"/>
                <w:sz w:val="12"/>
              </w:rPr>
              <w:t>Champ logique</w:t>
            </w:r>
          </w:p>
        </w:tc>
        <w:tc>
          <w:tcPr>
            <w:tcW w:type="dxa" w:w="2551"/>
            <w:shd w:fill="D9EAF2"/>
            <w:tcMar>
              <w:top w:w="70" w:type="dxa"/>
              <w:start w:w="70" w:type="dxa"/>
              <w:bottom w:w="70" w:type="dxa"/>
              <w:end w:w="70" w:type="dxa"/>
            </w:tcMar>
            <w:vAlign w:val="center"/>
          </w:tcPr>
          <w:p>
            <w:r/>
            <w:r>
              <w:rPr>
                <w:rFonts w:ascii="Aptos" w:hAnsi="Aptos"/>
                <w:b/>
                <w:color w:val="123E5E"/>
                <w:sz w:val="12"/>
              </w:rPr>
              <w:t>Définition</w:t>
            </w:r>
          </w:p>
        </w:tc>
        <w:tc>
          <w:tcPr>
            <w:tcW w:type="dxa" w:w="1757"/>
            <w:shd w:fill="D9EAF2"/>
            <w:tcMar>
              <w:top w:w="70" w:type="dxa"/>
              <w:start w:w="70" w:type="dxa"/>
              <w:bottom w:w="70" w:type="dxa"/>
              <w:end w:w="70" w:type="dxa"/>
            </w:tcMar>
            <w:vAlign w:val="center"/>
          </w:tcPr>
          <w:p>
            <w:r/>
            <w:r>
              <w:rPr>
                <w:rFonts w:ascii="Aptos" w:hAnsi="Aptos"/>
                <w:b/>
                <w:color w:val="123E5E"/>
                <w:sz w:val="12"/>
              </w:rPr>
              <w:t>Source prioritaire</w:t>
            </w:r>
          </w:p>
        </w:tc>
        <w:tc>
          <w:tcPr>
            <w:tcW w:type="dxa" w:w="2324"/>
            <w:shd w:fill="D9EAF2"/>
            <w:tcMar>
              <w:top w:w="70" w:type="dxa"/>
              <w:start w:w="70" w:type="dxa"/>
              <w:bottom w:w="70" w:type="dxa"/>
              <w:end w:w="70" w:type="dxa"/>
            </w:tcMar>
            <w:vAlign w:val="center"/>
          </w:tcPr>
          <w:p>
            <w:r/>
            <w:r>
              <w:rPr>
                <w:rFonts w:ascii="Aptos" w:hAnsi="Aptos"/>
                <w:b/>
                <w:color w:val="123E5E"/>
                <w:sz w:val="12"/>
              </w:rPr>
              <w:t>Règle</w:t>
            </w:r>
          </w:p>
        </w:tc>
      </w:tr>
      <w:tr>
        <w:tc>
          <w:tcPr>
            <w:tcW w:type="dxa" w:w="397"/>
            <w:tcMar>
              <w:top w:w="60" w:type="dxa"/>
              <w:start w:w="60" w:type="dxa"/>
              <w:bottom w:w="60" w:type="dxa"/>
              <w:end w:w="60" w:type="dxa"/>
            </w:tcMar>
            <w:vAlign w:val="top"/>
          </w:tcPr>
          <w:p>
            <w:r/>
            <w:r>
              <w:rPr>
                <w:rFonts w:ascii="Aptos" w:hAnsi="Aptos"/>
                <w:sz w:val="12"/>
              </w:rPr>
              <w:t>1</w:t>
            </w:r>
          </w:p>
        </w:tc>
        <w:tc>
          <w:tcPr>
            <w:tcW w:type="dxa" w:w="1474"/>
            <w:tcMar>
              <w:top w:w="60" w:type="dxa"/>
              <w:start w:w="60" w:type="dxa"/>
              <w:bottom w:w="60" w:type="dxa"/>
              <w:end w:w="60" w:type="dxa"/>
            </w:tcMar>
            <w:vAlign w:val="top"/>
          </w:tcPr>
          <w:p>
            <w:r/>
            <w:r>
              <w:rPr>
                <w:rFonts w:ascii="Aptos" w:hAnsi="Aptos"/>
                <w:sz w:val="12"/>
              </w:rPr>
              <w:t>Identité</w:t>
            </w:r>
          </w:p>
        </w:tc>
        <w:tc>
          <w:tcPr>
            <w:tcW w:type="dxa" w:w="1757"/>
            <w:tcMar>
              <w:top w:w="60" w:type="dxa"/>
              <w:start w:w="60" w:type="dxa"/>
              <w:bottom w:w="60" w:type="dxa"/>
              <w:end w:w="60" w:type="dxa"/>
            </w:tcMar>
            <w:vAlign w:val="top"/>
          </w:tcPr>
          <w:p>
            <w:r/>
            <w:r>
              <w:rPr>
                <w:rFonts w:ascii="Aptos" w:hAnsi="Aptos"/>
                <w:sz w:val="12"/>
              </w:rPr>
              <w:t>Nom historique brut</w:t>
            </w:r>
          </w:p>
        </w:tc>
        <w:tc>
          <w:tcPr>
            <w:tcW w:type="dxa" w:w="2551"/>
            <w:tcMar>
              <w:top w:w="60" w:type="dxa"/>
              <w:start w:w="60" w:type="dxa"/>
              <w:bottom w:w="60" w:type="dxa"/>
              <w:end w:w="60" w:type="dxa"/>
            </w:tcMar>
            <w:vAlign w:val="top"/>
          </w:tcPr>
          <w:p>
            <w:r/>
            <w:r>
              <w:rPr>
                <w:rFonts w:ascii="Aptos" w:hAnsi="Aptos"/>
                <w:sz w:val="12"/>
              </w:rPr>
              <w:t>Nom exact dans les archives SEC.</w:t>
            </w:r>
          </w:p>
        </w:tc>
        <w:tc>
          <w:tcPr>
            <w:tcW w:type="dxa" w:w="1757"/>
            <w:tcMar>
              <w:top w:w="60" w:type="dxa"/>
              <w:start w:w="60" w:type="dxa"/>
              <w:bottom w:w="60" w:type="dxa"/>
              <w:end w:w="60" w:type="dxa"/>
            </w:tcMar>
            <w:vAlign w:val="top"/>
          </w:tcPr>
          <w:p>
            <w:r/>
            <w:r>
              <w:rPr>
                <w:rFonts w:ascii="Aptos" w:hAnsi="Aptos"/>
                <w:sz w:val="12"/>
              </w:rPr>
              <w:t>SEC Weekly / documents historiques</w:t>
            </w:r>
          </w:p>
        </w:tc>
        <w:tc>
          <w:tcPr>
            <w:tcW w:type="dxa" w:w="2324"/>
            <w:tcMar>
              <w:top w:w="60" w:type="dxa"/>
              <w:start w:w="60" w:type="dxa"/>
              <w:bottom w:w="60" w:type="dxa"/>
              <w:end w:w="60" w:type="dxa"/>
            </w:tcMar>
            <w:vAlign w:val="top"/>
          </w:tcPr>
          <w:p>
            <w:r/>
            <w:r>
              <w:rPr>
                <w:rFonts w:ascii="Aptos" w:hAnsi="Aptos"/>
                <w:sz w:val="12"/>
              </w:rPr>
              <w:t>Ne jamais modifier ; conserver chaque variante.</w:t>
            </w:r>
          </w:p>
        </w:tc>
      </w:tr>
      <w:tr>
        <w:tc>
          <w:tcPr>
            <w:tcW w:type="dxa" w:w="397"/>
            <w:tcMar>
              <w:top w:w="60" w:type="dxa"/>
              <w:start w:w="60" w:type="dxa"/>
              <w:bottom w:w="60" w:type="dxa"/>
              <w:end w:w="60" w:type="dxa"/>
            </w:tcMar>
            <w:vAlign w:val="top"/>
          </w:tcPr>
          <w:p>
            <w:r/>
            <w:r>
              <w:rPr>
                <w:rFonts w:ascii="Aptos" w:hAnsi="Aptos"/>
                <w:sz w:val="12"/>
              </w:rPr>
              <w:t>2</w:t>
            </w:r>
          </w:p>
        </w:tc>
        <w:tc>
          <w:tcPr>
            <w:tcW w:type="dxa" w:w="1474"/>
            <w:tcMar>
              <w:top w:w="60" w:type="dxa"/>
              <w:start w:w="60" w:type="dxa"/>
              <w:bottom w:w="60" w:type="dxa"/>
              <w:end w:w="60" w:type="dxa"/>
            </w:tcMar>
            <w:vAlign w:val="top"/>
          </w:tcPr>
          <w:p>
            <w:r/>
            <w:r>
              <w:rPr>
                <w:rFonts w:ascii="Aptos" w:hAnsi="Aptos"/>
                <w:sz w:val="12"/>
              </w:rPr>
              <w:t>Identité</w:t>
            </w:r>
          </w:p>
        </w:tc>
        <w:tc>
          <w:tcPr>
            <w:tcW w:type="dxa" w:w="1757"/>
            <w:tcMar>
              <w:top w:w="60" w:type="dxa"/>
              <w:start w:w="60" w:type="dxa"/>
              <w:bottom w:w="60" w:type="dxa"/>
              <w:end w:w="60" w:type="dxa"/>
            </w:tcMar>
            <w:vAlign w:val="top"/>
          </w:tcPr>
          <w:p>
            <w:r/>
            <w:r>
              <w:rPr>
                <w:rFonts w:ascii="Aptos" w:hAnsi="Aptos"/>
                <w:sz w:val="12"/>
              </w:rPr>
              <w:t>Nom historique normalisé</w:t>
            </w:r>
          </w:p>
        </w:tc>
        <w:tc>
          <w:tcPr>
            <w:tcW w:type="dxa" w:w="2551"/>
            <w:tcMar>
              <w:top w:w="60" w:type="dxa"/>
              <w:start w:w="60" w:type="dxa"/>
              <w:bottom w:w="60" w:type="dxa"/>
              <w:end w:w="60" w:type="dxa"/>
            </w:tcMar>
            <w:vAlign w:val="top"/>
          </w:tcPr>
          <w:p>
            <w:r/>
            <w:r>
              <w:rPr>
                <w:rFonts w:ascii="Aptos" w:hAnsi="Aptos"/>
                <w:sz w:val="12"/>
              </w:rPr>
              <w:t>Clé typographique de recherche.</w:t>
            </w:r>
          </w:p>
        </w:tc>
        <w:tc>
          <w:tcPr>
            <w:tcW w:type="dxa" w:w="1757"/>
            <w:tcMar>
              <w:top w:w="60" w:type="dxa"/>
              <w:start w:w="60" w:type="dxa"/>
              <w:bottom w:w="60" w:type="dxa"/>
              <w:end w:w="60" w:type="dxa"/>
            </w:tcMar>
            <w:vAlign w:val="top"/>
          </w:tcPr>
          <w:p>
            <w:r/>
            <w:r>
              <w:rPr>
                <w:rFonts w:ascii="Aptos" w:hAnsi="Aptos"/>
                <w:sz w:val="12"/>
              </w:rPr>
              <w:t>Calcul interne</w:t>
            </w:r>
          </w:p>
        </w:tc>
        <w:tc>
          <w:tcPr>
            <w:tcW w:type="dxa" w:w="2324"/>
            <w:tcMar>
              <w:top w:w="60" w:type="dxa"/>
              <w:start w:w="60" w:type="dxa"/>
              <w:bottom w:w="60" w:type="dxa"/>
              <w:end w:w="60" w:type="dxa"/>
            </w:tcMar>
            <w:vAlign w:val="top"/>
          </w:tcPr>
          <w:p>
            <w:r/>
            <w:r>
              <w:rPr>
                <w:rFonts w:ascii="Aptos" w:hAnsi="Aptos"/>
                <w:sz w:val="12"/>
              </w:rPr>
              <w:t>Réversible ; aucune décision juridique.</w:t>
            </w:r>
          </w:p>
        </w:tc>
      </w:tr>
      <w:tr>
        <w:tc>
          <w:tcPr>
            <w:tcW w:type="dxa" w:w="397"/>
            <w:tcMar>
              <w:top w:w="60" w:type="dxa"/>
              <w:start w:w="60" w:type="dxa"/>
              <w:bottom w:w="60" w:type="dxa"/>
              <w:end w:w="60" w:type="dxa"/>
            </w:tcMar>
            <w:vAlign w:val="top"/>
          </w:tcPr>
          <w:p>
            <w:r/>
            <w:r>
              <w:rPr>
                <w:rFonts w:ascii="Aptos" w:hAnsi="Aptos"/>
                <w:sz w:val="12"/>
              </w:rPr>
              <w:t>3</w:t>
            </w:r>
          </w:p>
        </w:tc>
        <w:tc>
          <w:tcPr>
            <w:tcW w:type="dxa" w:w="1474"/>
            <w:tcMar>
              <w:top w:w="60" w:type="dxa"/>
              <w:start w:w="60" w:type="dxa"/>
              <w:bottom w:w="60" w:type="dxa"/>
              <w:end w:w="60" w:type="dxa"/>
            </w:tcMar>
            <w:vAlign w:val="top"/>
          </w:tcPr>
          <w:p>
            <w:r/>
            <w:r>
              <w:rPr>
                <w:rFonts w:ascii="Aptos" w:hAnsi="Aptos"/>
                <w:sz w:val="12"/>
              </w:rPr>
              <w:t>Identité</w:t>
            </w:r>
          </w:p>
        </w:tc>
        <w:tc>
          <w:tcPr>
            <w:tcW w:type="dxa" w:w="1757"/>
            <w:tcMar>
              <w:top w:w="60" w:type="dxa"/>
              <w:start w:w="60" w:type="dxa"/>
              <w:bottom w:w="60" w:type="dxa"/>
              <w:end w:w="60" w:type="dxa"/>
            </w:tcMar>
            <w:vAlign w:val="top"/>
          </w:tcPr>
          <w:p>
            <w:r/>
            <w:r>
              <w:rPr>
                <w:rFonts w:ascii="Aptos" w:hAnsi="Aptos"/>
                <w:sz w:val="12"/>
              </w:rPr>
              <w:t>Identifiant canonique</w:t>
            </w:r>
          </w:p>
        </w:tc>
        <w:tc>
          <w:tcPr>
            <w:tcW w:type="dxa" w:w="2551"/>
            <w:tcMar>
              <w:top w:w="60" w:type="dxa"/>
              <w:start w:w="60" w:type="dxa"/>
              <w:bottom w:w="60" w:type="dxa"/>
              <w:end w:w="60" w:type="dxa"/>
            </w:tcMar>
            <w:vAlign w:val="top"/>
          </w:tcPr>
          <w:p>
            <w:r/>
            <w:r>
              <w:rPr>
                <w:rFonts w:ascii="Aptos" w:hAnsi="Aptos"/>
                <w:sz w:val="12"/>
              </w:rPr>
              <w:t>Fonds juridique ou classe confirmée.</w:t>
            </w:r>
          </w:p>
        </w:tc>
        <w:tc>
          <w:tcPr>
            <w:tcW w:type="dxa" w:w="1757"/>
            <w:tcMar>
              <w:top w:w="60" w:type="dxa"/>
              <w:start w:w="60" w:type="dxa"/>
              <w:bottom w:w="60" w:type="dxa"/>
              <w:end w:w="60" w:type="dxa"/>
            </w:tcMar>
            <w:vAlign w:val="top"/>
          </w:tcPr>
          <w:p>
            <w:r/>
            <w:r>
              <w:rPr>
                <w:rFonts w:ascii="Aptos" w:hAnsi="Aptos"/>
                <w:sz w:val="12"/>
              </w:rPr>
              <w:t>Preuves croisées</w:t>
            </w:r>
          </w:p>
        </w:tc>
        <w:tc>
          <w:tcPr>
            <w:tcW w:type="dxa" w:w="2324"/>
            <w:tcMar>
              <w:top w:w="60" w:type="dxa"/>
              <w:start w:w="60" w:type="dxa"/>
              <w:bottom w:w="60" w:type="dxa"/>
              <w:end w:w="60" w:type="dxa"/>
            </w:tcMar>
            <w:vAlign w:val="top"/>
          </w:tcPr>
          <w:p>
            <w:r/>
            <w:r>
              <w:rPr>
                <w:rFonts w:ascii="Aptos" w:hAnsi="Aptos"/>
                <w:sz w:val="12"/>
              </w:rPr>
              <w:t>Laisser non résolu si preuve insuffisante.</w:t>
            </w:r>
          </w:p>
        </w:tc>
      </w:tr>
      <w:tr>
        <w:tc>
          <w:tcPr>
            <w:tcW w:type="dxa" w:w="397"/>
            <w:tcMar>
              <w:top w:w="60" w:type="dxa"/>
              <w:start w:w="60" w:type="dxa"/>
              <w:bottom w:w="60" w:type="dxa"/>
              <w:end w:w="60" w:type="dxa"/>
            </w:tcMar>
            <w:vAlign w:val="top"/>
          </w:tcPr>
          <w:p>
            <w:r/>
            <w:r>
              <w:rPr>
                <w:rFonts w:ascii="Aptos" w:hAnsi="Aptos"/>
                <w:sz w:val="12"/>
              </w:rPr>
              <w:t>4</w:t>
            </w:r>
          </w:p>
        </w:tc>
        <w:tc>
          <w:tcPr>
            <w:tcW w:type="dxa" w:w="1474"/>
            <w:tcMar>
              <w:top w:w="60" w:type="dxa"/>
              <w:start w:w="60" w:type="dxa"/>
              <w:bottom w:w="60" w:type="dxa"/>
              <w:end w:w="60" w:type="dxa"/>
            </w:tcMar>
            <w:vAlign w:val="top"/>
          </w:tcPr>
          <w:p>
            <w:r/>
            <w:r>
              <w:rPr>
                <w:rFonts w:ascii="Aptos" w:hAnsi="Aptos"/>
                <w:sz w:val="12"/>
              </w:rPr>
              <w:t>Identité</w:t>
            </w:r>
          </w:p>
        </w:tc>
        <w:tc>
          <w:tcPr>
            <w:tcW w:type="dxa" w:w="1757"/>
            <w:tcMar>
              <w:top w:w="60" w:type="dxa"/>
              <w:start w:w="60" w:type="dxa"/>
              <w:bottom w:w="60" w:type="dxa"/>
              <w:end w:w="60" w:type="dxa"/>
            </w:tcMar>
            <w:vAlign w:val="top"/>
          </w:tcPr>
          <w:p>
            <w:r/>
            <w:r>
              <w:rPr>
                <w:rFonts w:ascii="Aptos" w:hAnsi="Aptos"/>
                <w:sz w:val="12"/>
              </w:rPr>
              <w:t>Nom actuel publié</w:t>
            </w:r>
          </w:p>
        </w:tc>
        <w:tc>
          <w:tcPr>
            <w:tcW w:type="dxa" w:w="2551"/>
            <w:tcMar>
              <w:top w:w="60" w:type="dxa"/>
              <w:start w:w="60" w:type="dxa"/>
              <w:bottom w:w="60" w:type="dxa"/>
              <w:end w:w="60" w:type="dxa"/>
            </w:tcMar>
            <w:vAlign w:val="top"/>
          </w:tcPr>
          <w:p>
            <w:r/>
            <w:r>
              <w:rPr>
                <w:rFonts w:ascii="Aptos" w:hAnsi="Aptos"/>
                <w:sz w:val="12"/>
              </w:rPr>
              <w:t>Nom dans la photographie récente.</w:t>
            </w:r>
          </w:p>
        </w:tc>
        <w:tc>
          <w:tcPr>
            <w:tcW w:type="dxa" w:w="1757"/>
            <w:tcMar>
              <w:top w:w="60" w:type="dxa"/>
              <w:start w:w="60" w:type="dxa"/>
              <w:bottom w:w="60" w:type="dxa"/>
              <w:end w:w="60" w:type="dxa"/>
            </w:tcMar>
            <w:vAlign w:val="top"/>
          </w:tcPr>
          <w:p>
            <w:r/>
            <w:r>
              <w:rPr>
                <w:rFonts w:ascii="Aptos" w:hAnsi="Aptos"/>
                <w:sz w:val="12"/>
              </w:rPr>
              <w:t>SEC Weekly/Monthly + gestionnaire</w:t>
            </w:r>
          </w:p>
        </w:tc>
        <w:tc>
          <w:tcPr>
            <w:tcW w:type="dxa" w:w="2324"/>
            <w:tcMar>
              <w:top w:w="60" w:type="dxa"/>
              <w:start w:w="60" w:type="dxa"/>
              <w:bottom w:w="60" w:type="dxa"/>
              <w:end w:w="60" w:type="dxa"/>
            </w:tcMar>
            <w:vAlign w:val="top"/>
          </w:tcPr>
          <w:p>
            <w:r/>
            <w:r>
              <w:rPr>
                <w:rFonts w:ascii="Aptos" w:hAnsi="Aptos"/>
                <w:sz w:val="12"/>
              </w:rPr>
              <w:t>Indice ; relier par événement confirmé.</w:t>
            </w:r>
          </w:p>
        </w:tc>
      </w:tr>
      <w:tr>
        <w:tc>
          <w:tcPr>
            <w:tcW w:type="dxa" w:w="397"/>
            <w:tcMar>
              <w:top w:w="60" w:type="dxa"/>
              <w:start w:w="60" w:type="dxa"/>
              <w:bottom w:w="60" w:type="dxa"/>
              <w:end w:w="60" w:type="dxa"/>
            </w:tcMar>
            <w:vAlign w:val="top"/>
          </w:tcPr>
          <w:p>
            <w:r/>
            <w:r>
              <w:rPr>
                <w:rFonts w:ascii="Aptos" w:hAnsi="Aptos"/>
                <w:sz w:val="12"/>
              </w:rPr>
              <w:t>5</w:t>
            </w:r>
          </w:p>
        </w:tc>
        <w:tc>
          <w:tcPr>
            <w:tcW w:type="dxa" w:w="1474"/>
            <w:tcMar>
              <w:top w:w="60" w:type="dxa"/>
              <w:start w:w="60" w:type="dxa"/>
              <w:bottom w:w="60" w:type="dxa"/>
              <w:end w:w="60" w:type="dxa"/>
            </w:tcMar>
            <w:vAlign w:val="top"/>
          </w:tcPr>
          <w:p>
            <w:r/>
            <w:r>
              <w:rPr>
                <w:rFonts w:ascii="Aptos" w:hAnsi="Aptos"/>
                <w:sz w:val="12"/>
              </w:rPr>
              <w:t>Identité</w:t>
            </w:r>
          </w:p>
        </w:tc>
        <w:tc>
          <w:tcPr>
            <w:tcW w:type="dxa" w:w="1757"/>
            <w:tcMar>
              <w:top w:w="60" w:type="dxa"/>
              <w:start w:w="60" w:type="dxa"/>
              <w:bottom w:w="60" w:type="dxa"/>
              <w:end w:w="60" w:type="dxa"/>
            </w:tcMar>
            <w:vAlign w:val="top"/>
          </w:tcPr>
          <w:p>
            <w:r/>
            <w:r>
              <w:rPr>
                <w:rFonts w:ascii="Aptos" w:hAnsi="Aptos"/>
                <w:sz w:val="12"/>
              </w:rPr>
              <w:t>Nom légal actuel</w:t>
            </w:r>
          </w:p>
        </w:tc>
        <w:tc>
          <w:tcPr>
            <w:tcW w:type="dxa" w:w="2551"/>
            <w:tcMar>
              <w:top w:w="60" w:type="dxa"/>
              <w:start w:w="60" w:type="dxa"/>
              <w:bottom w:w="60" w:type="dxa"/>
              <w:end w:w="60" w:type="dxa"/>
            </w:tcMar>
            <w:vAlign w:val="top"/>
          </w:tcPr>
          <w:p>
            <w:r/>
            <w:r>
              <w:rPr>
                <w:rFonts w:ascii="Aptos" w:hAnsi="Aptos"/>
                <w:sz w:val="12"/>
              </w:rPr>
              <w:t>Dénomination du scheme dans document officiel.</w:t>
            </w:r>
          </w:p>
        </w:tc>
        <w:tc>
          <w:tcPr>
            <w:tcW w:type="dxa" w:w="1757"/>
            <w:tcMar>
              <w:top w:w="60" w:type="dxa"/>
              <w:start w:w="60" w:type="dxa"/>
              <w:bottom w:w="60" w:type="dxa"/>
              <w:end w:w="60" w:type="dxa"/>
            </w:tcMar>
            <w:vAlign w:val="top"/>
          </w:tcPr>
          <w:p>
            <w:r/>
            <w:r>
              <w:rPr>
                <w:rFonts w:ascii="Aptos" w:hAnsi="Aptos"/>
                <w:sz w:val="12"/>
              </w:rPr>
              <w:t>Prospectus/SEC/CAC</w:t>
            </w:r>
          </w:p>
        </w:tc>
        <w:tc>
          <w:tcPr>
            <w:tcW w:type="dxa" w:w="2324"/>
            <w:tcMar>
              <w:top w:w="60" w:type="dxa"/>
              <w:start w:w="60" w:type="dxa"/>
              <w:bottom w:w="60" w:type="dxa"/>
              <w:end w:w="60" w:type="dxa"/>
            </w:tcMar>
            <w:vAlign w:val="top"/>
          </w:tcPr>
          <w:p>
            <w:r/>
            <w:r>
              <w:rPr>
                <w:rFonts w:ascii="Aptos" w:hAnsi="Aptos"/>
                <w:sz w:val="12"/>
              </w:rPr>
              <w:t>Distinguer nom commercial et légal.</w:t>
            </w:r>
          </w:p>
        </w:tc>
      </w:tr>
      <w:tr>
        <w:tc>
          <w:tcPr>
            <w:tcW w:type="dxa" w:w="397"/>
            <w:tcMar>
              <w:top w:w="60" w:type="dxa"/>
              <w:start w:w="60" w:type="dxa"/>
              <w:bottom w:w="60" w:type="dxa"/>
              <w:end w:w="60" w:type="dxa"/>
            </w:tcMar>
            <w:vAlign w:val="top"/>
          </w:tcPr>
          <w:p>
            <w:r/>
            <w:r>
              <w:rPr>
                <w:rFonts w:ascii="Aptos" w:hAnsi="Aptos"/>
                <w:sz w:val="12"/>
              </w:rPr>
              <w:t>6</w:t>
            </w:r>
          </w:p>
        </w:tc>
        <w:tc>
          <w:tcPr>
            <w:tcW w:type="dxa" w:w="1474"/>
            <w:tcMar>
              <w:top w:w="60" w:type="dxa"/>
              <w:start w:w="60" w:type="dxa"/>
              <w:bottom w:w="60" w:type="dxa"/>
              <w:end w:w="60" w:type="dxa"/>
            </w:tcMar>
            <w:vAlign w:val="top"/>
          </w:tcPr>
          <w:p>
            <w:r/>
            <w:r>
              <w:rPr>
                <w:rFonts w:ascii="Aptos" w:hAnsi="Aptos"/>
                <w:sz w:val="12"/>
              </w:rPr>
              <w:t>Statut</w:t>
            </w:r>
          </w:p>
        </w:tc>
        <w:tc>
          <w:tcPr>
            <w:tcW w:type="dxa" w:w="1757"/>
            <w:tcMar>
              <w:top w:w="60" w:type="dxa"/>
              <w:start w:w="60" w:type="dxa"/>
              <w:bottom w:w="60" w:type="dxa"/>
              <w:end w:w="60" w:type="dxa"/>
            </w:tcMar>
            <w:vAlign w:val="top"/>
          </w:tcPr>
          <w:p>
            <w:r/>
            <w:r>
              <w:rPr>
                <w:rFonts w:ascii="Aptos" w:hAnsi="Aptos"/>
                <w:sz w:val="12"/>
              </w:rPr>
              <w:t>Statut actuel</w:t>
            </w:r>
          </w:p>
        </w:tc>
        <w:tc>
          <w:tcPr>
            <w:tcW w:type="dxa" w:w="2551"/>
            <w:tcMar>
              <w:top w:w="60" w:type="dxa"/>
              <w:start w:w="60" w:type="dxa"/>
              <w:bottom w:w="60" w:type="dxa"/>
              <w:end w:w="60" w:type="dxa"/>
            </w:tcMar>
            <w:vAlign w:val="top"/>
          </w:tcPr>
          <w:p>
            <w:r/>
            <w:r>
              <w:rPr>
                <w:rFonts w:ascii="Aptos" w:hAnsi="Aptos"/>
                <w:sz w:val="12"/>
              </w:rPr>
              <w:t>Actif, suspendu, fermé, liquidé, non résolu.</w:t>
            </w:r>
          </w:p>
        </w:tc>
        <w:tc>
          <w:tcPr>
            <w:tcW w:type="dxa" w:w="1757"/>
            <w:tcMar>
              <w:top w:w="60" w:type="dxa"/>
              <w:start w:w="60" w:type="dxa"/>
              <w:bottom w:w="60" w:type="dxa"/>
              <w:end w:w="60" w:type="dxa"/>
            </w:tcMar>
            <w:vAlign w:val="top"/>
          </w:tcPr>
          <w:p>
            <w:r/>
            <w:r>
              <w:rPr>
                <w:rFonts w:ascii="Aptos" w:hAnsi="Aptos"/>
                <w:sz w:val="12"/>
              </w:rPr>
              <w:t>SEC + avis + publications</w:t>
            </w:r>
          </w:p>
        </w:tc>
        <w:tc>
          <w:tcPr>
            <w:tcW w:type="dxa" w:w="2324"/>
            <w:tcMar>
              <w:top w:w="60" w:type="dxa"/>
              <w:start w:w="60" w:type="dxa"/>
              <w:bottom w:w="60" w:type="dxa"/>
              <w:end w:w="60" w:type="dxa"/>
            </w:tcMar>
            <w:vAlign w:val="top"/>
          </w:tcPr>
          <w:p>
            <w:r/>
            <w:r>
              <w:rPr>
                <w:rFonts w:ascii="Aptos" w:hAnsi="Aptos"/>
                <w:sz w:val="12"/>
              </w:rPr>
              <w:t>Ne pas déduire d’une seule absence.</w:t>
            </w:r>
          </w:p>
        </w:tc>
      </w:tr>
      <w:tr>
        <w:tc>
          <w:tcPr>
            <w:tcW w:type="dxa" w:w="397"/>
            <w:tcMar>
              <w:top w:w="60" w:type="dxa"/>
              <w:start w:w="60" w:type="dxa"/>
              <w:bottom w:w="60" w:type="dxa"/>
              <w:end w:w="60" w:type="dxa"/>
            </w:tcMar>
            <w:vAlign w:val="top"/>
          </w:tcPr>
          <w:p>
            <w:r/>
            <w:r>
              <w:rPr>
                <w:rFonts w:ascii="Aptos" w:hAnsi="Aptos"/>
                <w:sz w:val="12"/>
              </w:rPr>
              <w:t>7</w:t>
            </w:r>
          </w:p>
        </w:tc>
        <w:tc>
          <w:tcPr>
            <w:tcW w:type="dxa" w:w="1474"/>
            <w:tcMar>
              <w:top w:w="60" w:type="dxa"/>
              <w:start w:w="60" w:type="dxa"/>
              <w:bottom w:w="60" w:type="dxa"/>
              <w:end w:w="60" w:type="dxa"/>
            </w:tcMar>
            <w:vAlign w:val="top"/>
          </w:tcPr>
          <w:p>
            <w:r/>
            <w:r>
              <w:rPr>
                <w:rFonts w:ascii="Aptos" w:hAnsi="Aptos"/>
                <w:sz w:val="12"/>
              </w:rPr>
              <w:t>Statut</w:t>
            </w:r>
          </w:p>
        </w:tc>
        <w:tc>
          <w:tcPr>
            <w:tcW w:type="dxa" w:w="1757"/>
            <w:tcMar>
              <w:top w:w="60" w:type="dxa"/>
              <w:start w:w="60" w:type="dxa"/>
              <w:bottom w:w="60" w:type="dxa"/>
              <w:end w:w="60" w:type="dxa"/>
            </w:tcMar>
            <w:vAlign w:val="top"/>
          </w:tcPr>
          <w:p>
            <w:r/>
            <w:r>
              <w:rPr>
                <w:rFonts w:ascii="Aptos" w:hAnsi="Aptos"/>
                <w:sz w:val="12"/>
              </w:rPr>
              <w:t>Date d’effet du statut actuel</w:t>
            </w:r>
          </w:p>
        </w:tc>
        <w:tc>
          <w:tcPr>
            <w:tcW w:type="dxa" w:w="2551"/>
            <w:tcMar>
              <w:top w:w="60" w:type="dxa"/>
              <w:start w:w="60" w:type="dxa"/>
              <w:bottom w:w="60" w:type="dxa"/>
              <w:end w:w="60" w:type="dxa"/>
            </w:tcMar>
            <w:vAlign w:val="top"/>
          </w:tcPr>
          <w:p>
            <w:r/>
            <w:r>
              <w:rPr>
                <w:rFonts w:ascii="Aptos" w:hAnsi="Aptos"/>
                <w:sz w:val="12"/>
              </w:rPr>
              <w:t>Date à laquelle le statut courant est devenu effectif.</w:t>
            </w:r>
          </w:p>
        </w:tc>
        <w:tc>
          <w:tcPr>
            <w:tcW w:type="dxa" w:w="1757"/>
            <w:tcMar>
              <w:top w:w="60" w:type="dxa"/>
              <w:start w:w="60" w:type="dxa"/>
              <w:bottom w:w="60" w:type="dxa"/>
              <w:end w:w="60" w:type="dxa"/>
            </w:tcMar>
            <w:vAlign w:val="top"/>
          </w:tcPr>
          <w:p>
            <w:r/>
            <w:r>
              <w:rPr>
                <w:rFonts w:ascii="Aptos" w:hAnsi="Aptos"/>
                <w:sz w:val="12"/>
              </w:rPr>
              <w:t>Avis SEC, rapport, prospectus ou publication officielle</w:t>
            </w:r>
          </w:p>
        </w:tc>
        <w:tc>
          <w:tcPr>
            <w:tcW w:type="dxa" w:w="2324"/>
            <w:tcMar>
              <w:top w:w="60" w:type="dxa"/>
              <w:start w:w="60" w:type="dxa"/>
              <w:bottom w:w="60" w:type="dxa"/>
              <w:end w:w="60" w:type="dxa"/>
            </w:tcMar>
            <w:vAlign w:val="top"/>
          </w:tcPr>
          <w:p>
            <w:r/>
            <w:r>
              <w:rPr>
                <w:rFonts w:ascii="Aptos" w:hAnsi="Aptos"/>
                <w:sz w:val="12"/>
              </w:rPr>
              <w:t>Distincte de la dernière valorisation ; conserver la précision exacte ou estimée.</w:t>
            </w:r>
          </w:p>
        </w:tc>
      </w:tr>
      <w:tr>
        <w:tc>
          <w:tcPr>
            <w:tcW w:type="dxa" w:w="397"/>
            <w:tcMar>
              <w:top w:w="60" w:type="dxa"/>
              <w:start w:w="60" w:type="dxa"/>
              <w:bottom w:w="60" w:type="dxa"/>
              <w:end w:w="60" w:type="dxa"/>
            </w:tcMar>
            <w:vAlign w:val="top"/>
          </w:tcPr>
          <w:p>
            <w:r/>
            <w:r>
              <w:rPr>
                <w:rFonts w:ascii="Aptos" w:hAnsi="Aptos"/>
                <w:sz w:val="12"/>
              </w:rPr>
              <w:t>8</w:t>
            </w:r>
          </w:p>
        </w:tc>
        <w:tc>
          <w:tcPr>
            <w:tcW w:type="dxa" w:w="1474"/>
            <w:tcMar>
              <w:top w:w="60" w:type="dxa"/>
              <w:start w:w="60" w:type="dxa"/>
              <w:bottom w:w="60" w:type="dxa"/>
              <w:end w:w="60" w:type="dxa"/>
            </w:tcMar>
            <w:vAlign w:val="top"/>
          </w:tcPr>
          <w:p>
            <w:r/>
            <w:r>
              <w:rPr>
                <w:rFonts w:ascii="Aptos" w:hAnsi="Aptos"/>
                <w:sz w:val="12"/>
              </w:rPr>
              <w:t>Dates</w:t>
            </w:r>
          </w:p>
        </w:tc>
        <w:tc>
          <w:tcPr>
            <w:tcW w:type="dxa" w:w="1757"/>
            <w:tcMar>
              <w:top w:w="60" w:type="dxa"/>
              <w:start w:w="60" w:type="dxa"/>
              <w:bottom w:w="60" w:type="dxa"/>
              <w:end w:w="60" w:type="dxa"/>
            </w:tcMar>
            <w:vAlign w:val="top"/>
          </w:tcPr>
          <w:p>
            <w:r/>
            <w:r>
              <w:rPr>
                <w:rFonts w:ascii="Aptos" w:hAnsi="Aptos"/>
                <w:sz w:val="12"/>
              </w:rPr>
              <w:t>Date d’inception</w:t>
            </w:r>
          </w:p>
        </w:tc>
        <w:tc>
          <w:tcPr>
            <w:tcW w:type="dxa" w:w="2551"/>
            <w:tcMar>
              <w:top w:w="60" w:type="dxa"/>
              <w:start w:w="60" w:type="dxa"/>
              <w:bottom w:w="60" w:type="dxa"/>
              <w:end w:w="60" w:type="dxa"/>
            </w:tcMar>
            <w:vAlign w:val="top"/>
          </w:tcPr>
          <w:p>
            <w:r/>
            <w:r>
              <w:rPr>
                <w:rFonts w:ascii="Aptos" w:hAnsi="Aptos"/>
                <w:sz w:val="12"/>
              </w:rPr>
              <w:t>Date précise de lancement.</w:t>
            </w:r>
          </w:p>
        </w:tc>
        <w:tc>
          <w:tcPr>
            <w:tcW w:type="dxa" w:w="1757"/>
            <w:tcMar>
              <w:top w:w="60" w:type="dxa"/>
              <w:start w:w="60" w:type="dxa"/>
              <w:bottom w:w="60" w:type="dxa"/>
              <w:end w:w="60" w:type="dxa"/>
            </w:tcMar>
            <w:vAlign w:val="top"/>
          </w:tcPr>
          <w:p>
            <w:r/>
            <w:r>
              <w:rPr>
                <w:rFonts w:ascii="Aptos" w:hAnsi="Aptos"/>
                <w:sz w:val="12"/>
              </w:rPr>
              <w:t>Prospectus/annual report</w:t>
            </w:r>
          </w:p>
        </w:tc>
        <w:tc>
          <w:tcPr>
            <w:tcW w:type="dxa" w:w="2324"/>
            <w:tcMar>
              <w:top w:w="60" w:type="dxa"/>
              <w:start w:w="60" w:type="dxa"/>
              <w:bottom w:w="60" w:type="dxa"/>
              <w:end w:w="60" w:type="dxa"/>
            </w:tcMar>
            <w:vAlign w:val="top"/>
          </w:tcPr>
          <w:p>
            <w:r/>
            <w:r>
              <w:rPr>
                <w:rFonts w:ascii="Aptos" w:hAnsi="Aptos"/>
                <w:sz w:val="12"/>
              </w:rPr>
              <w:t>Conserver précision et source.</w:t>
            </w:r>
          </w:p>
        </w:tc>
      </w:tr>
      <w:tr>
        <w:tc>
          <w:tcPr>
            <w:tcW w:type="dxa" w:w="397"/>
            <w:tcMar>
              <w:top w:w="60" w:type="dxa"/>
              <w:start w:w="60" w:type="dxa"/>
              <w:bottom w:w="60" w:type="dxa"/>
              <w:end w:w="60" w:type="dxa"/>
            </w:tcMar>
            <w:vAlign w:val="top"/>
          </w:tcPr>
          <w:p>
            <w:r/>
            <w:r>
              <w:rPr>
                <w:rFonts w:ascii="Aptos" w:hAnsi="Aptos"/>
                <w:sz w:val="12"/>
              </w:rPr>
              <w:t>9</w:t>
            </w:r>
          </w:p>
        </w:tc>
        <w:tc>
          <w:tcPr>
            <w:tcW w:type="dxa" w:w="1474"/>
            <w:tcMar>
              <w:top w:w="60" w:type="dxa"/>
              <w:start w:w="60" w:type="dxa"/>
              <w:bottom w:w="60" w:type="dxa"/>
              <w:end w:w="60" w:type="dxa"/>
            </w:tcMar>
            <w:vAlign w:val="top"/>
          </w:tcPr>
          <w:p>
            <w:r/>
            <w:r>
              <w:rPr>
                <w:rFonts w:ascii="Aptos" w:hAnsi="Aptos"/>
                <w:sz w:val="12"/>
              </w:rPr>
              <w:t>Dates</w:t>
            </w:r>
          </w:p>
        </w:tc>
        <w:tc>
          <w:tcPr>
            <w:tcW w:type="dxa" w:w="1757"/>
            <w:tcMar>
              <w:top w:w="60" w:type="dxa"/>
              <w:start w:w="60" w:type="dxa"/>
              <w:bottom w:w="60" w:type="dxa"/>
              <w:end w:w="60" w:type="dxa"/>
            </w:tcMar>
            <w:vAlign w:val="top"/>
          </w:tcPr>
          <w:p>
            <w:r/>
            <w:r>
              <w:rPr>
                <w:rFonts w:ascii="Aptos" w:hAnsi="Aptos"/>
                <w:sz w:val="12"/>
              </w:rPr>
              <w:t>Date approbation SEC</w:t>
            </w:r>
          </w:p>
        </w:tc>
        <w:tc>
          <w:tcPr>
            <w:tcW w:type="dxa" w:w="2551"/>
            <w:tcMar>
              <w:top w:w="60" w:type="dxa"/>
              <w:start w:w="60" w:type="dxa"/>
              <w:bottom w:w="60" w:type="dxa"/>
              <w:end w:w="60" w:type="dxa"/>
            </w:tcMar>
            <w:vAlign w:val="top"/>
          </w:tcPr>
          <w:p>
            <w:r/>
            <w:r>
              <w:rPr>
                <w:rFonts w:ascii="Aptos" w:hAnsi="Aptos"/>
                <w:sz w:val="12"/>
              </w:rPr>
              <w:t>Date d’enregistrement/autorisation.</w:t>
            </w:r>
          </w:p>
        </w:tc>
        <w:tc>
          <w:tcPr>
            <w:tcW w:type="dxa" w:w="1757"/>
            <w:tcMar>
              <w:top w:w="60" w:type="dxa"/>
              <w:start w:w="60" w:type="dxa"/>
              <w:bottom w:w="60" w:type="dxa"/>
              <w:end w:w="60" w:type="dxa"/>
            </w:tcMar>
            <w:vAlign w:val="top"/>
          </w:tcPr>
          <w:p>
            <w:r/>
            <w:r>
              <w:rPr>
                <w:rFonts w:ascii="Aptos" w:hAnsi="Aptos"/>
                <w:sz w:val="12"/>
              </w:rPr>
              <w:t>SEC/prospectus</w:t>
            </w:r>
          </w:p>
        </w:tc>
        <w:tc>
          <w:tcPr>
            <w:tcW w:type="dxa" w:w="2324"/>
            <w:tcMar>
              <w:top w:w="60" w:type="dxa"/>
              <w:start w:w="60" w:type="dxa"/>
              <w:bottom w:w="60" w:type="dxa"/>
              <w:end w:w="60" w:type="dxa"/>
            </w:tcMar>
            <w:vAlign w:val="top"/>
          </w:tcPr>
          <w:p>
            <w:r/>
            <w:r>
              <w:rPr>
                <w:rFonts w:ascii="Aptos" w:hAnsi="Aptos"/>
                <w:sz w:val="12"/>
              </w:rPr>
              <w:t>Distincte de l’inception.</w:t>
            </w:r>
          </w:p>
        </w:tc>
      </w:tr>
      <w:tr>
        <w:tc>
          <w:tcPr>
            <w:tcW w:type="dxa" w:w="397"/>
            <w:tcMar>
              <w:top w:w="60" w:type="dxa"/>
              <w:start w:w="60" w:type="dxa"/>
              <w:bottom w:w="60" w:type="dxa"/>
              <w:end w:w="60" w:type="dxa"/>
            </w:tcMar>
            <w:vAlign w:val="top"/>
          </w:tcPr>
          <w:p>
            <w:r/>
            <w:r>
              <w:rPr>
                <w:rFonts w:ascii="Aptos" w:hAnsi="Aptos"/>
                <w:sz w:val="12"/>
              </w:rPr>
              <w:t>10</w:t>
            </w:r>
          </w:p>
        </w:tc>
        <w:tc>
          <w:tcPr>
            <w:tcW w:type="dxa" w:w="1474"/>
            <w:tcMar>
              <w:top w:w="60" w:type="dxa"/>
              <w:start w:w="60" w:type="dxa"/>
              <w:bottom w:w="60" w:type="dxa"/>
              <w:end w:w="60" w:type="dxa"/>
            </w:tcMar>
            <w:vAlign w:val="top"/>
          </w:tcPr>
          <w:p>
            <w:r/>
            <w:r>
              <w:rPr>
                <w:rFonts w:ascii="Aptos" w:hAnsi="Aptos"/>
                <w:sz w:val="12"/>
              </w:rPr>
              <w:t>Dates</w:t>
            </w:r>
          </w:p>
        </w:tc>
        <w:tc>
          <w:tcPr>
            <w:tcW w:type="dxa" w:w="1757"/>
            <w:tcMar>
              <w:top w:w="60" w:type="dxa"/>
              <w:start w:w="60" w:type="dxa"/>
              <w:bottom w:w="60" w:type="dxa"/>
              <w:end w:w="60" w:type="dxa"/>
            </w:tcMar>
            <w:vAlign w:val="top"/>
          </w:tcPr>
          <w:p>
            <w:r/>
            <w:r>
              <w:rPr>
                <w:rFonts w:ascii="Aptos" w:hAnsi="Aptos"/>
                <w:sz w:val="12"/>
              </w:rPr>
              <w:t>Première valorisation SEC</w:t>
            </w:r>
          </w:p>
        </w:tc>
        <w:tc>
          <w:tcPr>
            <w:tcW w:type="dxa" w:w="2551"/>
            <w:tcMar>
              <w:top w:w="60" w:type="dxa"/>
              <w:start w:w="60" w:type="dxa"/>
              <w:bottom w:w="60" w:type="dxa"/>
              <w:end w:w="60" w:type="dxa"/>
            </w:tcMar>
            <w:vAlign w:val="top"/>
          </w:tcPr>
          <w:p>
            <w:r/>
            <w:r>
              <w:rPr>
                <w:rFonts w:ascii="Aptos" w:hAnsi="Aptos"/>
                <w:sz w:val="12"/>
              </w:rPr>
              <w:t>Première date observée.</w:t>
            </w:r>
          </w:p>
        </w:tc>
        <w:tc>
          <w:tcPr>
            <w:tcW w:type="dxa" w:w="1757"/>
            <w:tcMar>
              <w:top w:w="60" w:type="dxa"/>
              <w:start w:w="60" w:type="dxa"/>
              <w:bottom w:w="60" w:type="dxa"/>
              <w:end w:w="60" w:type="dxa"/>
            </w:tcMar>
            <w:vAlign w:val="top"/>
          </w:tcPr>
          <w:p>
            <w:r/>
            <w:r>
              <w:rPr>
                <w:rFonts w:ascii="Aptos" w:hAnsi="Aptos"/>
                <w:sz w:val="12"/>
              </w:rPr>
              <w:t>Archive SEC</w:t>
            </w:r>
          </w:p>
        </w:tc>
        <w:tc>
          <w:tcPr>
            <w:tcW w:type="dxa" w:w="2324"/>
            <w:tcMar>
              <w:top w:w="60" w:type="dxa"/>
              <w:start w:w="60" w:type="dxa"/>
              <w:bottom w:w="60" w:type="dxa"/>
              <w:end w:w="60" w:type="dxa"/>
            </w:tcMar>
            <w:vAlign w:val="top"/>
          </w:tcPr>
          <w:p>
            <w:r/>
            <w:r>
              <w:rPr>
                <w:rFonts w:ascii="Aptos" w:hAnsi="Aptos"/>
                <w:sz w:val="12"/>
              </w:rPr>
              <w:t>Ne remplace pas l’inception.</w:t>
            </w:r>
          </w:p>
        </w:tc>
      </w:tr>
      <w:tr>
        <w:tc>
          <w:tcPr>
            <w:tcW w:type="dxa" w:w="397"/>
            <w:tcMar>
              <w:top w:w="60" w:type="dxa"/>
              <w:start w:w="60" w:type="dxa"/>
              <w:bottom w:w="60" w:type="dxa"/>
              <w:end w:w="60" w:type="dxa"/>
            </w:tcMar>
            <w:vAlign w:val="top"/>
          </w:tcPr>
          <w:p>
            <w:r/>
            <w:r>
              <w:rPr>
                <w:rFonts w:ascii="Aptos" w:hAnsi="Aptos"/>
                <w:sz w:val="12"/>
              </w:rPr>
              <w:t>11</w:t>
            </w:r>
          </w:p>
        </w:tc>
        <w:tc>
          <w:tcPr>
            <w:tcW w:type="dxa" w:w="1474"/>
            <w:tcMar>
              <w:top w:w="60" w:type="dxa"/>
              <w:start w:w="60" w:type="dxa"/>
              <w:bottom w:w="60" w:type="dxa"/>
              <w:end w:w="60" w:type="dxa"/>
            </w:tcMar>
            <w:vAlign w:val="top"/>
          </w:tcPr>
          <w:p>
            <w:r/>
            <w:r>
              <w:rPr>
                <w:rFonts w:ascii="Aptos" w:hAnsi="Aptos"/>
                <w:sz w:val="12"/>
              </w:rPr>
              <w:t>Prix initial</w:t>
            </w:r>
          </w:p>
        </w:tc>
        <w:tc>
          <w:tcPr>
            <w:tcW w:type="dxa" w:w="1757"/>
            <w:tcMar>
              <w:top w:w="60" w:type="dxa"/>
              <w:start w:w="60" w:type="dxa"/>
              <w:bottom w:w="60" w:type="dxa"/>
              <w:end w:w="60" w:type="dxa"/>
            </w:tcMar>
            <w:vAlign w:val="top"/>
          </w:tcPr>
          <w:p>
            <w:r/>
            <w:r>
              <w:rPr>
                <w:rFonts w:ascii="Aptos" w:hAnsi="Aptos"/>
                <w:sz w:val="12"/>
              </w:rPr>
              <w:t>VL / prix initial</w:t>
            </w:r>
          </w:p>
        </w:tc>
        <w:tc>
          <w:tcPr>
            <w:tcW w:type="dxa" w:w="2551"/>
            <w:tcMar>
              <w:top w:w="60" w:type="dxa"/>
              <w:start w:w="60" w:type="dxa"/>
              <w:bottom w:w="60" w:type="dxa"/>
              <w:end w:w="60" w:type="dxa"/>
            </w:tcMar>
            <w:vAlign w:val="top"/>
          </w:tcPr>
          <w:p>
            <w:r/>
            <w:r>
              <w:rPr>
                <w:rFonts w:ascii="Aptos" w:hAnsi="Aptos"/>
                <w:sz w:val="12"/>
              </w:rPr>
              <w:t>Prix initial par unité.</w:t>
            </w:r>
          </w:p>
        </w:tc>
        <w:tc>
          <w:tcPr>
            <w:tcW w:type="dxa" w:w="1757"/>
            <w:tcMar>
              <w:top w:w="60" w:type="dxa"/>
              <w:start w:w="60" w:type="dxa"/>
              <w:bottom w:w="60" w:type="dxa"/>
              <w:end w:w="60" w:type="dxa"/>
            </w:tcMar>
            <w:vAlign w:val="top"/>
          </w:tcPr>
          <w:p>
            <w:r/>
            <w:r>
              <w:rPr>
                <w:rFonts w:ascii="Aptos" w:hAnsi="Aptos"/>
                <w:sz w:val="12"/>
              </w:rPr>
              <w:t>Prospectus/offer circular</w:t>
            </w:r>
          </w:p>
        </w:tc>
        <w:tc>
          <w:tcPr>
            <w:tcW w:type="dxa" w:w="2324"/>
            <w:tcMar>
              <w:top w:w="60" w:type="dxa"/>
              <w:start w:w="60" w:type="dxa"/>
              <w:bottom w:w="60" w:type="dxa"/>
              <w:end w:w="60" w:type="dxa"/>
            </w:tcMar>
            <w:vAlign w:val="top"/>
          </w:tcPr>
          <w:p>
            <w:r/>
            <w:r>
              <w:rPr>
                <w:rFonts w:ascii="Aptos" w:hAnsi="Aptos"/>
                <w:sz w:val="12"/>
              </w:rPr>
              <w:t>Devise et unité obligatoires.</w:t>
            </w:r>
          </w:p>
        </w:tc>
      </w:tr>
      <w:tr>
        <w:tc>
          <w:tcPr>
            <w:tcW w:type="dxa" w:w="397"/>
            <w:tcMar>
              <w:top w:w="60" w:type="dxa"/>
              <w:start w:w="60" w:type="dxa"/>
              <w:bottom w:w="60" w:type="dxa"/>
              <w:end w:w="60" w:type="dxa"/>
            </w:tcMar>
            <w:vAlign w:val="top"/>
          </w:tcPr>
          <w:p>
            <w:r/>
            <w:r>
              <w:rPr>
                <w:rFonts w:ascii="Aptos" w:hAnsi="Aptos"/>
                <w:sz w:val="12"/>
              </w:rPr>
              <w:t>12</w:t>
            </w:r>
          </w:p>
        </w:tc>
        <w:tc>
          <w:tcPr>
            <w:tcW w:type="dxa" w:w="1474"/>
            <w:tcMar>
              <w:top w:w="60" w:type="dxa"/>
              <w:start w:w="60" w:type="dxa"/>
              <w:bottom w:w="60" w:type="dxa"/>
              <w:end w:w="60" w:type="dxa"/>
            </w:tcMar>
            <w:vAlign w:val="top"/>
          </w:tcPr>
          <w:p>
            <w:r/>
            <w:r>
              <w:rPr>
                <w:rFonts w:ascii="Aptos" w:hAnsi="Aptos"/>
                <w:sz w:val="12"/>
              </w:rPr>
              <w:t>Devise</w:t>
            </w:r>
          </w:p>
        </w:tc>
        <w:tc>
          <w:tcPr>
            <w:tcW w:type="dxa" w:w="1757"/>
            <w:tcMar>
              <w:top w:w="60" w:type="dxa"/>
              <w:start w:w="60" w:type="dxa"/>
              <w:bottom w:w="60" w:type="dxa"/>
              <w:end w:w="60" w:type="dxa"/>
            </w:tcMar>
            <w:vAlign w:val="top"/>
          </w:tcPr>
          <w:p>
            <w:r/>
            <w:r>
              <w:rPr>
                <w:rFonts w:ascii="Aptos" w:hAnsi="Aptos"/>
                <w:sz w:val="12"/>
              </w:rPr>
              <w:t>Devise de base / classe</w:t>
            </w:r>
          </w:p>
        </w:tc>
        <w:tc>
          <w:tcPr>
            <w:tcW w:type="dxa" w:w="2551"/>
            <w:tcMar>
              <w:top w:w="60" w:type="dxa"/>
              <w:start w:w="60" w:type="dxa"/>
              <w:bottom w:w="60" w:type="dxa"/>
              <w:end w:w="60" w:type="dxa"/>
            </w:tcMar>
            <w:vAlign w:val="top"/>
          </w:tcPr>
          <w:p>
            <w:r/>
            <w:r>
              <w:rPr>
                <w:rFonts w:ascii="Aptos" w:hAnsi="Aptos"/>
                <w:sz w:val="12"/>
              </w:rPr>
              <w:t>Devise du prix de la classe.</w:t>
            </w:r>
          </w:p>
        </w:tc>
        <w:tc>
          <w:tcPr>
            <w:tcW w:type="dxa" w:w="1757"/>
            <w:tcMar>
              <w:top w:w="60" w:type="dxa"/>
              <w:start w:w="60" w:type="dxa"/>
              <w:bottom w:w="60" w:type="dxa"/>
              <w:end w:w="60" w:type="dxa"/>
            </w:tcMar>
            <w:vAlign w:val="top"/>
          </w:tcPr>
          <w:p>
            <w:r/>
            <w:r>
              <w:rPr>
                <w:rFonts w:ascii="Aptos" w:hAnsi="Aptos"/>
                <w:sz w:val="12"/>
              </w:rPr>
              <w:t>Prospectus/factsheet</w:t>
            </w:r>
          </w:p>
        </w:tc>
        <w:tc>
          <w:tcPr>
            <w:tcW w:type="dxa" w:w="2324"/>
            <w:tcMar>
              <w:top w:w="60" w:type="dxa"/>
              <w:start w:w="60" w:type="dxa"/>
              <w:bottom w:w="60" w:type="dxa"/>
              <w:end w:w="60" w:type="dxa"/>
            </w:tcMar>
            <w:vAlign w:val="top"/>
          </w:tcPr>
          <w:p>
            <w:r/>
            <w:r>
              <w:rPr>
                <w:rFonts w:ascii="Aptos" w:hAnsi="Aptos"/>
                <w:sz w:val="12"/>
              </w:rPr>
              <w:t>Ne pas inférer du pays.</w:t>
            </w:r>
          </w:p>
        </w:tc>
      </w:tr>
      <w:tr>
        <w:tc>
          <w:tcPr>
            <w:tcW w:type="dxa" w:w="397"/>
            <w:tcMar>
              <w:top w:w="60" w:type="dxa"/>
              <w:start w:w="60" w:type="dxa"/>
              <w:bottom w:w="60" w:type="dxa"/>
              <w:end w:w="60" w:type="dxa"/>
            </w:tcMar>
            <w:vAlign w:val="top"/>
          </w:tcPr>
          <w:p>
            <w:r/>
            <w:r>
              <w:rPr>
                <w:rFonts w:ascii="Aptos" w:hAnsi="Aptos"/>
                <w:sz w:val="12"/>
              </w:rPr>
              <w:t>13</w:t>
            </w:r>
          </w:p>
        </w:tc>
        <w:tc>
          <w:tcPr>
            <w:tcW w:type="dxa" w:w="1474"/>
            <w:tcMar>
              <w:top w:w="60" w:type="dxa"/>
              <w:start w:w="60" w:type="dxa"/>
              <w:bottom w:w="60" w:type="dxa"/>
              <w:end w:w="60" w:type="dxa"/>
            </w:tcMar>
            <w:vAlign w:val="top"/>
          </w:tcPr>
          <w:p>
            <w:r/>
            <w:r>
              <w:rPr>
                <w:rFonts w:ascii="Aptos" w:hAnsi="Aptos"/>
                <w:sz w:val="12"/>
              </w:rPr>
              <w:t>Gestion</w:t>
            </w:r>
          </w:p>
        </w:tc>
        <w:tc>
          <w:tcPr>
            <w:tcW w:type="dxa" w:w="1757"/>
            <w:tcMar>
              <w:top w:w="60" w:type="dxa"/>
              <w:start w:w="60" w:type="dxa"/>
              <w:bottom w:w="60" w:type="dxa"/>
              <w:end w:w="60" w:type="dxa"/>
            </w:tcMar>
            <w:vAlign w:val="top"/>
          </w:tcPr>
          <w:p>
            <w:r/>
            <w:r>
              <w:rPr>
                <w:rFonts w:ascii="Aptos" w:hAnsi="Aptos"/>
                <w:sz w:val="12"/>
              </w:rPr>
              <w:t>Gestionnaire actuel</w:t>
            </w:r>
          </w:p>
        </w:tc>
        <w:tc>
          <w:tcPr>
            <w:tcW w:type="dxa" w:w="2551"/>
            <w:tcMar>
              <w:top w:w="60" w:type="dxa"/>
              <w:start w:w="60" w:type="dxa"/>
              <w:bottom w:w="60" w:type="dxa"/>
              <w:end w:w="60" w:type="dxa"/>
            </w:tcMar>
            <w:vAlign w:val="top"/>
          </w:tcPr>
          <w:p>
            <w:r/>
            <w:r>
              <w:rPr>
                <w:rFonts w:ascii="Aptos" w:hAnsi="Aptos"/>
                <w:sz w:val="12"/>
              </w:rPr>
              <w:t>Société actuelle publiée.</w:t>
            </w:r>
          </w:p>
        </w:tc>
        <w:tc>
          <w:tcPr>
            <w:tcW w:type="dxa" w:w="1757"/>
            <w:tcMar>
              <w:top w:w="60" w:type="dxa"/>
              <w:start w:w="60" w:type="dxa"/>
              <w:bottom w:w="60" w:type="dxa"/>
              <w:end w:w="60" w:type="dxa"/>
            </w:tcMar>
            <w:vAlign w:val="top"/>
          </w:tcPr>
          <w:p>
            <w:r/>
            <w:r>
              <w:rPr>
                <w:rFonts w:ascii="Aptos" w:hAnsi="Aptos"/>
                <w:sz w:val="12"/>
              </w:rPr>
              <w:t>SEC register + documents</w:t>
            </w:r>
          </w:p>
        </w:tc>
        <w:tc>
          <w:tcPr>
            <w:tcW w:type="dxa" w:w="2324"/>
            <w:tcMar>
              <w:top w:w="60" w:type="dxa"/>
              <w:start w:w="60" w:type="dxa"/>
              <w:bottom w:w="60" w:type="dxa"/>
              <w:end w:w="60" w:type="dxa"/>
            </w:tcMar>
            <w:vAlign w:val="top"/>
          </w:tcPr>
          <w:p>
            <w:r/>
            <w:r>
              <w:rPr>
                <w:rFonts w:ascii="Aptos" w:hAnsi="Aptos"/>
                <w:sz w:val="12"/>
              </w:rPr>
              <w:t>Conserver entité et marque.</w:t>
            </w:r>
          </w:p>
        </w:tc>
      </w:tr>
      <w:tr>
        <w:tc>
          <w:tcPr>
            <w:tcW w:type="dxa" w:w="397"/>
            <w:tcMar>
              <w:top w:w="60" w:type="dxa"/>
              <w:start w:w="60" w:type="dxa"/>
              <w:bottom w:w="60" w:type="dxa"/>
              <w:end w:w="60" w:type="dxa"/>
            </w:tcMar>
            <w:vAlign w:val="top"/>
          </w:tcPr>
          <w:p>
            <w:r/>
            <w:r>
              <w:rPr>
                <w:rFonts w:ascii="Aptos" w:hAnsi="Aptos"/>
                <w:sz w:val="12"/>
              </w:rPr>
              <w:t>14</w:t>
            </w:r>
          </w:p>
        </w:tc>
        <w:tc>
          <w:tcPr>
            <w:tcW w:type="dxa" w:w="1474"/>
            <w:tcMar>
              <w:top w:w="60" w:type="dxa"/>
              <w:start w:w="60" w:type="dxa"/>
              <w:bottom w:w="60" w:type="dxa"/>
              <w:end w:w="60" w:type="dxa"/>
            </w:tcMar>
            <w:vAlign w:val="top"/>
          </w:tcPr>
          <w:p>
            <w:r/>
            <w:r>
              <w:rPr>
                <w:rFonts w:ascii="Aptos" w:hAnsi="Aptos"/>
                <w:sz w:val="12"/>
              </w:rPr>
              <w:t>Gestion</w:t>
            </w:r>
          </w:p>
        </w:tc>
        <w:tc>
          <w:tcPr>
            <w:tcW w:type="dxa" w:w="1757"/>
            <w:tcMar>
              <w:top w:w="60" w:type="dxa"/>
              <w:start w:w="60" w:type="dxa"/>
              <w:bottom w:w="60" w:type="dxa"/>
              <w:end w:w="60" w:type="dxa"/>
            </w:tcMar>
            <w:vAlign w:val="top"/>
          </w:tcPr>
          <w:p>
            <w:r/>
            <w:r>
              <w:rPr>
                <w:rFonts w:ascii="Aptos" w:hAnsi="Aptos"/>
                <w:sz w:val="12"/>
              </w:rPr>
              <w:t>Gestionnaire initial</w:t>
            </w:r>
          </w:p>
        </w:tc>
        <w:tc>
          <w:tcPr>
            <w:tcW w:type="dxa" w:w="2551"/>
            <w:tcMar>
              <w:top w:w="60" w:type="dxa"/>
              <w:start w:w="60" w:type="dxa"/>
              <w:bottom w:w="60" w:type="dxa"/>
              <w:end w:w="60" w:type="dxa"/>
            </w:tcMar>
            <w:vAlign w:val="top"/>
          </w:tcPr>
          <w:p>
            <w:r/>
            <w:r>
              <w:rPr>
                <w:rFonts w:ascii="Aptos" w:hAnsi="Aptos"/>
                <w:sz w:val="12"/>
              </w:rPr>
              <w:t>Société au lancement.</w:t>
            </w:r>
          </w:p>
        </w:tc>
        <w:tc>
          <w:tcPr>
            <w:tcW w:type="dxa" w:w="1757"/>
            <w:tcMar>
              <w:top w:w="60" w:type="dxa"/>
              <w:start w:w="60" w:type="dxa"/>
              <w:bottom w:w="60" w:type="dxa"/>
              <w:end w:w="60" w:type="dxa"/>
            </w:tcMar>
            <w:vAlign w:val="top"/>
          </w:tcPr>
          <w:p>
            <w:r/>
            <w:r>
              <w:rPr>
                <w:rFonts w:ascii="Aptos" w:hAnsi="Aptos"/>
                <w:sz w:val="12"/>
              </w:rPr>
              <w:t>Prospectus ancien/rapport</w:t>
            </w:r>
          </w:p>
        </w:tc>
        <w:tc>
          <w:tcPr>
            <w:tcW w:type="dxa" w:w="2324"/>
            <w:tcMar>
              <w:top w:w="60" w:type="dxa"/>
              <w:start w:w="60" w:type="dxa"/>
              <w:bottom w:w="60" w:type="dxa"/>
              <w:end w:w="60" w:type="dxa"/>
            </w:tcMar>
            <w:vAlign w:val="top"/>
          </w:tcPr>
          <w:p>
            <w:r/>
            <w:r>
              <w:rPr>
                <w:rFonts w:ascii="Aptos" w:hAnsi="Aptos"/>
                <w:sz w:val="12"/>
              </w:rPr>
              <w:t>Historiser.</w:t>
            </w:r>
          </w:p>
        </w:tc>
      </w:tr>
      <w:tr>
        <w:tc>
          <w:tcPr>
            <w:tcW w:type="dxa" w:w="397"/>
            <w:tcMar>
              <w:top w:w="60" w:type="dxa"/>
              <w:start w:w="60" w:type="dxa"/>
              <w:bottom w:w="60" w:type="dxa"/>
              <w:end w:w="60" w:type="dxa"/>
            </w:tcMar>
            <w:vAlign w:val="top"/>
          </w:tcPr>
          <w:p>
            <w:r/>
            <w:r>
              <w:rPr>
                <w:rFonts w:ascii="Aptos" w:hAnsi="Aptos"/>
                <w:sz w:val="12"/>
              </w:rPr>
              <w:t>15</w:t>
            </w:r>
          </w:p>
        </w:tc>
        <w:tc>
          <w:tcPr>
            <w:tcW w:type="dxa" w:w="1474"/>
            <w:tcMar>
              <w:top w:w="60" w:type="dxa"/>
              <w:start w:w="60" w:type="dxa"/>
              <w:bottom w:w="60" w:type="dxa"/>
              <w:end w:w="60" w:type="dxa"/>
            </w:tcMar>
            <w:vAlign w:val="top"/>
          </w:tcPr>
          <w:p>
            <w:r/>
            <w:r>
              <w:rPr>
                <w:rFonts w:ascii="Aptos" w:hAnsi="Aptos"/>
                <w:sz w:val="12"/>
              </w:rPr>
              <w:t>Classification</w:t>
            </w:r>
          </w:p>
        </w:tc>
        <w:tc>
          <w:tcPr>
            <w:tcW w:type="dxa" w:w="1757"/>
            <w:tcMar>
              <w:top w:w="60" w:type="dxa"/>
              <w:start w:w="60" w:type="dxa"/>
              <w:bottom w:w="60" w:type="dxa"/>
              <w:end w:w="60" w:type="dxa"/>
            </w:tcMar>
            <w:vAlign w:val="top"/>
          </w:tcPr>
          <w:p>
            <w:r/>
            <w:r>
              <w:rPr>
                <w:rFonts w:ascii="Aptos" w:hAnsi="Aptos"/>
                <w:sz w:val="12"/>
              </w:rPr>
              <w:t>Classe d’actifs normalisée</w:t>
            </w:r>
          </w:p>
        </w:tc>
        <w:tc>
          <w:tcPr>
            <w:tcW w:type="dxa" w:w="2551"/>
            <w:tcMar>
              <w:top w:w="60" w:type="dxa"/>
              <w:start w:w="60" w:type="dxa"/>
              <w:bottom w:w="60" w:type="dxa"/>
              <w:end w:w="60" w:type="dxa"/>
            </w:tcMar>
            <w:vAlign w:val="top"/>
          </w:tcPr>
          <w:p>
            <w:r/>
            <w:r>
              <w:rPr>
                <w:rFonts w:ascii="Aptos" w:hAnsi="Aptos"/>
                <w:sz w:val="12"/>
              </w:rPr>
              <w:t>Actions, monétaire, obligataire, diversifié, etc.</w:t>
            </w:r>
          </w:p>
        </w:tc>
        <w:tc>
          <w:tcPr>
            <w:tcW w:type="dxa" w:w="1757"/>
            <w:tcMar>
              <w:top w:w="60" w:type="dxa"/>
              <w:start w:w="60" w:type="dxa"/>
              <w:bottom w:w="60" w:type="dxa"/>
              <w:end w:w="60" w:type="dxa"/>
            </w:tcMar>
            <w:vAlign w:val="top"/>
          </w:tcPr>
          <w:p>
            <w:r/>
            <w:r>
              <w:rPr>
                <w:rFonts w:ascii="Aptos" w:hAnsi="Aptos"/>
                <w:sz w:val="12"/>
              </w:rPr>
              <w:t>Prospectus + SEC</w:t>
            </w:r>
          </w:p>
        </w:tc>
        <w:tc>
          <w:tcPr>
            <w:tcW w:type="dxa" w:w="2324"/>
            <w:tcMar>
              <w:top w:w="60" w:type="dxa"/>
              <w:start w:w="60" w:type="dxa"/>
              <w:bottom w:w="60" w:type="dxa"/>
              <w:end w:w="60" w:type="dxa"/>
            </w:tcMar>
            <w:vAlign w:val="top"/>
          </w:tcPr>
          <w:p>
            <w:r/>
            <w:r>
              <w:rPr>
                <w:rFonts w:ascii="Aptos" w:hAnsi="Aptos"/>
                <w:sz w:val="12"/>
              </w:rPr>
              <w:t>Catégorie large, sourcée.</w:t>
            </w:r>
          </w:p>
        </w:tc>
      </w:tr>
      <w:tr>
        <w:tc>
          <w:tcPr>
            <w:tcW w:type="dxa" w:w="397"/>
            <w:tcMar>
              <w:top w:w="60" w:type="dxa"/>
              <w:start w:w="60" w:type="dxa"/>
              <w:bottom w:w="60" w:type="dxa"/>
              <w:end w:w="60" w:type="dxa"/>
            </w:tcMar>
            <w:vAlign w:val="top"/>
          </w:tcPr>
          <w:p>
            <w:r/>
            <w:r>
              <w:rPr>
                <w:rFonts w:ascii="Aptos" w:hAnsi="Aptos"/>
                <w:sz w:val="12"/>
              </w:rPr>
              <w:t>16</w:t>
            </w:r>
          </w:p>
        </w:tc>
        <w:tc>
          <w:tcPr>
            <w:tcW w:type="dxa" w:w="1474"/>
            <w:tcMar>
              <w:top w:w="60" w:type="dxa"/>
              <w:start w:w="60" w:type="dxa"/>
              <w:bottom w:w="60" w:type="dxa"/>
              <w:end w:w="60" w:type="dxa"/>
            </w:tcMar>
            <w:vAlign w:val="top"/>
          </w:tcPr>
          <w:p>
            <w:r/>
            <w:r>
              <w:rPr>
                <w:rFonts w:ascii="Aptos" w:hAnsi="Aptos"/>
                <w:sz w:val="12"/>
              </w:rPr>
              <w:t>Narration</w:t>
            </w:r>
          </w:p>
        </w:tc>
        <w:tc>
          <w:tcPr>
            <w:tcW w:type="dxa" w:w="1757"/>
            <w:tcMar>
              <w:top w:w="60" w:type="dxa"/>
              <w:start w:w="60" w:type="dxa"/>
              <w:bottom w:w="60" w:type="dxa"/>
              <w:end w:w="60" w:type="dxa"/>
            </w:tcMar>
            <w:vAlign w:val="top"/>
          </w:tcPr>
          <w:p>
            <w:r/>
            <w:r>
              <w:rPr>
                <w:rFonts w:ascii="Aptos" w:hAnsi="Aptos"/>
                <w:sz w:val="12"/>
              </w:rPr>
              <w:t>Ce qui s’est passé</w:t>
            </w:r>
          </w:p>
        </w:tc>
        <w:tc>
          <w:tcPr>
            <w:tcW w:type="dxa" w:w="2551"/>
            <w:tcMar>
              <w:top w:w="60" w:type="dxa"/>
              <w:start w:w="60" w:type="dxa"/>
              <w:bottom w:w="60" w:type="dxa"/>
              <w:end w:w="60" w:type="dxa"/>
            </w:tcMar>
            <w:vAlign w:val="top"/>
          </w:tcPr>
          <w:p>
            <w:r/>
            <w:r>
              <w:rPr>
                <w:rFonts w:ascii="Aptos" w:hAnsi="Aptos"/>
                <w:sz w:val="12"/>
              </w:rPr>
              <w:t>Résumé chronologique.</w:t>
            </w:r>
          </w:p>
        </w:tc>
        <w:tc>
          <w:tcPr>
            <w:tcW w:type="dxa" w:w="1757"/>
            <w:tcMar>
              <w:top w:w="60" w:type="dxa"/>
              <w:start w:w="60" w:type="dxa"/>
              <w:bottom w:w="60" w:type="dxa"/>
              <w:end w:w="60" w:type="dxa"/>
            </w:tcMar>
            <w:vAlign w:val="top"/>
          </w:tcPr>
          <w:p>
            <w:r/>
            <w:r>
              <w:rPr>
                <w:rFonts w:ascii="Aptos" w:hAnsi="Aptos"/>
                <w:sz w:val="12"/>
              </w:rPr>
              <w:t>Tous documents</w:t>
            </w:r>
          </w:p>
        </w:tc>
        <w:tc>
          <w:tcPr>
            <w:tcW w:type="dxa" w:w="2324"/>
            <w:tcMar>
              <w:top w:w="60" w:type="dxa"/>
              <w:start w:w="60" w:type="dxa"/>
              <w:bottom w:w="60" w:type="dxa"/>
              <w:end w:w="60" w:type="dxa"/>
            </w:tcMar>
            <w:vAlign w:val="top"/>
          </w:tcPr>
          <w:p>
            <w:r/>
            <w:r>
              <w:rPr>
                <w:rFonts w:ascii="Aptos" w:hAnsi="Aptos"/>
                <w:sz w:val="12"/>
              </w:rPr>
              <w:t>Faits datés, incertitudes explicites.</w:t>
            </w:r>
          </w:p>
        </w:tc>
      </w:tr>
      <w:tr>
        <w:tc>
          <w:tcPr>
            <w:tcW w:type="dxa" w:w="397"/>
            <w:tcMar>
              <w:top w:w="60" w:type="dxa"/>
              <w:start w:w="60" w:type="dxa"/>
              <w:bottom w:w="60" w:type="dxa"/>
              <w:end w:w="60" w:type="dxa"/>
            </w:tcMar>
            <w:vAlign w:val="top"/>
          </w:tcPr>
          <w:p>
            <w:r/>
            <w:r>
              <w:rPr>
                <w:rFonts w:ascii="Aptos" w:hAnsi="Aptos"/>
                <w:sz w:val="12"/>
              </w:rPr>
              <w:t>17</w:t>
            </w:r>
          </w:p>
        </w:tc>
        <w:tc>
          <w:tcPr>
            <w:tcW w:type="dxa" w:w="1474"/>
            <w:tcMar>
              <w:top w:w="60" w:type="dxa"/>
              <w:start w:w="60" w:type="dxa"/>
              <w:bottom w:w="60" w:type="dxa"/>
              <w:end w:w="60" w:type="dxa"/>
            </w:tcMar>
            <w:vAlign w:val="top"/>
          </w:tcPr>
          <w:p>
            <w:r/>
            <w:r>
              <w:rPr>
                <w:rFonts w:ascii="Aptos" w:hAnsi="Aptos"/>
                <w:sz w:val="12"/>
              </w:rPr>
              <w:t>Structure</w:t>
            </w:r>
          </w:p>
        </w:tc>
        <w:tc>
          <w:tcPr>
            <w:tcW w:type="dxa" w:w="1757"/>
            <w:tcMar>
              <w:top w:w="60" w:type="dxa"/>
              <w:start w:w="60" w:type="dxa"/>
              <w:bottom w:w="60" w:type="dxa"/>
              <w:end w:w="60" w:type="dxa"/>
            </w:tcMar>
            <w:vAlign w:val="top"/>
          </w:tcPr>
          <w:p>
            <w:r/>
            <w:r>
              <w:rPr>
                <w:rFonts w:ascii="Aptos" w:hAnsi="Aptos"/>
                <w:sz w:val="12"/>
              </w:rPr>
              <w:t>Forme juridique</w:t>
            </w:r>
          </w:p>
        </w:tc>
        <w:tc>
          <w:tcPr>
            <w:tcW w:type="dxa" w:w="2551"/>
            <w:tcMar>
              <w:top w:w="60" w:type="dxa"/>
              <w:start w:w="60" w:type="dxa"/>
              <w:bottom w:w="60" w:type="dxa"/>
              <w:end w:w="60" w:type="dxa"/>
            </w:tcMar>
            <w:vAlign w:val="top"/>
          </w:tcPr>
          <w:p>
            <w:r/>
            <w:r>
              <w:rPr>
                <w:rFonts w:ascii="Aptos" w:hAnsi="Aptos"/>
                <w:sz w:val="12"/>
              </w:rPr>
              <w:t>Unit trust, OEIC, REIT, ETF, CEF.</w:t>
            </w:r>
          </w:p>
        </w:tc>
        <w:tc>
          <w:tcPr>
            <w:tcW w:type="dxa" w:w="1757"/>
            <w:tcMar>
              <w:top w:w="60" w:type="dxa"/>
              <w:start w:w="60" w:type="dxa"/>
              <w:bottom w:w="60" w:type="dxa"/>
              <w:end w:w="60" w:type="dxa"/>
            </w:tcMar>
            <w:vAlign w:val="top"/>
          </w:tcPr>
          <w:p>
            <w:r/>
            <w:r>
              <w:rPr>
                <w:rFonts w:ascii="Aptos" w:hAnsi="Aptos"/>
                <w:sz w:val="12"/>
              </w:rPr>
              <w:t>Prospectus/SEC rules</w:t>
            </w:r>
          </w:p>
        </w:tc>
        <w:tc>
          <w:tcPr>
            <w:tcW w:type="dxa" w:w="2324"/>
            <w:tcMar>
              <w:top w:w="60" w:type="dxa"/>
              <w:start w:w="60" w:type="dxa"/>
              <w:bottom w:w="60" w:type="dxa"/>
              <w:end w:w="60" w:type="dxa"/>
            </w:tcMar>
            <w:vAlign w:val="top"/>
          </w:tcPr>
          <w:p>
            <w:r/>
            <w:r>
              <w:rPr>
                <w:rFonts w:ascii="Aptos" w:hAnsi="Aptos"/>
                <w:sz w:val="12"/>
              </w:rPr>
              <w:t>Ne pas inférer du nom.</w:t>
            </w:r>
          </w:p>
        </w:tc>
      </w:tr>
      <w:tr>
        <w:tc>
          <w:tcPr>
            <w:tcW w:type="dxa" w:w="397"/>
            <w:tcMar>
              <w:top w:w="60" w:type="dxa"/>
              <w:start w:w="60" w:type="dxa"/>
              <w:bottom w:w="60" w:type="dxa"/>
              <w:end w:w="60" w:type="dxa"/>
            </w:tcMar>
            <w:vAlign w:val="top"/>
          </w:tcPr>
          <w:p>
            <w:r/>
            <w:r>
              <w:rPr>
                <w:rFonts w:ascii="Aptos" w:hAnsi="Aptos"/>
                <w:sz w:val="12"/>
              </w:rPr>
              <w:t>18</w:t>
            </w:r>
          </w:p>
        </w:tc>
        <w:tc>
          <w:tcPr>
            <w:tcW w:type="dxa" w:w="1474"/>
            <w:tcMar>
              <w:top w:w="60" w:type="dxa"/>
              <w:start w:w="60" w:type="dxa"/>
              <w:bottom w:w="60" w:type="dxa"/>
              <w:end w:w="60" w:type="dxa"/>
            </w:tcMar>
            <w:vAlign w:val="top"/>
          </w:tcPr>
          <w:p>
            <w:r/>
            <w:r>
              <w:rPr>
                <w:rFonts w:ascii="Aptos" w:hAnsi="Aptos"/>
                <w:sz w:val="12"/>
              </w:rPr>
              <w:t>Structure</w:t>
            </w:r>
          </w:p>
        </w:tc>
        <w:tc>
          <w:tcPr>
            <w:tcW w:type="dxa" w:w="1757"/>
            <w:tcMar>
              <w:top w:w="60" w:type="dxa"/>
              <w:start w:w="60" w:type="dxa"/>
              <w:bottom w:w="60" w:type="dxa"/>
              <w:end w:w="60" w:type="dxa"/>
            </w:tcMar>
            <w:vAlign w:val="top"/>
          </w:tcPr>
          <w:p>
            <w:r/>
            <w:r>
              <w:rPr>
                <w:rFonts w:ascii="Aptos" w:hAnsi="Aptos"/>
                <w:sz w:val="12"/>
              </w:rPr>
              <w:t>Structure ouverte/fermée</w:t>
            </w:r>
          </w:p>
        </w:tc>
        <w:tc>
          <w:tcPr>
            <w:tcW w:type="dxa" w:w="2551"/>
            <w:tcMar>
              <w:top w:w="60" w:type="dxa"/>
              <w:start w:w="60" w:type="dxa"/>
              <w:bottom w:w="60" w:type="dxa"/>
              <w:end w:w="60" w:type="dxa"/>
            </w:tcMar>
            <w:vAlign w:val="top"/>
          </w:tcPr>
          <w:p>
            <w:r/>
            <w:r>
              <w:rPr>
                <w:rFonts w:ascii="Aptos" w:hAnsi="Aptos"/>
                <w:sz w:val="12"/>
              </w:rPr>
              <w:t>Open-ended / closed-ended.</w:t>
            </w:r>
          </w:p>
        </w:tc>
        <w:tc>
          <w:tcPr>
            <w:tcW w:type="dxa" w:w="1757"/>
            <w:tcMar>
              <w:top w:w="60" w:type="dxa"/>
              <w:start w:w="60" w:type="dxa"/>
              <w:bottom w:w="60" w:type="dxa"/>
              <w:end w:w="60" w:type="dxa"/>
            </w:tcMar>
            <w:vAlign w:val="top"/>
          </w:tcPr>
          <w:p>
            <w:r/>
            <w:r>
              <w:rPr>
                <w:rFonts w:ascii="Aptos" w:hAnsi="Aptos"/>
                <w:sz w:val="12"/>
              </w:rPr>
              <w:t>Prospectus/NGX</w:t>
            </w:r>
          </w:p>
        </w:tc>
        <w:tc>
          <w:tcPr>
            <w:tcW w:type="dxa" w:w="2324"/>
            <w:tcMar>
              <w:top w:w="60" w:type="dxa"/>
              <w:start w:w="60" w:type="dxa"/>
              <w:bottom w:w="60" w:type="dxa"/>
              <w:end w:w="60" w:type="dxa"/>
            </w:tcMar>
            <w:vAlign w:val="top"/>
          </w:tcPr>
          <w:p>
            <w:r/>
            <w:r>
              <w:rPr>
                <w:rFonts w:ascii="Aptos" w:hAnsi="Aptos"/>
                <w:sz w:val="12"/>
              </w:rPr>
              <w:t>Historiser si évolution.</w:t>
            </w:r>
          </w:p>
        </w:tc>
      </w:tr>
      <w:tr>
        <w:tc>
          <w:tcPr>
            <w:tcW w:type="dxa" w:w="397"/>
            <w:tcMar>
              <w:top w:w="60" w:type="dxa"/>
              <w:start w:w="60" w:type="dxa"/>
              <w:bottom w:w="60" w:type="dxa"/>
              <w:end w:w="60" w:type="dxa"/>
            </w:tcMar>
            <w:vAlign w:val="top"/>
          </w:tcPr>
          <w:p>
            <w:r/>
            <w:r>
              <w:rPr>
                <w:rFonts w:ascii="Aptos" w:hAnsi="Aptos"/>
                <w:sz w:val="12"/>
              </w:rPr>
              <w:t>19</w:t>
            </w:r>
          </w:p>
        </w:tc>
        <w:tc>
          <w:tcPr>
            <w:tcW w:type="dxa" w:w="1474"/>
            <w:tcMar>
              <w:top w:w="60" w:type="dxa"/>
              <w:start w:w="60" w:type="dxa"/>
              <w:bottom w:w="60" w:type="dxa"/>
              <w:end w:w="60" w:type="dxa"/>
            </w:tcMar>
            <w:vAlign w:val="top"/>
          </w:tcPr>
          <w:p>
            <w:r/>
            <w:r>
              <w:rPr>
                <w:rFonts w:ascii="Aptos" w:hAnsi="Aptos"/>
                <w:sz w:val="12"/>
              </w:rPr>
              <w:t>Structure</w:t>
            </w:r>
          </w:p>
        </w:tc>
        <w:tc>
          <w:tcPr>
            <w:tcW w:type="dxa" w:w="1757"/>
            <w:tcMar>
              <w:top w:w="60" w:type="dxa"/>
              <w:start w:w="60" w:type="dxa"/>
              <w:bottom w:w="60" w:type="dxa"/>
              <w:end w:w="60" w:type="dxa"/>
            </w:tcMar>
            <w:vAlign w:val="top"/>
          </w:tcPr>
          <w:p>
            <w:r/>
            <w:r>
              <w:rPr>
                <w:rFonts w:ascii="Aptos" w:hAnsi="Aptos"/>
                <w:sz w:val="12"/>
              </w:rPr>
              <w:t>Fonds ou classe</w:t>
            </w:r>
          </w:p>
        </w:tc>
        <w:tc>
          <w:tcPr>
            <w:tcW w:type="dxa" w:w="2551"/>
            <w:tcMar>
              <w:top w:w="60" w:type="dxa"/>
              <w:start w:w="60" w:type="dxa"/>
              <w:bottom w:w="60" w:type="dxa"/>
              <w:end w:w="60" w:type="dxa"/>
            </w:tcMar>
            <w:vAlign w:val="top"/>
          </w:tcPr>
          <w:p>
            <w:r/>
            <w:r>
              <w:rPr>
                <w:rFonts w:ascii="Aptos" w:hAnsi="Aptos"/>
                <w:sz w:val="12"/>
              </w:rPr>
              <w:t>Niveau de l’objet.</w:t>
            </w:r>
          </w:p>
        </w:tc>
        <w:tc>
          <w:tcPr>
            <w:tcW w:type="dxa" w:w="1757"/>
            <w:tcMar>
              <w:top w:w="60" w:type="dxa"/>
              <w:start w:w="60" w:type="dxa"/>
              <w:bottom w:w="60" w:type="dxa"/>
              <w:end w:w="60" w:type="dxa"/>
            </w:tcMar>
            <w:vAlign w:val="top"/>
          </w:tcPr>
          <w:p>
            <w:r/>
            <w:r>
              <w:rPr>
                <w:rFonts w:ascii="Aptos" w:hAnsi="Aptos"/>
                <w:sz w:val="12"/>
              </w:rPr>
              <w:t>Prospectus</w:t>
            </w:r>
          </w:p>
        </w:tc>
        <w:tc>
          <w:tcPr>
            <w:tcW w:type="dxa" w:w="2324"/>
            <w:tcMar>
              <w:top w:w="60" w:type="dxa"/>
              <w:start w:w="60" w:type="dxa"/>
              <w:bottom w:w="60" w:type="dxa"/>
              <w:end w:w="60" w:type="dxa"/>
            </w:tcMar>
            <w:vAlign w:val="top"/>
          </w:tcPr>
          <w:p>
            <w:r/>
            <w:r>
              <w:rPr>
                <w:rFonts w:ascii="Aptos" w:hAnsi="Aptos"/>
                <w:sz w:val="12"/>
              </w:rPr>
              <w:t>Éviter double comptage.</w:t>
            </w:r>
          </w:p>
        </w:tc>
      </w:tr>
      <w:tr>
        <w:tc>
          <w:tcPr>
            <w:tcW w:type="dxa" w:w="397"/>
            <w:tcMar>
              <w:top w:w="60" w:type="dxa"/>
              <w:start w:w="60" w:type="dxa"/>
              <w:bottom w:w="60" w:type="dxa"/>
              <w:end w:w="60" w:type="dxa"/>
            </w:tcMar>
            <w:vAlign w:val="top"/>
          </w:tcPr>
          <w:p>
            <w:r/>
            <w:r>
              <w:rPr>
                <w:rFonts w:ascii="Aptos" w:hAnsi="Aptos"/>
                <w:sz w:val="12"/>
              </w:rPr>
              <w:t>20</w:t>
            </w:r>
          </w:p>
        </w:tc>
        <w:tc>
          <w:tcPr>
            <w:tcW w:type="dxa" w:w="1474"/>
            <w:tcMar>
              <w:top w:w="60" w:type="dxa"/>
              <w:start w:w="60" w:type="dxa"/>
              <w:bottom w:w="60" w:type="dxa"/>
              <w:end w:w="60" w:type="dxa"/>
            </w:tcMar>
            <w:vAlign w:val="top"/>
          </w:tcPr>
          <w:p>
            <w:r/>
            <w:r>
              <w:rPr>
                <w:rFonts w:ascii="Aptos" w:hAnsi="Aptos"/>
                <w:sz w:val="12"/>
              </w:rPr>
              <w:t>Prestataires</w:t>
            </w:r>
          </w:p>
        </w:tc>
        <w:tc>
          <w:tcPr>
            <w:tcW w:type="dxa" w:w="1757"/>
            <w:tcMar>
              <w:top w:w="60" w:type="dxa"/>
              <w:start w:w="60" w:type="dxa"/>
              <w:bottom w:w="60" w:type="dxa"/>
              <w:end w:w="60" w:type="dxa"/>
            </w:tcMar>
            <w:vAlign w:val="top"/>
          </w:tcPr>
          <w:p>
            <w:r/>
            <w:r>
              <w:rPr>
                <w:rFonts w:ascii="Aptos" w:hAnsi="Aptos"/>
                <w:sz w:val="12"/>
              </w:rPr>
              <w:t>Trustee actuel</w:t>
            </w:r>
          </w:p>
        </w:tc>
        <w:tc>
          <w:tcPr>
            <w:tcW w:type="dxa" w:w="2551"/>
            <w:tcMar>
              <w:top w:w="60" w:type="dxa"/>
              <w:start w:w="60" w:type="dxa"/>
              <w:bottom w:w="60" w:type="dxa"/>
              <w:end w:w="60" w:type="dxa"/>
            </w:tcMar>
            <w:vAlign w:val="top"/>
          </w:tcPr>
          <w:p>
            <w:r/>
            <w:r>
              <w:rPr>
                <w:rFonts w:ascii="Aptos" w:hAnsi="Aptos"/>
                <w:sz w:val="12"/>
              </w:rPr>
              <w:t>Entité et période.</w:t>
            </w:r>
          </w:p>
        </w:tc>
        <w:tc>
          <w:tcPr>
            <w:tcW w:type="dxa" w:w="1757"/>
            <w:tcMar>
              <w:top w:w="60" w:type="dxa"/>
              <w:start w:w="60" w:type="dxa"/>
              <w:bottom w:w="60" w:type="dxa"/>
              <w:end w:w="60" w:type="dxa"/>
            </w:tcMar>
            <w:vAlign w:val="top"/>
          </w:tcPr>
          <w:p>
            <w:r/>
            <w:r>
              <w:rPr>
                <w:rFonts w:ascii="Aptos" w:hAnsi="Aptos"/>
                <w:sz w:val="12"/>
              </w:rPr>
              <w:t>Prospectus/annual report</w:t>
            </w:r>
          </w:p>
        </w:tc>
        <w:tc>
          <w:tcPr>
            <w:tcW w:type="dxa" w:w="2324"/>
            <w:tcMar>
              <w:top w:w="60" w:type="dxa"/>
              <w:start w:w="60" w:type="dxa"/>
              <w:bottom w:w="60" w:type="dxa"/>
              <w:end w:w="60" w:type="dxa"/>
            </w:tcMar>
            <w:vAlign w:val="top"/>
          </w:tcPr>
          <w:p>
            <w:r/>
            <w:r>
              <w:rPr>
                <w:rFonts w:ascii="Aptos" w:hAnsi="Aptos"/>
                <w:sz w:val="12"/>
              </w:rPr>
              <w:t>Rôle séparé.</w:t>
            </w:r>
          </w:p>
        </w:tc>
      </w:tr>
      <w:tr>
        <w:tc>
          <w:tcPr>
            <w:tcW w:type="dxa" w:w="397"/>
            <w:tcMar>
              <w:top w:w="60" w:type="dxa"/>
              <w:start w:w="60" w:type="dxa"/>
              <w:bottom w:w="60" w:type="dxa"/>
              <w:end w:w="60" w:type="dxa"/>
            </w:tcMar>
            <w:vAlign w:val="top"/>
          </w:tcPr>
          <w:p>
            <w:r/>
            <w:r>
              <w:rPr>
                <w:rFonts w:ascii="Aptos" w:hAnsi="Aptos"/>
                <w:sz w:val="12"/>
              </w:rPr>
              <w:t>21</w:t>
            </w:r>
          </w:p>
        </w:tc>
        <w:tc>
          <w:tcPr>
            <w:tcW w:type="dxa" w:w="1474"/>
            <w:tcMar>
              <w:top w:w="60" w:type="dxa"/>
              <w:start w:w="60" w:type="dxa"/>
              <w:bottom w:w="60" w:type="dxa"/>
              <w:end w:w="60" w:type="dxa"/>
            </w:tcMar>
            <w:vAlign w:val="top"/>
          </w:tcPr>
          <w:p>
            <w:r/>
            <w:r>
              <w:rPr>
                <w:rFonts w:ascii="Aptos" w:hAnsi="Aptos"/>
                <w:sz w:val="12"/>
              </w:rPr>
              <w:t>Prestataires</w:t>
            </w:r>
          </w:p>
        </w:tc>
        <w:tc>
          <w:tcPr>
            <w:tcW w:type="dxa" w:w="1757"/>
            <w:tcMar>
              <w:top w:w="60" w:type="dxa"/>
              <w:start w:w="60" w:type="dxa"/>
              <w:bottom w:w="60" w:type="dxa"/>
              <w:end w:w="60" w:type="dxa"/>
            </w:tcMar>
            <w:vAlign w:val="top"/>
          </w:tcPr>
          <w:p>
            <w:r/>
            <w:r>
              <w:rPr>
                <w:rFonts w:ascii="Aptos" w:hAnsi="Aptos"/>
                <w:sz w:val="12"/>
              </w:rPr>
              <w:t>Custodian actuel</w:t>
            </w:r>
          </w:p>
        </w:tc>
        <w:tc>
          <w:tcPr>
            <w:tcW w:type="dxa" w:w="2551"/>
            <w:tcMar>
              <w:top w:w="60" w:type="dxa"/>
              <w:start w:w="60" w:type="dxa"/>
              <w:bottom w:w="60" w:type="dxa"/>
              <w:end w:w="60" w:type="dxa"/>
            </w:tcMar>
            <w:vAlign w:val="top"/>
          </w:tcPr>
          <w:p>
            <w:r/>
            <w:r>
              <w:rPr>
                <w:rFonts w:ascii="Aptos" w:hAnsi="Aptos"/>
                <w:sz w:val="12"/>
              </w:rPr>
              <w:t>Entité et période.</w:t>
            </w:r>
          </w:p>
        </w:tc>
        <w:tc>
          <w:tcPr>
            <w:tcW w:type="dxa" w:w="1757"/>
            <w:tcMar>
              <w:top w:w="60" w:type="dxa"/>
              <w:start w:w="60" w:type="dxa"/>
              <w:bottom w:w="60" w:type="dxa"/>
              <w:end w:w="60" w:type="dxa"/>
            </w:tcMar>
            <w:vAlign w:val="top"/>
          </w:tcPr>
          <w:p>
            <w:r/>
            <w:r>
              <w:rPr>
                <w:rFonts w:ascii="Aptos" w:hAnsi="Aptos"/>
                <w:sz w:val="12"/>
              </w:rPr>
              <w:t>Prospectus/annual report</w:t>
            </w:r>
          </w:p>
        </w:tc>
        <w:tc>
          <w:tcPr>
            <w:tcW w:type="dxa" w:w="2324"/>
            <w:tcMar>
              <w:top w:w="60" w:type="dxa"/>
              <w:start w:w="60" w:type="dxa"/>
              <w:bottom w:w="60" w:type="dxa"/>
              <w:end w:w="60" w:type="dxa"/>
            </w:tcMar>
            <w:vAlign w:val="top"/>
          </w:tcPr>
          <w:p>
            <w:r/>
            <w:r>
              <w:rPr>
                <w:rFonts w:ascii="Aptos" w:hAnsi="Aptos"/>
                <w:sz w:val="12"/>
              </w:rPr>
              <w:t>Rôle séparé.</w:t>
            </w:r>
          </w:p>
        </w:tc>
      </w:tr>
      <w:tr>
        <w:tc>
          <w:tcPr>
            <w:tcW w:type="dxa" w:w="397"/>
            <w:tcMar>
              <w:top w:w="60" w:type="dxa"/>
              <w:start w:w="60" w:type="dxa"/>
              <w:bottom w:w="60" w:type="dxa"/>
              <w:end w:w="60" w:type="dxa"/>
            </w:tcMar>
            <w:vAlign w:val="top"/>
          </w:tcPr>
          <w:p>
            <w:r/>
            <w:r>
              <w:rPr>
                <w:rFonts w:ascii="Aptos" w:hAnsi="Aptos"/>
                <w:sz w:val="12"/>
              </w:rPr>
              <w:t>22</w:t>
            </w:r>
          </w:p>
        </w:tc>
        <w:tc>
          <w:tcPr>
            <w:tcW w:type="dxa" w:w="1474"/>
            <w:tcMar>
              <w:top w:w="60" w:type="dxa"/>
              <w:start w:w="60" w:type="dxa"/>
              <w:bottom w:w="60" w:type="dxa"/>
              <w:end w:w="60" w:type="dxa"/>
            </w:tcMar>
            <w:vAlign w:val="top"/>
          </w:tcPr>
          <w:p>
            <w:r/>
            <w:r>
              <w:rPr>
                <w:rFonts w:ascii="Aptos" w:hAnsi="Aptos"/>
                <w:sz w:val="12"/>
              </w:rPr>
              <w:t>Prestataires</w:t>
            </w:r>
          </w:p>
        </w:tc>
        <w:tc>
          <w:tcPr>
            <w:tcW w:type="dxa" w:w="1757"/>
            <w:tcMar>
              <w:top w:w="60" w:type="dxa"/>
              <w:start w:w="60" w:type="dxa"/>
              <w:bottom w:w="60" w:type="dxa"/>
              <w:end w:w="60" w:type="dxa"/>
            </w:tcMar>
            <w:vAlign w:val="top"/>
          </w:tcPr>
          <w:p>
            <w:r/>
            <w:r>
              <w:rPr>
                <w:rFonts w:ascii="Aptos" w:hAnsi="Aptos"/>
                <w:sz w:val="12"/>
              </w:rPr>
              <w:t>Registrar / transfer agent</w:t>
            </w:r>
          </w:p>
        </w:tc>
        <w:tc>
          <w:tcPr>
            <w:tcW w:type="dxa" w:w="2551"/>
            <w:tcMar>
              <w:top w:w="60" w:type="dxa"/>
              <w:start w:w="60" w:type="dxa"/>
              <w:bottom w:w="60" w:type="dxa"/>
              <w:end w:w="60" w:type="dxa"/>
            </w:tcMar>
            <w:vAlign w:val="top"/>
          </w:tcPr>
          <w:p>
            <w:r/>
            <w:r>
              <w:rPr>
                <w:rFonts w:ascii="Aptos" w:hAnsi="Aptos"/>
                <w:sz w:val="12"/>
              </w:rPr>
              <w:t>Entité et période.</w:t>
            </w:r>
          </w:p>
        </w:tc>
        <w:tc>
          <w:tcPr>
            <w:tcW w:type="dxa" w:w="1757"/>
            <w:tcMar>
              <w:top w:w="60" w:type="dxa"/>
              <w:start w:w="60" w:type="dxa"/>
              <w:bottom w:w="60" w:type="dxa"/>
              <w:end w:w="60" w:type="dxa"/>
            </w:tcMar>
            <w:vAlign w:val="top"/>
          </w:tcPr>
          <w:p>
            <w:r/>
            <w:r>
              <w:rPr>
                <w:rFonts w:ascii="Aptos" w:hAnsi="Aptos"/>
                <w:sz w:val="12"/>
              </w:rPr>
              <w:t>Prospectus/annual report</w:t>
            </w:r>
          </w:p>
        </w:tc>
        <w:tc>
          <w:tcPr>
            <w:tcW w:type="dxa" w:w="2324"/>
            <w:tcMar>
              <w:top w:w="60" w:type="dxa"/>
              <w:start w:w="60" w:type="dxa"/>
              <w:bottom w:w="60" w:type="dxa"/>
              <w:end w:w="60" w:type="dxa"/>
            </w:tcMar>
            <w:vAlign w:val="top"/>
          </w:tcPr>
          <w:p>
            <w:r/>
            <w:r>
              <w:rPr>
                <w:rFonts w:ascii="Aptos" w:hAnsi="Aptos"/>
                <w:sz w:val="12"/>
              </w:rPr>
              <w:t>Ne pas supposer.</w:t>
            </w:r>
          </w:p>
        </w:tc>
      </w:tr>
      <w:tr>
        <w:tc>
          <w:tcPr>
            <w:tcW w:type="dxa" w:w="397"/>
            <w:tcMar>
              <w:top w:w="60" w:type="dxa"/>
              <w:start w:w="60" w:type="dxa"/>
              <w:bottom w:w="60" w:type="dxa"/>
              <w:end w:w="60" w:type="dxa"/>
            </w:tcMar>
            <w:vAlign w:val="top"/>
          </w:tcPr>
          <w:p>
            <w:r/>
            <w:r>
              <w:rPr>
                <w:rFonts w:ascii="Aptos" w:hAnsi="Aptos"/>
                <w:sz w:val="12"/>
              </w:rPr>
              <w:t>23</w:t>
            </w:r>
          </w:p>
        </w:tc>
        <w:tc>
          <w:tcPr>
            <w:tcW w:type="dxa" w:w="1474"/>
            <w:tcMar>
              <w:top w:w="60" w:type="dxa"/>
              <w:start w:w="60" w:type="dxa"/>
              <w:bottom w:w="60" w:type="dxa"/>
              <w:end w:w="60" w:type="dxa"/>
            </w:tcMar>
            <w:vAlign w:val="top"/>
          </w:tcPr>
          <w:p>
            <w:r/>
            <w:r>
              <w:rPr>
                <w:rFonts w:ascii="Aptos" w:hAnsi="Aptos"/>
                <w:sz w:val="12"/>
              </w:rPr>
              <w:t>Prestataires</w:t>
            </w:r>
          </w:p>
        </w:tc>
        <w:tc>
          <w:tcPr>
            <w:tcW w:type="dxa" w:w="1757"/>
            <w:tcMar>
              <w:top w:w="60" w:type="dxa"/>
              <w:start w:w="60" w:type="dxa"/>
              <w:bottom w:w="60" w:type="dxa"/>
              <w:end w:w="60" w:type="dxa"/>
            </w:tcMar>
            <w:vAlign w:val="top"/>
          </w:tcPr>
          <w:p>
            <w:r/>
            <w:r>
              <w:rPr>
                <w:rFonts w:ascii="Aptos" w:hAnsi="Aptos"/>
                <w:sz w:val="12"/>
              </w:rPr>
              <w:t>Auditeur</w:t>
            </w:r>
          </w:p>
        </w:tc>
        <w:tc>
          <w:tcPr>
            <w:tcW w:type="dxa" w:w="2551"/>
            <w:tcMar>
              <w:top w:w="60" w:type="dxa"/>
              <w:start w:w="60" w:type="dxa"/>
              <w:bottom w:w="60" w:type="dxa"/>
              <w:end w:w="60" w:type="dxa"/>
            </w:tcMar>
            <w:vAlign w:val="top"/>
          </w:tcPr>
          <w:p>
            <w:r/>
            <w:r>
              <w:rPr>
                <w:rFonts w:ascii="Aptos" w:hAnsi="Aptos"/>
                <w:sz w:val="12"/>
              </w:rPr>
              <w:t>Entité et exercice.</w:t>
            </w:r>
          </w:p>
        </w:tc>
        <w:tc>
          <w:tcPr>
            <w:tcW w:type="dxa" w:w="1757"/>
            <w:tcMar>
              <w:top w:w="60" w:type="dxa"/>
              <w:start w:w="60" w:type="dxa"/>
              <w:bottom w:w="60" w:type="dxa"/>
              <w:end w:w="60" w:type="dxa"/>
            </w:tcMar>
            <w:vAlign w:val="top"/>
          </w:tcPr>
          <w:p>
            <w:r/>
            <w:r>
              <w:rPr>
                <w:rFonts w:ascii="Aptos" w:hAnsi="Aptos"/>
                <w:sz w:val="12"/>
              </w:rPr>
              <w:t>Comptes audités</w:t>
            </w:r>
          </w:p>
        </w:tc>
        <w:tc>
          <w:tcPr>
            <w:tcW w:type="dxa" w:w="2324"/>
            <w:tcMar>
              <w:top w:w="60" w:type="dxa"/>
              <w:start w:w="60" w:type="dxa"/>
              <w:bottom w:w="60" w:type="dxa"/>
              <w:end w:w="60" w:type="dxa"/>
            </w:tcMar>
            <w:vAlign w:val="top"/>
          </w:tcPr>
          <w:p>
            <w:r/>
            <w:r>
              <w:rPr>
                <w:rFonts w:ascii="Aptos" w:hAnsi="Aptos"/>
                <w:sz w:val="12"/>
              </w:rPr>
              <w:t>Historiser les changements.</w:t>
            </w:r>
          </w:p>
        </w:tc>
      </w:tr>
      <w:tr>
        <w:tc>
          <w:tcPr>
            <w:tcW w:type="dxa" w:w="397"/>
            <w:tcMar>
              <w:top w:w="60" w:type="dxa"/>
              <w:start w:w="60" w:type="dxa"/>
              <w:bottom w:w="60" w:type="dxa"/>
              <w:end w:w="60" w:type="dxa"/>
            </w:tcMar>
            <w:vAlign w:val="top"/>
          </w:tcPr>
          <w:p>
            <w:r/>
            <w:r>
              <w:rPr>
                <w:rFonts w:ascii="Aptos" w:hAnsi="Aptos"/>
                <w:sz w:val="12"/>
              </w:rPr>
              <w:t>24</w:t>
            </w:r>
          </w:p>
        </w:tc>
        <w:tc>
          <w:tcPr>
            <w:tcW w:type="dxa" w:w="1474"/>
            <w:tcMar>
              <w:top w:w="60" w:type="dxa"/>
              <w:start w:w="60" w:type="dxa"/>
              <w:bottom w:w="60" w:type="dxa"/>
              <w:end w:w="60" w:type="dxa"/>
            </w:tcMar>
            <w:vAlign w:val="top"/>
          </w:tcPr>
          <w:p>
            <w:r/>
            <w:r>
              <w:rPr>
                <w:rFonts w:ascii="Aptos" w:hAnsi="Aptos"/>
                <w:sz w:val="12"/>
              </w:rPr>
              <w:t>Prestataires</w:t>
            </w:r>
          </w:p>
        </w:tc>
        <w:tc>
          <w:tcPr>
            <w:tcW w:type="dxa" w:w="1757"/>
            <w:tcMar>
              <w:top w:w="60" w:type="dxa"/>
              <w:start w:w="60" w:type="dxa"/>
              <w:bottom w:w="60" w:type="dxa"/>
              <w:end w:w="60" w:type="dxa"/>
            </w:tcMar>
            <w:vAlign w:val="top"/>
          </w:tcPr>
          <w:p>
            <w:r/>
            <w:r>
              <w:rPr>
                <w:rFonts w:ascii="Aptos" w:hAnsi="Aptos"/>
                <w:sz w:val="12"/>
              </w:rPr>
              <w:t>Sponsor / promoter</w:t>
            </w:r>
          </w:p>
        </w:tc>
        <w:tc>
          <w:tcPr>
            <w:tcW w:type="dxa" w:w="2551"/>
            <w:tcMar>
              <w:top w:w="60" w:type="dxa"/>
              <w:start w:w="60" w:type="dxa"/>
              <w:bottom w:w="60" w:type="dxa"/>
              <w:end w:w="60" w:type="dxa"/>
            </w:tcMar>
            <w:vAlign w:val="top"/>
          </w:tcPr>
          <w:p>
            <w:r/>
            <w:r>
              <w:rPr>
                <w:rFonts w:ascii="Aptos" w:hAnsi="Aptos"/>
                <w:sz w:val="12"/>
              </w:rPr>
              <w:t>Initiateur.</w:t>
            </w:r>
          </w:p>
        </w:tc>
        <w:tc>
          <w:tcPr>
            <w:tcW w:type="dxa" w:w="1757"/>
            <w:tcMar>
              <w:top w:w="60" w:type="dxa"/>
              <w:start w:w="60" w:type="dxa"/>
              <w:bottom w:w="60" w:type="dxa"/>
              <w:end w:w="60" w:type="dxa"/>
            </w:tcMar>
            <w:vAlign w:val="top"/>
          </w:tcPr>
          <w:p>
            <w:r/>
            <w:r>
              <w:rPr>
                <w:rFonts w:ascii="Aptos" w:hAnsi="Aptos"/>
                <w:sz w:val="12"/>
              </w:rPr>
              <w:t>Offer circular/prospectus</w:t>
            </w:r>
          </w:p>
        </w:tc>
        <w:tc>
          <w:tcPr>
            <w:tcW w:type="dxa" w:w="2324"/>
            <w:tcMar>
              <w:top w:w="60" w:type="dxa"/>
              <w:start w:w="60" w:type="dxa"/>
              <w:bottom w:w="60" w:type="dxa"/>
              <w:end w:w="60" w:type="dxa"/>
            </w:tcMar>
            <w:vAlign w:val="top"/>
          </w:tcPr>
          <w:p>
            <w:r/>
            <w:r>
              <w:rPr>
                <w:rFonts w:ascii="Aptos" w:hAnsi="Aptos"/>
                <w:sz w:val="12"/>
              </w:rPr>
              <w:t>Distinct du manager.</w:t>
            </w:r>
          </w:p>
        </w:tc>
      </w:tr>
      <w:tr>
        <w:tc>
          <w:tcPr>
            <w:tcW w:type="dxa" w:w="397"/>
            <w:tcMar>
              <w:top w:w="60" w:type="dxa"/>
              <w:start w:w="60" w:type="dxa"/>
              <w:bottom w:w="60" w:type="dxa"/>
              <w:end w:w="60" w:type="dxa"/>
            </w:tcMar>
            <w:vAlign w:val="top"/>
          </w:tcPr>
          <w:p>
            <w:r/>
            <w:r>
              <w:rPr>
                <w:rFonts w:ascii="Aptos" w:hAnsi="Aptos"/>
                <w:sz w:val="12"/>
              </w:rPr>
              <w:t>25</w:t>
            </w:r>
          </w:p>
        </w:tc>
        <w:tc>
          <w:tcPr>
            <w:tcW w:type="dxa" w:w="1474"/>
            <w:tcMar>
              <w:top w:w="60" w:type="dxa"/>
              <w:start w:w="60" w:type="dxa"/>
              <w:bottom w:w="60" w:type="dxa"/>
              <w:end w:w="60" w:type="dxa"/>
            </w:tcMar>
            <w:vAlign w:val="top"/>
          </w:tcPr>
          <w:p>
            <w:r/>
            <w:r>
              <w:rPr>
                <w:rFonts w:ascii="Aptos" w:hAnsi="Aptos"/>
                <w:sz w:val="12"/>
              </w:rPr>
              <w:t>Opérations</w:t>
            </w:r>
          </w:p>
        </w:tc>
        <w:tc>
          <w:tcPr>
            <w:tcW w:type="dxa" w:w="1757"/>
            <w:tcMar>
              <w:top w:w="60" w:type="dxa"/>
              <w:start w:w="60" w:type="dxa"/>
              <w:bottom w:w="60" w:type="dxa"/>
              <w:end w:w="60" w:type="dxa"/>
            </w:tcMar>
            <w:vAlign w:val="top"/>
          </w:tcPr>
          <w:p>
            <w:r/>
            <w:r>
              <w:rPr>
                <w:rFonts w:ascii="Aptos" w:hAnsi="Aptos"/>
                <w:sz w:val="12"/>
              </w:rPr>
              <w:t>Fréquence de valorisation</w:t>
            </w:r>
          </w:p>
        </w:tc>
        <w:tc>
          <w:tcPr>
            <w:tcW w:type="dxa" w:w="2551"/>
            <w:tcMar>
              <w:top w:w="60" w:type="dxa"/>
              <w:start w:w="60" w:type="dxa"/>
              <w:bottom w:w="60" w:type="dxa"/>
              <w:end w:w="60" w:type="dxa"/>
            </w:tcMar>
            <w:vAlign w:val="top"/>
          </w:tcPr>
          <w:p>
            <w:r/>
            <w:r>
              <w:rPr>
                <w:rFonts w:ascii="Aptos" w:hAnsi="Aptos"/>
                <w:sz w:val="12"/>
              </w:rPr>
              <w:t>Daily, weekly, etc.</w:t>
            </w:r>
          </w:p>
        </w:tc>
        <w:tc>
          <w:tcPr>
            <w:tcW w:type="dxa" w:w="1757"/>
            <w:tcMar>
              <w:top w:w="60" w:type="dxa"/>
              <w:start w:w="60" w:type="dxa"/>
              <w:bottom w:w="60" w:type="dxa"/>
              <w:end w:w="60" w:type="dxa"/>
            </w:tcMar>
            <w:vAlign w:val="top"/>
          </w:tcPr>
          <w:p>
            <w:r/>
            <w:r>
              <w:rPr>
                <w:rFonts w:ascii="Aptos" w:hAnsi="Aptos"/>
                <w:sz w:val="12"/>
              </w:rPr>
              <w:t>Prospectus/factsheet</w:t>
            </w:r>
          </w:p>
        </w:tc>
        <w:tc>
          <w:tcPr>
            <w:tcW w:type="dxa" w:w="2324"/>
            <w:tcMar>
              <w:top w:w="60" w:type="dxa"/>
              <w:start w:w="60" w:type="dxa"/>
              <w:bottom w:w="60" w:type="dxa"/>
              <w:end w:w="60" w:type="dxa"/>
            </w:tcMar>
            <w:vAlign w:val="top"/>
          </w:tcPr>
          <w:p>
            <w:r/>
            <w:r>
              <w:rPr>
                <w:rFonts w:ascii="Aptos" w:hAnsi="Aptos"/>
                <w:sz w:val="12"/>
              </w:rPr>
              <w:t>Ne pas déduire du Weekly SEC.</w:t>
            </w:r>
          </w:p>
        </w:tc>
      </w:tr>
      <w:tr>
        <w:tc>
          <w:tcPr>
            <w:tcW w:type="dxa" w:w="397"/>
            <w:tcMar>
              <w:top w:w="60" w:type="dxa"/>
              <w:start w:w="60" w:type="dxa"/>
              <w:bottom w:w="60" w:type="dxa"/>
              <w:end w:w="60" w:type="dxa"/>
            </w:tcMar>
            <w:vAlign w:val="top"/>
          </w:tcPr>
          <w:p>
            <w:r/>
            <w:r>
              <w:rPr>
                <w:rFonts w:ascii="Aptos" w:hAnsi="Aptos"/>
                <w:sz w:val="12"/>
              </w:rPr>
              <w:t>26</w:t>
            </w:r>
          </w:p>
        </w:tc>
        <w:tc>
          <w:tcPr>
            <w:tcW w:type="dxa" w:w="1474"/>
            <w:tcMar>
              <w:top w:w="60" w:type="dxa"/>
              <w:start w:w="60" w:type="dxa"/>
              <w:bottom w:w="60" w:type="dxa"/>
              <w:end w:w="60" w:type="dxa"/>
            </w:tcMar>
            <w:vAlign w:val="top"/>
          </w:tcPr>
          <w:p>
            <w:r/>
            <w:r>
              <w:rPr>
                <w:rFonts w:ascii="Aptos" w:hAnsi="Aptos"/>
                <w:sz w:val="12"/>
              </w:rPr>
              <w:t>Opérations</w:t>
            </w:r>
          </w:p>
        </w:tc>
        <w:tc>
          <w:tcPr>
            <w:tcW w:type="dxa" w:w="1757"/>
            <w:tcMar>
              <w:top w:w="60" w:type="dxa"/>
              <w:start w:w="60" w:type="dxa"/>
              <w:bottom w:w="60" w:type="dxa"/>
              <w:end w:w="60" w:type="dxa"/>
            </w:tcMar>
            <w:vAlign w:val="top"/>
          </w:tcPr>
          <w:p>
            <w:r/>
            <w:r>
              <w:rPr>
                <w:rFonts w:ascii="Aptos" w:hAnsi="Aptos"/>
                <w:sz w:val="12"/>
              </w:rPr>
              <w:t>Fréquence de dealing</w:t>
            </w:r>
          </w:p>
        </w:tc>
        <w:tc>
          <w:tcPr>
            <w:tcW w:type="dxa" w:w="2551"/>
            <w:tcMar>
              <w:top w:w="60" w:type="dxa"/>
              <w:start w:w="60" w:type="dxa"/>
              <w:bottom w:w="60" w:type="dxa"/>
              <w:end w:w="60" w:type="dxa"/>
            </w:tcMar>
            <w:vAlign w:val="top"/>
          </w:tcPr>
          <w:p>
            <w:r/>
            <w:r>
              <w:rPr>
                <w:rFonts w:ascii="Aptos" w:hAnsi="Aptos"/>
                <w:sz w:val="12"/>
              </w:rPr>
              <w:t>Souscriptions/rachats.</w:t>
            </w:r>
          </w:p>
        </w:tc>
        <w:tc>
          <w:tcPr>
            <w:tcW w:type="dxa" w:w="1757"/>
            <w:tcMar>
              <w:top w:w="60" w:type="dxa"/>
              <w:start w:w="60" w:type="dxa"/>
              <w:bottom w:w="60" w:type="dxa"/>
              <w:end w:w="60" w:type="dxa"/>
            </w:tcMar>
            <w:vAlign w:val="top"/>
          </w:tcPr>
          <w:p>
            <w:r/>
            <w:r>
              <w:rPr>
                <w:rFonts w:ascii="Aptos" w:hAnsi="Aptos"/>
                <w:sz w:val="12"/>
              </w:rPr>
              <w:t>Prospectus</w:t>
            </w:r>
          </w:p>
        </w:tc>
        <w:tc>
          <w:tcPr>
            <w:tcW w:type="dxa" w:w="2324"/>
            <w:tcMar>
              <w:top w:w="60" w:type="dxa"/>
              <w:start w:w="60" w:type="dxa"/>
              <w:bottom w:w="60" w:type="dxa"/>
              <w:end w:w="60" w:type="dxa"/>
            </w:tcMar>
            <w:vAlign w:val="top"/>
          </w:tcPr>
          <w:p>
            <w:r/>
            <w:r>
              <w:rPr>
                <w:rFonts w:ascii="Aptos" w:hAnsi="Aptos"/>
                <w:sz w:val="12"/>
              </w:rPr>
              <w:t>Conserver cut-off.</w:t>
            </w:r>
          </w:p>
        </w:tc>
      </w:tr>
      <w:tr>
        <w:tc>
          <w:tcPr>
            <w:tcW w:type="dxa" w:w="397"/>
            <w:tcMar>
              <w:top w:w="60" w:type="dxa"/>
              <w:start w:w="60" w:type="dxa"/>
              <w:bottom w:w="60" w:type="dxa"/>
              <w:end w:w="60" w:type="dxa"/>
            </w:tcMar>
            <w:vAlign w:val="top"/>
          </w:tcPr>
          <w:p>
            <w:r/>
            <w:r>
              <w:rPr>
                <w:rFonts w:ascii="Aptos" w:hAnsi="Aptos"/>
                <w:sz w:val="12"/>
              </w:rPr>
              <w:t>27</w:t>
            </w:r>
          </w:p>
        </w:tc>
        <w:tc>
          <w:tcPr>
            <w:tcW w:type="dxa" w:w="1474"/>
            <w:tcMar>
              <w:top w:w="60" w:type="dxa"/>
              <w:start w:w="60" w:type="dxa"/>
              <w:bottom w:w="60" w:type="dxa"/>
              <w:end w:w="60" w:type="dxa"/>
            </w:tcMar>
            <w:vAlign w:val="top"/>
          </w:tcPr>
          <w:p>
            <w:r/>
            <w:r>
              <w:rPr>
                <w:rFonts w:ascii="Aptos" w:hAnsi="Aptos"/>
                <w:sz w:val="12"/>
              </w:rPr>
              <w:t>Opérations</w:t>
            </w:r>
          </w:p>
        </w:tc>
        <w:tc>
          <w:tcPr>
            <w:tcW w:type="dxa" w:w="1757"/>
            <w:tcMar>
              <w:top w:w="60" w:type="dxa"/>
              <w:start w:w="60" w:type="dxa"/>
              <w:bottom w:w="60" w:type="dxa"/>
              <w:end w:w="60" w:type="dxa"/>
            </w:tcMar>
            <w:vAlign w:val="top"/>
          </w:tcPr>
          <w:p>
            <w:r/>
            <w:r>
              <w:rPr>
                <w:rFonts w:ascii="Aptos" w:hAnsi="Aptos"/>
                <w:sz w:val="12"/>
              </w:rPr>
              <w:t>Investissement minimum</w:t>
            </w:r>
          </w:p>
        </w:tc>
        <w:tc>
          <w:tcPr>
            <w:tcW w:type="dxa" w:w="2551"/>
            <w:tcMar>
              <w:top w:w="60" w:type="dxa"/>
              <w:start w:w="60" w:type="dxa"/>
              <w:bottom w:w="60" w:type="dxa"/>
              <w:end w:w="60" w:type="dxa"/>
            </w:tcMar>
            <w:vAlign w:val="top"/>
          </w:tcPr>
          <w:p>
            <w:r/>
            <w:r>
              <w:rPr>
                <w:rFonts w:ascii="Aptos" w:hAnsi="Aptos"/>
                <w:sz w:val="12"/>
              </w:rPr>
              <w:t>Montant et devise.</w:t>
            </w:r>
          </w:p>
        </w:tc>
        <w:tc>
          <w:tcPr>
            <w:tcW w:type="dxa" w:w="1757"/>
            <w:tcMar>
              <w:top w:w="60" w:type="dxa"/>
              <w:start w:w="60" w:type="dxa"/>
              <w:bottom w:w="60" w:type="dxa"/>
              <w:end w:w="60" w:type="dxa"/>
            </w:tcMar>
            <w:vAlign w:val="top"/>
          </w:tcPr>
          <w:p>
            <w:r/>
            <w:r>
              <w:rPr>
                <w:rFonts w:ascii="Aptos" w:hAnsi="Aptos"/>
                <w:sz w:val="12"/>
              </w:rPr>
              <w:t>Prospectus/page fonds</w:t>
            </w:r>
          </w:p>
        </w:tc>
        <w:tc>
          <w:tcPr>
            <w:tcW w:type="dxa" w:w="2324"/>
            <w:tcMar>
              <w:top w:w="60" w:type="dxa"/>
              <w:start w:w="60" w:type="dxa"/>
              <w:bottom w:w="60" w:type="dxa"/>
              <w:end w:w="60" w:type="dxa"/>
            </w:tcMar>
            <w:vAlign w:val="top"/>
          </w:tcPr>
          <w:p>
            <w:r/>
            <w:r>
              <w:rPr>
                <w:rFonts w:ascii="Aptos" w:hAnsi="Aptos"/>
                <w:sz w:val="12"/>
              </w:rPr>
              <w:t>Date de validité.</w:t>
            </w:r>
          </w:p>
        </w:tc>
      </w:tr>
      <w:tr>
        <w:tc>
          <w:tcPr>
            <w:tcW w:type="dxa" w:w="397"/>
            <w:tcMar>
              <w:top w:w="60" w:type="dxa"/>
              <w:start w:w="60" w:type="dxa"/>
              <w:bottom w:w="60" w:type="dxa"/>
              <w:end w:w="60" w:type="dxa"/>
            </w:tcMar>
            <w:vAlign w:val="top"/>
          </w:tcPr>
          <w:p>
            <w:r/>
            <w:r>
              <w:rPr>
                <w:rFonts w:ascii="Aptos" w:hAnsi="Aptos"/>
                <w:sz w:val="12"/>
              </w:rPr>
              <w:t>28</w:t>
            </w:r>
          </w:p>
        </w:tc>
        <w:tc>
          <w:tcPr>
            <w:tcW w:type="dxa" w:w="1474"/>
            <w:tcMar>
              <w:top w:w="60" w:type="dxa"/>
              <w:start w:w="60" w:type="dxa"/>
              <w:bottom w:w="60" w:type="dxa"/>
              <w:end w:w="60" w:type="dxa"/>
            </w:tcMar>
            <w:vAlign w:val="top"/>
          </w:tcPr>
          <w:p>
            <w:r/>
            <w:r>
              <w:rPr>
                <w:rFonts w:ascii="Aptos" w:hAnsi="Aptos"/>
                <w:sz w:val="12"/>
              </w:rPr>
              <w:t>Opérations</w:t>
            </w:r>
          </w:p>
        </w:tc>
        <w:tc>
          <w:tcPr>
            <w:tcW w:type="dxa" w:w="1757"/>
            <w:tcMar>
              <w:top w:w="60" w:type="dxa"/>
              <w:start w:w="60" w:type="dxa"/>
              <w:bottom w:w="60" w:type="dxa"/>
              <w:end w:w="60" w:type="dxa"/>
            </w:tcMar>
            <w:vAlign w:val="top"/>
          </w:tcPr>
          <w:p>
            <w:r/>
            <w:r>
              <w:rPr>
                <w:rFonts w:ascii="Aptos" w:hAnsi="Aptos"/>
                <w:sz w:val="12"/>
              </w:rPr>
              <w:t>Exercice fiscal</w:t>
            </w:r>
          </w:p>
        </w:tc>
        <w:tc>
          <w:tcPr>
            <w:tcW w:type="dxa" w:w="2551"/>
            <w:tcMar>
              <w:top w:w="60" w:type="dxa"/>
              <w:start w:w="60" w:type="dxa"/>
              <w:bottom w:w="60" w:type="dxa"/>
              <w:end w:w="60" w:type="dxa"/>
            </w:tcMar>
            <w:vAlign w:val="top"/>
          </w:tcPr>
          <w:p>
            <w:r/>
            <w:r>
              <w:rPr>
                <w:rFonts w:ascii="Aptos" w:hAnsi="Aptos"/>
                <w:sz w:val="12"/>
              </w:rPr>
              <w:t>Date de clôture.</w:t>
            </w:r>
          </w:p>
        </w:tc>
        <w:tc>
          <w:tcPr>
            <w:tcW w:type="dxa" w:w="1757"/>
            <w:tcMar>
              <w:top w:w="60" w:type="dxa"/>
              <w:start w:w="60" w:type="dxa"/>
              <w:bottom w:w="60" w:type="dxa"/>
              <w:end w:w="60" w:type="dxa"/>
            </w:tcMar>
            <w:vAlign w:val="top"/>
          </w:tcPr>
          <w:p>
            <w:r/>
            <w:r>
              <w:rPr>
                <w:rFonts w:ascii="Aptos" w:hAnsi="Aptos"/>
                <w:sz w:val="12"/>
              </w:rPr>
              <w:t>Annual report</w:t>
            </w:r>
          </w:p>
        </w:tc>
        <w:tc>
          <w:tcPr>
            <w:tcW w:type="dxa" w:w="2324"/>
            <w:tcMar>
              <w:top w:w="60" w:type="dxa"/>
              <w:start w:w="60" w:type="dxa"/>
              <w:bottom w:w="60" w:type="dxa"/>
              <w:end w:w="60" w:type="dxa"/>
            </w:tcMar>
            <w:vAlign w:val="top"/>
          </w:tcPr>
          <w:p>
            <w:r/>
            <w:r>
              <w:rPr>
                <w:rFonts w:ascii="Aptos" w:hAnsi="Aptos"/>
                <w:sz w:val="12"/>
              </w:rPr>
              <w:t>Historiser.</w:t>
            </w:r>
          </w:p>
        </w:tc>
      </w:tr>
      <w:tr>
        <w:tc>
          <w:tcPr>
            <w:tcW w:type="dxa" w:w="397"/>
            <w:tcMar>
              <w:top w:w="60" w:type="dxa"/>
              <w:start w:w="60" w:type="dxa"/>
              <w:bottom w:w="60" w:type="dxa"/>
              <w:end w:w="60" w:type="dxa"/>
            </w:tcMar>
            <w:vAlign w:val="top"/>
          </w:tcPr>
          <w:p>
            <w:r/>
            <w:r>
              <w:rPr>
                <w:rFonts w:ascii="Aptos" w:hAnsi="Aptos"/>
                <w:sz w:val="12"/>
              </w:rPr>
              <w:t>29</w:t>
            </w:r>
          </w:p>
        </w:tc>
        <w:tc>
          <w:tcPr>
            <w:tcW w:type="dxa" w:w="1474"/>
            <w:tcMar>
              <w:top w:w="60" w:type="dxa"/>
              <w:start w:w="60" w:type="dxa"/>
              <w:bottom w:w="60" w:type="dxa"/>
              <w:end w:w="60" w:type="dxa"/>
            </w:tcMar>
            <w:vAlign w:val="top"/>
          </w:tcPr>
          <w:p>
            <w:r/>
            <w:r>
              <w:rPr>
                <w:rFonts w:ascii="Aptos" w:hAnsi="Aptos"/>
                <w:sz w:val="12"/>
              </w:rPr>
              <w:t>Distribution</w:t>
            </w:r>
          </w:p>
        </w:tc>
        <w:tc>
          <w:tcPr>
            <w:tcW w:type="dxa" w:w="1757"/>
            <w:tcMar>
              <w:top w:w="60" w:type="dxa"/>
              <w:start w:w="60" w:type="dxa"/>
              <w:bottom w:w="60" w:type="dxa"/>
              <w:end w:w="60" w:type="dxa"/>
            </w:tcMar>
            <w:vAlign w:val="top"/>
          </w:tcPr>
          <w:p>
            <w:r/>
            <w:r>
              <w:rPr>
                <w:rFonts w:ascii="Aptos" w:hAnsi="Aptos"/>
                <w:sz w:val="12"/>
              </w:rPr>
              <w:t>Politique de distribution</w:t>
            </w:r>
          </w:p>
        </w:tc>
        <w:tc>
          <w:tcPr>
            <w:tcW w:type="dxa" w:w="2551"/>
            <w:tcMar>
              <w:top w:w="60" w:type="dxa"/>
              <w:start w:w="60" w:type="dxa"/>
              <w:bottom w:w="60" w:type="dxa"/>
              <w:end w:w="60" w:type="dxa"/>
            </w:tcMar>
            <w:vAlign w:val="top"/>
          </w:tcPr>
          <w:p>
            <w:r/>
            <w:r>
              <w:rPr>
                <w:rFonts w:ascii="Aptos" w:hAnsi="Aptos"/>
                <w:sz w:val="12"/>
              </w:rPr>
              <w:t>Capitalisation/distribution.</w:t>
            </w:r>
          </w:p>
        </w:tc>
        <w:tc>
          <w:tcPr>
            <w:tcW w:type="dxa" w:w="1757"/>
            <w:tcMar>
              <w:top w:w="60" w:type="dxa"/>
              <w:start w:w="60" w:type="dxa"/>
              <w:bottom w:w="60" w:type="dxa"/>
              <w:end w:w="60" w:type="dxa"/>
            </w:tcMar>
            <w:vAlign w:val="top"/>
          </w:tcPr>
          <w:p>
            <w:r/>
            <w:r>
              <w:rPr>
                <w:rFonts w:ascii="Aptos" w:hAnsi="Aptos"/>
                <w:sz w:val="12"/>
              </w:rPr>
              <w:t>Prospectus/factsheet</w:t>
            </w:r>
          </w:p>
        </w:tc>
        <w:tc>
          <w:tcPr>
            <w:tcW w:type="dxa" w:w="2324"/>
            <w:tcMar>
              <w:top w:w="60" w:type="dxa"/>
              <w:start w:w="60" w:type="dxa"/>
              <w:bottom w:w="60" w:type="dxa"/>
              <w:end w:w="60" w:type="dxa"/>
            </w:tcMar>
            <w:vAlign w:val="top"/>
          </w:tcPr>
          <w:p>
            <w:r/>
            <w:r>
              <w:rPr>
                <w:rFonts w:ascii="Aptos" w:hAnsi="Aptos"/>
                <w:sz w:val="12"/>
              </w:rPr>
              <w:t>Ne pas déduire d’un dividende isolé.</w:t>
            </w:r>
          </w:p>
        </w:tc>
      </w:tr>
      <w:tr>
        <w:tc>
          <w:tcPr>
            <w:tcW w:type="dxa" w:w="397"/>
            <w:tcMar>
              <w:top w:w="60" w:type="dxa"/>
              <w:start w:w="60" w:type="dxa"/>
              <w:bottom w:w="60" w:type="dxa"/>
              <w:end w:w="60" w:type="dxa"/>
            </w:tcMar>
            <w:vAlign w:val="top"/>
          </w:tcPr>
          <w:p>
            <w:r/>
            <w:r>
              <w:rPr>
                <w:rFonts w:ascii="Aptos" w:hAnsi="Aptos"/>
                <w:sz w:val="12"/>
              </w:rPr>
              <w:t>30</w:t>
            </w:r>
          </w:p>
        </w:tc>
        <w:tc>
          <w:tcPr>
            <w:tcW w:type="dxa" w:w="1474"/>
            <w:tcMar>
              <w:top w:w="60" w:type="dxa"/>
              <w:start w:w="60" w:type="dxa"/>
              <w:bottom w:w="60" w:type="dxa"/>
              <w:end w:w="60" w:type="dxa"/>
            </w:tcMar>
            <w:vAlign w:val="top"/>
          </w:tcPr>
          <w:p>
            <w:r/>
            <w:r>
              <w:rPr>
                <w:rFonts w:ascii="Aptos" w:hAnsi="Aptos"/>
                <w:sz w:val="12"/>
              </w:rPr>
              <w:t>Frais</w:t>
            </w:r>
          </w:p>
        </w:tc>
        <w:tc>
          <w:tcPr>
            <w:tcW w:type="dxa" w:w="1757"/>
            <w:tcMar>
              <w:top w:w="60" w:type="dxa"/>
              <w:start w:w="60" w:type="dxa"/>
              <w:bottom w:w="60" w:type="dxa"/>
              <w:end w:w="60" w:type="dxa"/>
            </w:tcMar>
            <w:vAlign w:val="top"/>
          </w:tcPr>
          <w:p>
            <w:r/>
            <w:r>
              <w:rPr>
                <w:rFonts w:ascii="Aptos" w:hAnsi="Aptos"/>
                <w:sz w:val="12"/>
              </w:rPr>
              <w:t>Management fee</w:t>
            </w:r>
          </w:p>
        </w:tc>
        <w:tc>
          <w:tcPr>
            <w:tcW w:type="dxa" w:w="2551"/>
            <w:tcMar>
              <w:top w:w="60" w:type="dxa"/>
              <w:start w:w="60" w:type="dxa"/>
              <w:bottom w:w="60" w:type="dxa"/>
              <w:end w:w="60" w:type="dxa"/>
            </w:tcMar>
            <w:vAlign w:val="top"/>
          </w:tcPr>
          <w:p>
            <w:r/>
            <w:r>
              <w:rPr>
                <w:rFonts w:ascii="Aptos" w:hAnsi="Aptos"/>
                <w:sz w:val="12"/>
              </w:rPr>
              <w:t>Taux et base.</w:t>
            </w:r>
          </w:p>
        </w:tc>
        <w:tc>
          <w:tcPr>
            <w:tcW w:type="dxa" w:w="1757"/>
            <w:tcMar>
              <w:top w:w="60" w:type="dxa"/>
              <w:start w:w="60" w:type="dxa"/>
              <w:bottom w:w="60" w:type="dxa"/>
              <w:end w:w="60" w:type="dxa"/>
            </w:tcMar>
            <w:vAlign w:val="top"/>
          </w:tcPr>
          <w:p>
            <w:r/>
            <w:r>
              <w:rPr>
                <w:rFonts w:ascii="Aptos" w:hAnsi="Aptos"/>
                <w:sz w:val="12"/>
              </w:rPr>
              <w:t>Prospectus</w:t>
            </w:r>
          </w:p>
        </w:tc>
        <w:tc>
          <w:tcPr>
            <w:tcW w:type="dxa" w:w="2324"/>
            <w:tcMar>
              <w:top w:w="60" w:type="dxa"/>
              <w:start w:w="60" w:type="dxa"/>
              <w:bottom w:w="60" w:type="dxa"/>
              <w:end w:w="60" w:type="dxa"/>
            </w:tcMar>
            <w:vAlign w:val="top"/>
          </w:tcPr>
          <w:p>
            <w:r/>
            <w:r>
              <w:rPr>
                <w:rFonts w:ascii="Aptos" w:hAnsi="Aptos"/>
                <w:sz w:val="12"/>
              </w:rPr>
              <w:t>Date d’effet.</w:t>
            </w:r>
          </w:p>
        </w:tc>
      </w:tr>
      <w:tr>
        <w:tc>
          <w:tcPr>
            <w:tcW w:type="dxa" w:w="397"/>
            <w:tcMar>
              <w:top w:w="60" w:type="dxa"/>
              <w:start w:w="60" w:type="dxa"/>
              <w:bottom w:w="60" w:type="dxa"/>
              <w:end w:w="60" w:type="dxa"/>
            </w:tcMar>
            <w:vAlign w:val="top"/>
          </w:tcPr>
          <w:p>
            <w:r/>
            <w:r>
              <w:rPr>
                <w:rFonts w:ascii="Aptos" w:hAnsi="Aptos"/>
                <w:sz w:val="12"/>
              </w:rPr>
              <w:t>31</w:t>
            </w:r>
          </w:p>
        </w:tc>
        <w:tc>
          <w:tcPr>
            <w:tcW w:type="dxa" w:w="1474"/>
            <w:tcMar>
              <w:top w:w="60" w:type="dxa"/>
              <w:start w:w="60" w:type="dxa"/>
              <w:bottom w:w="60" w:type="dxa"/>
              <w:end w:w="60" w:type="dxa"/>
            </w:tcMar>
            <w:vAlign w:val="top"/>
          </w:tcPr>
          <w:p>
            <w:r/>
            <w:r>
              <w:rPr>
                <w:rFonts w:ascii="Aptos" w:hAnsi="Aptos"/>
                <w:sz w:val="12"/>
              </w:rPr>
              <w:t>Frais</w:t>
            </w:r>
          </w:p>
        </w:tc>
        <w:tc>
          <w:tcPr>
            <w:tcW w:type="dxa" w:w="1757"/>
            <w:tcMar>
              <w:top w:w="60" w:type="dxa"/>
              <w:start w:w="60" w:type="dxa"/>
              <w:bottom w:w="60" w:type="dxa"/>
              <w:end w:w="60" w:type="dxa"/>
            </w:tcMar>
            <w:vAlign w:val="top"/>
          </w:tcPr>
          <w:p>
            <w:r/>
            <w:r>
              <w:rPr>
                <w:rFonts w:ascii="Aptos" w:hAnsi="Aptos"/>
                <w:sz w:val="12"/>
              </w:rPr>
              <w:t>Total expense ratio</w:t>
            </w:r>
          </w:p>
        </w:tc>
        <w:tc>
          <w:tcPr>
            <w:tcW w:type="dxa" w:w="2551"/>
            <w:tcMar>
              <w:top w:w="60" w:type="dxa"/>
              <w:start w:w="60" w:type="dxa"/>
              <w:bottom w:w="60" w:type="dxa"/>
              <w:end w:w="60" w:type="dxa"/>
            </w:tcMar>
            <w:vAlign w:val="top"/>
          </w:tcPr>
          <w:p>
            <w:r/>
            <w:r>
              <w:rPr>
                <w:rFonts w:ascii="Aptos" w:hAnsi="Aptos"/>
                <w:sz w:val="12"/>
              </w:rPr>
              <w:t>Publié ou calculé.</w:t>
            </w:r>
          </w:p>
        </w:tc>
        <w:tc>
          <w:tcPr>
            <w:tcW w:type="dxa" w:w="1757"/>
            <w:tcMar>
              <w:top w:w="60" w:type="dxa"/>
              <w:start w:w="60" w:type="dxa"/>
              <w:bottom w:w="60" w:type="dxa"/>
              <w:end w:w="60" w:type="dxa"/>
            </w:tcMar>
            <w:vAlign w:val="top"/>
          </w:tcPr>
          <w:p>
            <w:r/>
            <w:r>
              <w:rPr>
                <w:rFonts w:ascii="Aptos" w:hAnsi="Aptos"/>
                <w:sz w:val="12"/>
              </w:rPr>
              <w:t>Rapport/SEC</w:t>
            </w:r>
          </w:p>
        </w:tc>
        <w:tc>
          <w:tcPr>
            <w:tcW w:type="dxa" w:w="2324"/>
            <w:tcMar>
              <w:top w:w="60" w:type="dxa"/>
              <w:start w:w="60" w:type="dxa"/>
              <w:bottom w:w="60" w:type="dxa"/>
              <w:end w:w="60" w:type="dxa"/>
            </w:tcMar>
            <w:vAlign w:val="top"/>
          </w:tcPr>
          <w:p>
            <w:r/>
            <w:r>
              <w:rPr>
                <w:rFonts w:ascii="Aptos" w:hAnsi="Aptos"/>
                <w:sz w:val="12"/>
              </w:rPr>
              <w:t>Distinguer publié/calculé.</w:t>
            </w:r>
          </w:p>
        </w:tc>
      </w:tr>
      <w:tr>
        <w:tc>
          <w:tcPr>
            <w:tcW w:type="dxa" w:w="397"/>
            <w:tcMar>
              <w:top w:w="60" w:type="dxa"/>
              <w:start w:w="60" w:type="dxa"/>
              <w:bottom w:w="60" w:type="dxa"/>
              <w:end w:w="60" w:type="dxa"/>
            </w:tcMar>
            <w:vAlign w:val="top"/>
          </w:tcPr>
          <w:p>
            <w:r/>
            <w:r>
              <w:rPr>
                <w:rFonts w:ascii="Aptos" w:hAnsi="Aptos"/>
                <w:sz w:val="12"/>
              </w:rPr>
              <w:t>32</w:t>
            </w:r>
          </w:p>
        </w:tc>
        <w:tc>
          <w:tcPr>
            <w:tcW w:type="dxa" w:w="1474"/>
            <w:tcMar>
              <w:top w:w="60" w:type="dxa"/>
              <w:start w:w="60" w:type="dxa"/>
              <w:bottom w:w="60" w:type="dxa"/>
              <w:end w:w="60" w:type="dxa"/>
            </w:tcMar>
            <w:vAlign w:val="top"/>
          </w:tcPr>
          <w:p>
            <w:r/>
            <w:r>
              <w:rPr>
                <w:rFonts w:ascii="Aptos" w:hAnsi="Aptos"/>
                <w:sz w:val="12"/>
              </w:rPr>
              <w:t>Politique</w:t>
            </w:r>
          </w:p>
        </w:tc>
        <w:tc>
          <w:tcPr>
            <w:tcW w:type="dxa" w:w="1757"/>
            <w:tcMar>
              <w:top w:w="60" w:type="dxa"/>
              <w:start w:w="60" w:type="dxa"/>
              <w:bottom w:w="60" w:type="dxa"/>
              <w:end w:w="60" w:type="dxa"/>
            </w:tcMar>
            <w:vAlign w:val="top"/>
          </w:tcPr>
          <w:p>
            <w:r/>
            <w:r>
              <w:rPr>
                <w:rFonts w:ascii="Aptos" w:hAnsi="Aptos"/>
                <w:sz w:val="12"/>
              </w:rPr>
              <w:t>Objectif d’investissement</w:t>
            </w:r>
          </w:p>
        </w:tc>
        <w:tc>
          <w:tcPr>
            <w:tcW w:type="dxa" w:w="2551"/>
            <w:tcMar>
              <w:top w:w="60" w:type="dxa"/>
              <w:start w:w="60" w:type="dxa"/>
              <w:bottom w:w="60" w:type="dxa"/>
              <w:end w:w="60" w:type="dxa"/>
            </w:tcMar>
            <w:vAlign w:val="top"/>
          </w:tcPr>
          <w:p>
            <w:r/>
            <w:r>
              <w:rPr>
                <w:rFonts w:ascii="Aptos" w:hAnsi="Aptos"/>
                <w:sz w:val="12"/>
              </w:rPr>
              <w:t>Texte synthétique.</w:t>
            </w:r>
          </w:p>
        </w:tc>
        <w:tc>
          <w:tcPr>
            <w:tcW w:type="dxa" w:w="1757"/>
            <w:tcMar>
              <w:top w:w="60" w:type="dxa"/>
              <w:start w:w="60" w:type="dxa"/>
              <w:bottom w:w="60" w:type="dxa"/>
              <w:end w:w="60" w:type="dxa"/>
            </w:tcMar>
            <w:vAlign w:val="top"/>
          </w:tcPr>
          <w:p>
            <w:r/>
            <w:r>
              <w:rPr>
                <w:rFonts w:ascii="Aptos" w:hAnsi="Aptos"/>
                <w:sz w:val="12"/>
              </w:rPr>
              <w:t>Prospectus</w:t>
            </w:r>
          </w:p>
        </w:tc>
        <w:tc>
          <w:tcPr>
            <w:tcW w:type="dxa" w:w="2324"/>
            <w:tcMar>
              <w:top w:w="60" w:type="dxa"/>
              <w:start w:w="60" w:type="dxa"/>
              <w:bottom w:w="60" w:type="dxa"/>
              <w:end w:w="60" w:type="dxa"/>
            </w:tcMar>
            <w:vAlign w:val="top"/>
          </w:tcPr>
          <w:p>
            <w:r/>
            <w:r>
              <w:rPr>
                <w:rFonts w:ascii="Aptos" w:hAnsi="Aptos"/>
                <w:sz w:val="12"/>
              </w:rPr>
              <w:t>Versionner.</w:t>
            </w:r>
          </w:p>
        </w:tc>
      </w:tr>
      <w:tr>
        <w:tc>
          <w:tcPr>
            <w:tcW w:type="dxa" w:w="397"/>
            <w:tcMar>
              <w:top w:w="60" w:type="dxa"/>
              <w:start w:w="60" w:type="dxa"/>
              <w:bottom w:w="60" w:type="dxa"/>
              <w:end w:w="60" w:type="dxa"/>
            </w:tcMar>
            <w:vAlign w:val="top"/>
          </w:tcPr>
          <w:p>
            <w:r/>
            <w:r>
              <w:rPr>
                <w:rFonts w:ascii="Aptos" w:hAnsi="Aptos"/>
                <w:sz w:val="12"/>
              </w:rPr>
              <w:t>33</w:t>
            </w:r>
          </w:p>
        </w:tc>
        <w:tc>
          <w:tcPr>
            <w:tcW w:type="dxa" w:w="1474"/>
            <w:tcMar>
              <w:top w:w="60" w:type="dxa"/>
              <w:start w:w="60" w:type="dxa"/>
              <w:bottom w:w="60" w:type="dxa"/>
              <w:end w:w="60" w:type="dxa"/>
            </w:tcMar>
            <w:vAlign w:val="top"/>
          </w:tcPr>
          <w:p>
            <w:r/>
            <w:r>
              <w:rPr>
                <w:rFonts w:ascii="Aptos" w:hAnsi="Aptos"/>
                <w:sz w:val="12"/>
              </w:rPr>
              <w:t>Politique</w:t>
            </w:r>
          </w:p>
        </w:tc>
        <w:tc>
          <w:tcPr>
            <w:tcW w:type="dxa" w:w="1757"/>
            <w:tcMar>
              <w:top w:w="60" w:type="dxa"/>
              <w:start w:w="60" w:type="dxa"/>
              <w:bottom w:w="60" w:type="dxa"/>
              <w:end w:w="60" w:type="dxa"/>
            </w:tcMar>
            <w:vAlign w:val="top"/>
          </w:tcPr>
          <w:p>
            <w:r/>
            <w:r>
              <w:rPr>
                <w:rFonts w:ascii="Aptos" w:hAnsi="Aptos"/>
                <w:sz w:val="12"/>
              </w:rPr>
              <w:t>Stratégie d’investissement</w:t>
            </w:r>
          </w:p>
        </w:tc>
        <w:tc>
          <w:tcPr>
            <w:tcW w:type="dxa" w:w="2551"/>
            <w:tcMar>
              <w:top w:w="60" w:type="dxa"/>
              <w:start w:w="60" w:type="dxa"/>
              <w:bottom w:w="60" w:type="dxa"/>
              <w:end w:w="60" w:type="dxa"/>
            </w:tcMar>
            <w:vAlign w:val="top"/>
          </w:tcPr>
          <w:p>
            <w:r/>
            <w:r>
              <w:rPr>
                <w:rFonts w:ascii="Aptos" w:hAnsi="Aptos"/>
                <w:sz w:val="12"/>
              </w:rPr>
              <w:t>Approche et instruments.</w:t>
            </w:r>
          </w:p>
        </w:tc>
        <w:tc>
          <w:tcPr>
            <w:tcW w:type="dxa" w:w="1757"/>
            <w:tcMar>
              <w:top w:w="60" w:type="dxa"/>
              <w:start w:w="60" w:type="dxa"/>
              <w:bottom w:w="60" w:type="dxa"/>
              <w:end w:w="60" w:type="dxa"/>
            </w:tcMar>
            <w:vAlign w:val="top"/>
          </w:tcPr>
          <w:p>
            <w:r/>
            <w:r>
              <w:rPr>
                <w:rFonts w:ascii="Aptos" w:hAnsi="Aptos"/>
                <w:sz w:val="12"/>
              </w:rPr>
              <w:t>Prospectus</w:t>
            </w:r>
          </w:p>
        </w:tc>
        <w:tc>
          <w:tcPr>
            <w:tcW w:type="dxa" w:w="2324"/>
            <w:tcMar>
              <w:top w:w="60" w:type="dxa"/>
              <w:start w:w="60" w:type="dxa"/>
              <w:bottom w:w="60" w:type="dxa"/>
              <w:end w:w="60" w:type="dxa"/>
            </w:tcMar>
            <w:vAlign w:val="top"/>
          </w:tcPr>
          <w:p>
            <w:r/>
            <w:r>
              <w:rPr>
                <w:rFonts w:ascii="Aptos" w:hAnsi="Aptos"/>
                <w:sz w:val="12"/>
              </w:rPr>
              <w:t>Versionner.</w:t>
            </w:r>
          </w:p>
        </w:tc>
      </w:tr>
      <w:tr>
        <w:tc>
          <w:tcPr>
            <w:tcW w:type="dxa" w:w="397"/>
            <w:tcMar>
              <w:top w:w="60" w:type="dxa"/>
              <w:start w:w="60" w:type="dxa"/>
              <w:bottom w:w="60" w:type="dxa"/>
              <w:end w:w="60" w:type="dxa"/>
            </w:tcMar>
            <w:vAlign w:val="top"/>
          </w:tcPr>
          <w:p>
            <w:r/>
            <w:r>
              <w:rPr>
                <w:rFonts w:ascii="Aptos" w:hAnsi="Aptos"/>
                <w:sz w:val="12"/>
              </w:rPr>
              <w:t>34</w:t>
            </w:r>
          </w:p>
        </w:tc>
        <w:tc>
          <w:tcPr>
            <w:tcW w:type="dxa" w:w="1474"/>
            <w:tcMar>
              <w:top w:w="60" w:type="dxa"/>
              <w:start w:w="60" w:type="dxa"/>
              <w:bottom w:w="60" w:type="dxa"/>
              <w:end w:w="60" w:type="dxa"/>
            </w:tcMar>
            <w:vAlign w:val="top"/>
          </w:tcPr>
          <w:p>
            <w:r/>
            <w:r>
              <w:rPr>
                <w:rFonts w:ascii="Aptos" w:hAnsi="Aptos"/>
                <w:sz w:val="12"/>
              </w:rPr>
              <w:t>Politique</w:t>
            </w:r>
          </w:p>
        </w:tc>
        <w:tc>
          <w:tcPr>
            <w:tcW w:type="dxa" w:w="1757"/>
            <w:tcMar>
              <w:top w:w="60" w:type="dxa"/>
              <w:start w:w="60" w:type="dxa"/>
              <w:bottom w:w="60" w:type="dxa"/>
              <w:end w:w="60" w:type="dxa"/>
            </w:tcMar>
            <w:vAlign w:val="top"/>
          </w:tcPr>
          <w:p>
            <w:r/>
            <w:r>
              <w:rPr>
                <w:rFonts w:ascii="Aptos" w:hAnsi="Aptos"/>
                <w:sz w:val="12"/>
              </w:rPr>
              <w:t>Univers d’investissement</w:t>
            </w:r>
          </w:p>
        </w:tc>
        <w:tc>
          <w:tcPr>
            <w:tcW w:type="dxa" w:w="2551"/>
            <w:tcMar>
              <w:top w:w="60" w:type="dxa"/>
              <w:start w:w="60" w:type="dxa"/>
              <w:bottom w:w="60" w:type="dxa"/>
              <w:end w:w="60" w:type="dxa"/>
            </w:tcMar>
            <w:vAlign w:val="top"/>
          </w:tcPr>
          <w:p>
            <w:r/>
            <w:r>
              <w:rPr>
                <w:rFonts w:ascii="Aptos" w:hAnsi="Aptos"/>
                <w:sz w:val="12"/>
              </w:rPr>
              <w:t>Actifs éligibles.</w:t>
            </w:r>
          </w:p>
        </w:tc>
        <w:tc>
          <w:tcPr>
            <w:tcW w:type="dxa" w:w="1757"/>
            <w:tcMar>
              <w:top w:w="60" w:type="dxa"/>
              <w:start w:w="60" w:type="dxa"/>
              <w:bottom w:w="60" w:type="dxa"/>
              <w:end w:w="60" w:type="dxa"/>
            </w:tcMar>
            <w:vAlign w:val="top"/>
          </w:tcPr>
          <w:p>
            <w:r/>
            <w:r>
              <w:rPr>
                <w:rFonts w:ascii="Aptos" w:hAnsi="Aptos"/>
                <w:sz w:val="12"/>
              </w:rPr>
              <w:t>Prospectus</w:t>
            </w:r>
          </w:p>
        </w:tc>
        <w:tc>
          <w:tcPr>
            <w:tcW w:type="dxa" w:w="2324"/>
            <w:tcMar>
              <w:top w:w="60" w:type="dxa"/>
              <w:start w:w="60" w:type="dxa"/>
              <w:bottom w:w="60" w:type="dxa"/>
              <w:end w:w="60" w:type="dxa"/>
            </w:tcMar>
            <w:vAlign w:val="top"/>
          </w:tcPr>
          <w:p>
            <w:r/>
            <w:r>
              <w:rPr>
                <w:rFonts w:ascii="Aptos" w:hAnsi="Aptos"/>
                <w:sz w:val="12"/>
              </w:rPr>
              <w:t>Ne pas extrapoler.</w:t>
            </w:r>
          </w:p>
        </w:tc>
      </w:tr>
      <w:tr>
        <w:tc>
          <w:tcPr>
            <w:tcW w:type="dxa" w:w="397"/>
            <w:tcMar>
              <w:top w:w="60" w:type="dxa"/>
              <w:start w:w="60" w:type="dxa"/>
              <w:bottom w:w="60" w:type="dxa"/>
              <w:end w:w="60" w:type="dxa"/>
            </w:tcMar>
            <w:vAlign w:val="top"/>
          </w:tcPr>
          <w:p>
            <w:r/>
            <w:r>
              <w:rPr>
                <w:rFonts w:ascii="Aptos" w:hAnsi="Aptos"/>
                <w:sz w:val="12"/>
              </w:rPr>
              <w:t>35</w:t>
            </w:r>
          </w:p>
        </w:tc>
        <w:tc>
          <w:tcPr>
            <w:tcW w:type="dxa" w:w="1474"/>
            <w:tcMar>
              <w:top w:w="60" w:type="dxa"/>
              <w:start w:w="60" w:type="dxa"/>
              <w:bottom w:w="60" w:type="dxa"/>
              <w:end w:w="60" w:type="dxa"/>
            </w:tcMar>
            <w:vAlign w:val="top"/>
          </w:tcPr>
          <w:p>
            <w:r/>
            <w:r>
              <w:rPr>
                <w:rFonts w:ascii="Aptos" w:hAnsi="Aptos"/>
                <w:sz w:val="12"/>
              </w:rPr>
              <w:t>Politique</w:t>
            </w:r>
          </w:p>
        </w:tc>
        <w:tc>
          <w:tcPr>
            <w:tcW w:type="dxa" w:w="1757"/>
            <w:tcMar>
              <w:top w:w="60" w:type="dxa"/>
              <w:start w:w="60" w:type="dxa"/>
              <w:bottom w:w="60" w:type="dxa"/>
              <w:end w:w="60" w:type="dxa"/>
            </w:tcMar>
            <w:vAlign w:val="top"/>
          </w:tcPr>
          <w:p>
            <w:r/>
            <w:r>
              <w:rPr>
                <w:rFonts w:ascii="Aptos" w:hAnsi="Aptos"/>
                <w:sz w:val="12"/>
              </w:rPr>
              <w:t>Allocation stratégique</w:t>
            </w:r>
          </w:p>
        </w:tc>
        <w:tc>
          <w:tcPr>
            <w:tcW w:type="dxa" w:w="2551"/>
            <w:tcMar>
              <w:top w:w="60" w:type="dxa"/>
              <w:start w:w="60" w:type="dxa"/>
              <w:bottom w:w="60" w:type="dxa"/>
              <w:end w:w="60" w:type="dxa"/>
            </w:tcMar>
            <w:vAlign w:val="top"/>
          </w:tcPr>
          <w:p>
            <w:r/>
            <w:r>
              <w:rPr>
                <w:rFonts w:ascii="Aptos" w:hAnsi="Aptos"/>
                <w:sz w:val="12"/>
              </w:rPr>
              <w:t>Bornes ou cibles.</w:t>
            </w:r>
          </w:p>
        </w:tc>
        <w:tc>
          <w:tcPr>
            <w:tcW w:type="dxa" w:w="1757"/>
            <w:tcMar>
              <w:top w:w="60" w:type="dxa"/>
              <w:start w:w="60" w:type="dxa"/>
              <w:bottom w:w="60" w:type="dxa"/>
              <w:end w:w="60" w:type="dxa"/>
            </w:tcMar>
            <w:vAlign w:val="top"/>
          </w:tcPr>
          <w:p>
            <w:r/>
            <w:r>
              <w:rPr>
                <w:rFonts w:ascii="Aptos" w:hAnsi="Aptos"/>
                <w:sz w:val="12"/>
              </w:rPr>
              <w:t>Prospectus/factsheet</w:t>
            </w:r>
          </w:p>
        </w:tc>
        <w:tc>
          <w:tcPr>
            <w:tcW w:type="dxa" w:w="2324"/>
            <w:tcMar>
              <w:top w:w="60" w:type="dxa"/>
              <w:start w:w="60" w:type="dxa"/>
              <w:bottom w:w="60" w:type="dxa"/>
              <w:end w:w="60" w:type="dxa"/>
            </w:tcMar>
            <w:vAlign w:val="top"/>
          </w:tcPr>
          <w:p>
            <w:r/>
            <w:r>
              <w:rPr>
                <w:rFonts w:ascii="Aptos" w:hAnsi="Aptos"/>
                <w:sz w:val="12"/>
              </w:rPr>
              <w:t>Conserver plages.</w:t>
            </w:r>
          </w:p>
        </w:tc>
      </w:tr>
      <w:tr>
        <w:tc>
          <w:tcPr>
            <w:tcW w:type="dxa" w:w="397"/>
            <w:tcMar>
              <w:top w:w="60" w:type="dxa"/>
              <w:start w:w="60" w:type="dxa"/>
              <w:bottom w:w="60" w:type="dxa"/>
              <w:end w:w="60" w:type="dxa"/>
            </w:tcMar>
            <w:vAlign w:val="top"/>
          </w:tcPr>
          <w:p>
            <w:r/>
            <w:r>
              <w:rPr>
                <w:rFonts w:ascii="Aptos" w:hAnsi="Aptos"/>
                <w:sz w:val="12"/>
              </w:rPr>
              <w:t>36</w:t>
            </w:r>
          </w:p>
        </w:tc>
        <w:tc>
          <w:tcPr>
            <w:tcW w:type="dxa" w:w="1474"/>
            <w:tcMar>
              <w:top w:w="60" w:type="dxa"/>
              <w:start w:w="60" w:type="dxa"/>
              <w:bottom w:w="60" w:type="dxa"/>
              <w:end w:w="60" w:type="dxa"/>
            </w:tcMar>
            <w:vAlign w:val="top"/>
          </w:tcPr>
          <w:p>
            <w:r/>
            <w:r>
              <w:rPr>
                <w:rFonts w:ascii="Aptos" w:hAnsi="Aptos"/>
                <w:sz w:val="12"/>
              </w:rPr>
              <w:t>Benchmark</w:t>
            </w:r>
          </w:p>
        </w:tc>
        <w:tc>
          <w:tcPr>
            <w:tcW w:type="dxa" w:w="1757"/>
            <w:tcMar>
              <w:top w:w="60" w:type="dxa"/>
              <w:start w:w="60" w:type="dxa"/>
              <w:bottom w:w="60" w:type="dxa"/>
              <w:end w:w="60" w:type="dxa"/>
            </w:tcMar>
            <w:vAlign w:val="top"/>
          </w:tcPr>
          <w:p>
            <w:r/>
            <w:r>
              <w:rPr>
                <w:rFonts w:ascii="Aptos" w:hAnsi="Aptos"/>
                <w:sz w:val="12"/>
              </w:rPr>
              <w:t>Benchmark principal</w:t>
            </w:r>
          </w:p>
        </w:tc>
        <w:tc>
          <w:tcPr>
            <w:tcW w:type="dxa" w:w="2551"/>
            <w:tcMar>
              <w:top w:w="60" w:type="dxa"/>
              <w:start w:w="60" w:type="dxa"/>
              <w:bottom w:w="60" w:type="dxa"/>
              <w:end w:w="60" w:type="dxa"/>
            </w:tcMar>
            <w:vAlign w:val="top"/>
          </w:tcPr>
          <w:p>
            <w:r/>
            <w:r>
              <w:rPr>
                <w:rFonts w:ascii="Aptos" w:hAnsi="Aptos"/>
                <w:sz w:val="12"/>
              </w:rPr>
              <w:t>Nom et fournisseur.</w:t>
            </w:r>
          </w:p>
        </w:tc>
        <w:tc>
          <w:tcPr>
            <w:tcW w:type="dxa" w:w="1757"/>
            <w:tcMar>
              <w:top w:w="60" w:type="dxa"/>
              <w:start w:w="60" w:type="dxa"/>
              <w:bottom w:w="60" w:type="dxa"/>
              <w:end w:w="60" w:type="dxa"/>
            </w:tcMar>
            <w:vAlign w:val="top"/>
          </w:tcPr>
          <w:p>
            <w:r/>
            <w:r>
              <w:rPr>
                <w:rFonts w:ascii="Aptos" w:hAnsi="Aptos"/>
                <w:sz w:val="12"/>
              </w:rPr>
              <w:t>Prospectus/factsheet</w:t>
            </w:r>
          </w:p>
        </w:tc>
        <w:tc>
          <w:tcPr>
            <w:tcW w:type="dxa" w:w="2324"/>
            <w:tcMar>
              <w:top w:w="60" w:type="dxa"/>
              <w:start w:w="60" w:type="dxa"/>
              <w:bottom w:w="60" w:type="dxa"/>
              <w:end w:w="60" w:type="dxa"/>
            </w:tcMar>
            <w:vAlign w:val="top"/>
          </w:tcPr>
          <w:p>
            <w:r/>
            <w:r>
              <w:rPr>
                <w:rFonts w:ascii="Aptos" w:hAnsi="Aptos"/>
                <w:sz w:val="12"/>
              </w:rPr>
              <w:t>Période de validité.</w:t>
            </w:r>
          </w:p>
        </w:tc>
      </w:tr>
      <w:tr>
        <w:tc>
          <w:tcPr>
            <w:tcW w:type="dxa" w:w="397"/>
            <w:tcMar>
              <w:top w:w="60" w:type="dxa"/>
              <w:start w:w="60" w:type="dxa"/>
              <w:bottom w:w="60" w:type="dxa"/>
              <w:end w:w="60" w:type="dxa"/>
            </w:tcMar>
            <w:vAlign w:val="top"/>
          </w:tcPr>
          <w:p>
            <w:r/>
            <w:r>
              <w:rPr>
                <w:rFonts w:ascii="Aptos" w:hAnsi="Aptos"/>
                <w:sz w:val="12"/>
              </w:rPr>
              <w:t>37</w:t>
            </w:r>
          </w:p>
        </w:tc>
        <w:tc>
          <w:tcPr>
            <w:tcW w:type="dxa" w:w="1474"/>
            <w:tcMar>
              <w:top w:w="60" w:type="dxa"/>
              <w:start w:w="60" w:type="dxa"/>
              <w:bottom w:w="60" w:type="dxa"/>
              <w:end w:w="60" w:type="dxa"/>
            </w:tcMar>
            <w:vAlign w:val="top"/>
          </w:tcPr>
          <w:p>
            <w:r/>
            <w:r>
              <w:rPr>
                <w:rFonts w:ascii="Aptos" w:hAnsi="Aptos"/>
                <w:sz w:val="12"/>
              </w:rPr>
              <w:t>Risque</w:t>
            </w:r>
          </w:p>
        </w:tc>
        <w:tc>
          <w:tcPr>
            <w:tcW w:type="dxa" w:w="1757"/>
            <w:tcMar>
              <w:top w:w="60" w:type="dxa"/>
              <w:start w:w="60" w:type="dxa"/>
              <w:bottom w:w="60" w:type="dxa"/>
              <w:end w:w="60" w:type="dxa"/>
            </w:tcMar>
            <w:vAlign w:val="top"/>
          </w:tcPr>
          <w:p>
            <w:r/>
            <w:r>
              <w:rPr>
                <w:rFonts w:ascii="Aptos" w:hAnsi="Aptos"/>
                <w:sz w:val="12"/>
              </w:rPr>
              <w:t>Profil de risque</w:t>
            </w:r>
          </w:p>
        </w:tc>
        <w:tc>
          <w:tcPr>
            <w:tcW w:type="dxa" w:w="2551"/>
            <w:tcMar>
              <w:top w:w="60" w:type="dxa"/>
              <w:start w:w="60" w:type="dxa"/>
              <w:bottom w:w="60" w:type="dxa"/>
              <w:end w:w="60" w:type="dxa"/>
            </w:tcMar>
            <w:vAlign w:val="top"/>
          </w:tcPr>
          <w:p>
            <w:r/>
            <w:r>
              <w:rPr>
                <w:rFonts w:ascii="Aptos" w:hAnsi="Aptos"/>
                <w:sz w:val="12"/>
              </w:rPr>
              <w:t>Indicateur ou texte.</w:t>
            </w:r>
          </w:p>
        </w:tc>
        <w:tc>
          <w:tcPr>
            <w:tcW w:type="dxa" w:w="1757"/>
            <w:tcMar>
              <w:top w:w="60" w:type="dxa"/>
              <w:start w:w="60" w:type="dxa"/>
              <w:bottom w:w="60" w:type="dxa"/>
              <w:end w:w="60" w:type="dxa"/>
            </w:tcMar>
            <w:vAlign w:val="top"/>
          </w:tcPr>
          <w:p>
            <w:r/>
            <w:r>
              <w:rPr>
                <w:rFonts w:ascii="Aptos" w:hAnsi="Aptos"/>
                <w:sz w:val="12"/>
              </w:rPr>
              <w:t>KID/factsheet</w:t>
            </w:r>
          </w:p>
        </w:tc>
        <w:tc>
          <w:tcPr>
            <w:tcW w:type="dxa" w:w="2324"/>
            <w:tcMar>
              <w:top w:w="60" w:type="dxa"/>
              <w:start w:w="60" w:type="dxa"/>
              <w:bottom w:w="60" w:type="dxa"/>
              <w:end w:w="60" w:type="dxa"/>
            </w:tcMar>
            <w:vAlign w:val="top"/>
          </w:tcPr>
          <w:p>
            <w:r/>
            <w:r>
              <w:rPr>
                <w:rFonts w:ascii="Aptos" w:hAnsi="Aptos"/>
                <w:sz w:val="12"/>
              </w:rPr>
              <w:t>Conserver méthodologie.</w:t>
            </w:r>
          </w:p>
        </w:tc>
      </w:tr>
      <w:tr>
        <w:tc>
          <w:tcPr>
            <w:tcW w:type="dxa" w:w="397"/>
            <w:tcMar>
              <w:top w:w="60" w:type="dxa"/>
              <w:start w:w="60" w:type="dxa"/>
              <w:bottom w:w="60" w:type="dxa"/>
              <w:end w:w="60" w:type="dxa"/>
            </w:tcMar>
            <w:vAlign w:val="top"/>
          </w:tcPr>
          <w:p>
            <w:r/>
            <w:r>
              <w:rPr>
                <w:rFonts w:ascii="Aptos" w:hAnsi="Aptos"/>
                <w:sz w:val="12"/>
              </w:rPr>
              <w:t>38</w:t>
            </w:r>
          </w:p>
        </w:tc>
        <w:tc>
          <w:tcPr>
            <w:tcW w:type="dxa" w:w="1474"/>
            <w:tcMar>
              <w:top w:w="60" w:type="dxa"/>
              <w:start w:w="60" w:type="dxa"/>
              <w:bottom w:w="60" w:type="dxa"/>
              <w:end w:w="60" w:type="dxa"/>
            </w:tcMar>
            <w:vAlign w:val="top"/>
          </w:tcPr>
          <w:p>
            <w:r/>
            <w:r>
              <w:rPr>
                <w:rFonts w:ascii="Aptos" w:hAnsi="Aptos"/>
                <w:sz w:val="12"/>
              </w:rPr>
              <w:t>Conformité</w:t>
            </w:r>
          </w:p>
        </w:tc>
        <w:tc>
          <w:tcPr>
            <w:tcW w:type="dxa" w:w="1757"/>
            <w:tcMar>
              <w:top w:w="60" w:type="dxa"/>
              <w:start w:w="60" w:type="dxa"/>
              <w:bottom w:w="60" w:type="dxa"/>
              <w:end w:w="60" w:type="dxa"/>
            </w:tcMar>
            <w:vAlign w:val="top"/>
          </w:tcPr>
          <w:p>
            <w:r/>
            <w:r>
              <w:rPr>
                <w:rFonts w:ascii="Aptos" w:hAnsi="Aptos"/>
                <w:sz w:val="12"/>
              </w:rPr>
              <w:t>Sharia / éthique</w:t>
            </w:r>
          </w:p>
        </w:tc>
        <w:tc>
          <w:tcPr>
            <w:tcW w:type="dxa" w:w="2551"/>
            <w:tcMar>
              <w:top w:w="60" w:type="dxa"/>
              <w:start w:w="60" w:type="dxa"/>
              <w:bottom w:w="60" w:type="dxa"/>
              <w:end w:w="60" w:type="dxa"/>
            </w:tcMar>
            <w:vAlign w:val="top"/>
          </w:tcPr>
          <w:p>
            <w:r/>
            <w:r>
              <w:rPr>
                <w:rFonts w:ascii="Aptos" w:hAnsi="Aptos"/>
                <w:sz w:val="12"/>
              </w:rPr>
              <w:t>Statut et conseil.</w:t>
            </w:r>
          </w:p>
        </w:tc>
        <w:tc>
          <w:tcPr>
            <w:tcW w:type="dxa" w:w="1757"/>
            <w:tcMar>
              <w:top w:w="60" w:type="dxa"/>
              <w:start w:w="60" w:type="dxa"/>
              <w:bottom w:w="60" w:type="dxa"/>
              <w:end w:w="60" w:type="dxa"/>
            </w:tcMar>
            <w:vAlign w:val="top"/>
          </w:tcPr>
          <w:p>
            <w:r/>
            <w:r>
              <w:rPr>
                <w:rFonts w:ascii="Aptos" w:hAnsi="Aptos"/>
                <w:sz w:val="12"/>
              </w:rPr>
              <w:t>Prospectus</w:t>
            </w:r>
          </w:p>
        </w:tc>
        <w:tc>
          <w:tcPr>
            <w:tcW w:type="dxa" w:w="2324"/>
            <w:tcMar>
              <w:top w:w="60" w:type="dxa"/>
              <w:start w:w="60" w:type="dxa"/>
              <w:bottom w:w="60" w:type="dxa"/>
              <w:end w:w="60" w:type="dxa"/>
            </w:tcMar>
            <w:vAlign w:val="top"/>
          </w:tcPr>
          <w:p>
            <w:r/>
            <w:r>
              <w:rPr>
                <w:rFonts w:ascii="Aptos" w:hAnsi="Aptos"/>
                <w:sz w:val="12"/>
              </w:rPr>
              <w:t>Distinguer label et stratégie.</w:t>
            </w:r>
          </w:p>
        </w:tc>
      </w:tr>
      <w:tr>
        <w:tc>
          <w:tcPr>
            <w:tcW w:type="dxa" w:w="397"/>
            <w:tcMar>
              <w:top w:w="60" w:type="dxa"/>
              <w:start w:w="60" w:type="dxa"/>
              <w:bottom w:w="60" w:type="dxa"/>
              <w:end w:w="60" w:type="dxa"/>
            </w:tcMar>
            <w:vAlign w:val="top"/>
          </w:tcPr>
          <w:p>
            <w:r/>
            <w:r>
              <w:rPr>
                <w:rFonts w:ascii="Aptos" w:hAnsi="Aptos"/>
                <w:sz w:val="12"/>
              </w:rPr>
              <w:t>39</w:t>
            </w:r>
          </w:p>
        </w:tc>
        <w:tc>
          <w:tcPr>
            <w:tcW w:type="dxa" w:w="1474"/>
            <w:tcMar>
              <w:top w:w="60" w:type="dxa"/>
              <w:start w:w="60" w:type="dxa"/>
              <w:bottom w:w="60" w:type="dxa"/>
              <w:end w:w="60" w:type="dxa"/>
            </w:tcMar>
            <w:vAlign w:val="top"/>
          </w:tcPr>
          <w:p>
            <w:r/>
            <w:r>
              <w:rPr>
                <w:rFonts w:ascii="Aptos" w:hAnsi="Aptos"/>
                <w:sz w:val="12"/>
              </w:rPr>
              <w:t>Conformité</w:t>
            </w:r>
          </w:p>
        </w:tc>
        <w:tc>
          <w:tcPr>
            <w:tcW w:type="dxa" w:w="1757"/>
            <w:tcMar>
              <w:top w:w="60" w:type="dxa"/>
              <w:start w:w="60" w:type="dxa"/>
              <w:bottom w:w="60" w:type="dxa"/>
              <w:end w:w="60" w:type="dxa"/>
            </w:tcMar>
            <w:vAlign w:val="top"/>
          </w:tcPr>
          <w:p>
            <w:r/>
            <w:r>
              <w:rPr>
                <w:rFonts w:ascii="Aptos" w:hAnsi="Aptos"/>
                <w:sz w:val="12"/>
              </w:rPr>
              <w:t>ESG / exclusions</w:t>
            </w:r>
          </w:p>
        </w:tc>
        <w:tc>
          <w:tcPr>
            <w:tcW w:type="dxa" w:w="2551"/>
            <w:tcMar>
              <w:top w:w="60" w:type="dxa"/>
              <w:start w:w="60" w:type="dxa"/>
              <w:bottom w:w="60" w:type="dxa"/>
              <w:end w:w="60" w:type="dxa"/>
            </w:tcMar>
            <w:vAlign w:val="top"/>
          </w:tcPr>
          <w:p>
            <w:r/>
            <w:r>
              <w:rPr>
                <w:rFonts w:ascii="Aptos" w:hAnsi="Aptos"/>
                <w:sz w:val="12"/>
              </w:rPr>
              <w:t>Politique.</w:t>
            </w:r>
          </w:p>
        </w:tc>
        <w:tc>
          <w:tcPr>
            <w:tcW w:type="dxa" w:w="1757"/>
            <w:tcMar>
              <w:top w:w="60" w:type="dxa"/>
              <w:start w:w="60" w:type="dxa"/>
              <w:bottom w:w="60" w:type="dxa"/>
              <w:end w:w="60" w:type="dxa"/>
            </w:tcMar>
            <w:vAlign w:val="top"/>
          </w:tcPr>
          <w:p>
            <w:r/>
            <w:r>
              <w:rPr>
                <w:rFonts w:ascii="Aptos" w:hAnsi="Aptos"/>
                <w:sz w:val="12"/>
              </w:rPr>
              <w:t>Prospectus</w:t>
            </w:r>
          </w:p>
        </w:tc>
        <w:tc>
          <w:tcPr>
            <w:tcW w:type="dxa" w:w="2324"/>
            <w:tcMar>
              <w:top w:w="60" w:type="dxa"/>
              <w:start w:w="60" w:type="dxa"/>
              <w:bottom w:w="60" w:type="dxa"/>
              <w:end w:w="60" w:type="dxa"/>
            </w:tcMar>
            <w:vAlign w:val="top"/>
          </w:tcPr>
          <w:p>
            <w:r/>
            <w:r>
              <w:rPr>
                <w:rFonts w:ascii="Aptos" w:hAnsi="Aptos"/>
                <w:sz w:val="12"/>
              </w:rPr>
              <w:t>Ne pas inférer.</w:t>
            </w:r>
          </w:p>
        </w:tc>
      </w:tr>
      <w:tr>
        <w:tc>
          <w:tcPr>
            <w:tcW w:type="dxa" w:w="397"/>
            <w:tcMar>
              <w:top w:w="60" w:type="dxa"/>
              <w:start w:w="60" w:type="dxa"/>
              <w:bottom w:w="60" w:type="dxa"/>
              <w:end w:w="60" w:type="dxa"/>
            </w:tcMar>
            <w:vAlign w:val="top"/>
          </w:tcPr>
          <w:p>
            <w:r/>
            <w:r>
              <w:rPr>
                <w:rFonts w:ascii="Aptos" w:hAnsi="Aptos"/>
                <w:sz w:val="12"/>
              </w:rPr>
              <w:t>40</w:t>
            </w:r>
          </w:p>
        </w:tc>
        <w:tc>
          <w:tcPr>
            <w:tcW w:type="dxa" w:w="1474"/>
            <w:tcMar>
              <w:top w:w="60" w:type="dxa"/>
              <w:start w:w="60" w:type="dxa"/>
              <w:bottom w:w="60" w:type="dxa"/>
              <w:end w:w="60" w:type="dxa"/>
            </w:tcMar>
            <w:vAlign w:val="top"/>
          </w:tcPr>
          <w:p>
            <w:r/>
            <w:r>
              <w:rPr>
                <w:rFonts w:ascii="Aptos" w:hAnsi="Aptos"/>
                <w:sz w:val="12"/>
              </w:rPr>
              <w:t>Exposition</w:t>
            </w:r>
          </w:p>
        </w:tc>
        <w:tc>
          <w:tcPr>
            <w:tcW w:type="dxa" w:w="1757"/>
            <w:tcMar>
              <w:top w:w="60" w:type="dxa"/>
              <w:start w:w="60" w:type="dxa"/>
              <w:bottom w:w="60" w:type="dxa"/>
              <w:end w:w="60" w:type="dxa"/>
            </w:tcMar>
            <w:vAlign w:val="top"/>
          </w:tcPr>
          <w:p>
            <w:r/>
            <w:r>
              <w:rPr>
                <w:rFonts w:ascii="Aptos" w:hAnsi="Aptos"/>
                <w:sz w:val="12"/>
              </w:rPr>
              <w:t>Maturité / duration cible</w:t>
            </w:r>
          </w:p>
        </w:tc>
        <w:tc>
          <w:tcPr>
            <w:tcW w:type="dxa" w:w="2551"/>
            <w:tcMar>
              <w:top w:w="60" w:type="dxa"/>
              <w:start w:w="60" w:type="dxa"/>
              <w:bottom w:w="60" w:type="dxa"/>
              <w:end w:w="60" w:type="dxa"/>
            </w:tcMar>
            <w:vAlign w:val="top"/>
          </w:tcPr>
          <w:p>
            <w:r/>
            <w:r>
              <w:rPr>
                <w:rFonts w:ascii="Aptos" w:hAnsi="Aptos"/>
                <w:sz w:val="12"/>
              </w:rPr>
              <w:t>Pour fonds obligataires.</w:t>
            </w:r>
          </w:p>
        </w:tc>
        <w:tc>
          <w:tcPr>
            <w:tcW w:type="dxa" w:w="1757"/>
            <w:tcMar>
              <w:top w:w="60" w:type="dxa"/>
              <w:start w:w="60" w:type="dxa"/>
              <w:bottom w:w="60" w:type="dxa"/>
              <w:end w:w="60" w:type="dxa"/>
            </w:tcMar>
            <w:vAlign w:val="top"/>
          </w:tcPr>
          <w:p>
            <w:r/>
            <w:r>
              <w:rPr>
                <w:rFonts w:ascii="Aptos" w:hAnsi="Aptos"/>
                <w:sz w:val="12"/>
              </w:rPr>
              <w:t>Factsheet/prospectus</w:t>
            </w:r>
          </w:p>
        </w:tc>
        <w:tc>
          <w:tcPr>
            <w:tcW w:type="dxa" w:w="2324"/>
            <w:tcMar>
              <w:top w:w="60" w:type="dxa"/>
              <w:start w:w="60" w:type="dxa"/>
              <w:bottom w:w="60" w:type="dxa"/>
              <w:end w:w="60" w:type="dxa"/>
            </w:tcMar>
            <w:vAlign w:val="top"/>
          </w:tcPr>
          <w:p>
            <w:r/>
            <w:r>
              <w:rPr>
                <w:rFonts w:ascii="Aptos" w:hAnsi="Aptos"/>
                <w:sz w:val="12"/>
              </w:rPr>
              <w:t>Unité obligatoire.</w:t>
            </w:r>
          </w:p>
        </w:tc>
      </w:tr>
      <w:tr>
        <w:tc>
          <w:tcPr>
            <w:tcW w:type="dxa" w:w="397"/>
            <w:tcMar>
              <w:top w:w="60" w:type="dxa"/>
              <w:start w:w="60" w:type="dxa"/>
              <w:bottom w:w="60" w:type="dxa"/>
              <w:end w:w="60" w:type="dxa"/>
            </w:tcMar>
            <w:vAlign w:val="top"/>
          </w:tcPr>
          <w:p>
            <w:r/>
            <w:r>
              <w:rPr>
                <w:rFonts w:ascii="Aptos" w:hAnsi="Aptos"/>
                <w:sz w:val="12"/>
              </w:rPr>
              <w:t>41</w:t>
            </w:r>
          </w:p>
        </w:tc>
        <w:tc>
          <w:tcPr>
            <w:tcW w:type="dxa" w:w="1474"/>
            <w:tcMar>
              <w:top w:w="60" w:type="dxa"/>
              <w:start w:w="60" w:type="dxa"/>
              <w:bottom w:w="60" w:type="dxa"/>
              <w:end w:w="60" w:type="dxa"/>
            </w:tcMar>
            <w:vAlign w:val="top"/>
          </w:tcPr>
          <w:p>
            <w:r/>
            <w:r>
              <w:rPr>
                <w:rFonts w:ascii="Aptos" w:hAnsi="Aptos"/>
                <w:sz w:val="12"/>
              </w:rPr>
              <w:t>Exposition</w:t>
            </w:r>
          </w:p>
        </w:tc>
        <w:tc>
          <w:tcPr>
            <w:tcW w:type="dxa" w:w="1757"/>
            <w:tcMar>
              <w:top w:w="60" w:type="dxa"/>
              <w:start w:w="60" w:type="dxa"/>
              <w:bottom w:w="60" w:type="dxa"/>
              <w:end w:w="60" w:type="dxa"/>
            </w:tcMar>
            <w:vAlign w:val="top"/>
          </w:tcPr>
          <w:p>
            <w:r/>
            <w:r>
              <w:rPr>
                <w:rFonts w:ascii="Aptos" w:hAnsi="Aptos"/>
                <w:sz w:val="12"/>
              </w:rPr>
              <w:t>Zone géographique</w:t>
            </w:r>
          </w:p>
        </w:tc>
        <w:tc>
          <w:tcPr>
            <w:tcW w:type="dxa" w:w="2551"/>
            <w:tcMar>
              <w:top w:w="60" w:type="dxa"/>
              <w:start w:w="60" w:type="dxa"/>
              <w:bottom w:w="60" w:type="dxa"/>
              <w:end w:w="60" w:type="dxa"/>
            </w:tcMar>
            <w:vAlign w:val="top"/>
          </w:tcPr>
          <w:p>
            <w:r/>
            <w:r>
              <w:rPr>
                <w:rFonts w:ascii="Aptos" w:hAnsi="Aptos"/>
                <w:sz w:val="12"/>
              </w:rPr>
              <w:t>Pays/région.</w:t>
            </w:r>
          </w:p>
        </w:tc>
        <w:tc>
          <w:tcPr>
            <w:tcW w:type="dxa" w:w="1757"/>
            <w:tcMar>
              <w:top w:w="60" w:type="dxa"/>
              <w:start w:w="60" w:type="dxa"/>
              <w:bottom w:w="60" w:type="dxa"/>
              <w:end w:w="60" w:type="dxa"/>
            </w:tcMar>
            <w:vAlign w:val="top"/>
          </w:tcPr>
          <w:p>
            <w:r/>
            <w:r>
              <w:rPr>
                <w:rFonts w:ascii="Aptos" w:hAnsi="Aptos"/>
                <w:sz w:val="12"/>
              </w:rPr>
              <w:t>Prospectus</w:t>
            </w:r>
          </w:p>
        </w:tc>
        <w:tc>
          <w:tcPr>
            <w:tcW w:type="dxa" w:w="2324"/>
            <w:tcMar>
              <w:top w:w="60" w:type="dxa"/>
              <w:start w:w="60" w:type="dxa"/>
              <w:bottom w:w="60" w:type="dxa"/>
              <w:end w:w="60" w:type="dxa"/>
            </w:tcMar>
            <w:vAlign w:val="top"/>
          </w:tcPr>
          <w:p>
            <w:r/>
            <w:r>
              <w:rPr>
                <w:rFonts w:ascii="Aptos" w:hAnsi="Aptos"/>
                <w:sz w:val="12"/>
              </w:rPr>
              <w:t>Conserver bornes.</w:t>
            </w:r>
          </w:p>
        </w:tc>
      </w:tr>
      <w:tr>
        <w:tc>
          <w:tcPr>
            <w:tcW w:type="dxa" w:w="397"/>
            <w:tcMar>
              <w:top w:w="60" w:type="dxa"/>
              <w:start w:w="60" w:type="dxa"/>
              <w:bottom w:w="60" w:type="dxa"/>
              <w:end w:w="60" w:type="dxa"/>
            </w:tcMar>
            <w:vAlign w:val="top"/>
          </w:tcPr>
          <w:p>
            <w:r/>
            <w:r>
              <w:rPr>
                <w:rFonts w:ascii="Aptos" w:hAnsi="Aptos"/>
                <w:sz w:val="12"/>
              </w:rPr>
              <w:t>42</w:t>
            </w:r>
          </w:p>
        </w:tc>
        <w:tc>
          <w:tcPr>
            <w:tcW w:type="dxa" w:w="1474"/>
            <w:tcMar>
              <w:top w:w="60" w:type="dxa"/>
              <w:start w:w="60" w:type="dxa"/>
              <w:bottom w:w="60" w:type="dxa"/>
              <w:end w:w="60" w:type="dxa"/>
            </w:tcMar>
            <w:vAlign w:val="top"/>
          </w:tcPr>
          <w:p>
            <w:r/>
            <w:r>
              <w:rPr>
                <w:rFonts w:ascii="Aptos" w:hAnsi="Aptos"/>
                <w:sz w:val="12"/>
              </w:rPr>
              <w:t>Exposition</w:t>
            </w:r>
          </w:p>
        </w:tc>
        <w:tc>
          <w:tcPr>
            <w:tcW w:type="dxa" w:w="1757"/>
            <w:tcMar>
              <w:top w:w="60" w:type="dxa"/>
              <w:start w:w="60" w:type="dxa"/>
              <w:bottom w:w="60" w:type="dxa"/>
              <w:end w:w="60" w:type="dxa"/>
            </w:tcMar>
            <w:vAlign w:val="top"/>
          </w:tcPr>
          <w:p>
            <w:r/>
            <w:r>
              <w:rPr>
                <w:rFonts w:ascii="Aptos" w:hAnsi="Aptos"/>
                <w:sz w:val="12"/>
              </w:rPr>
              <w:t>Secteurs ciblés</w:t>
            </w:r>
          </w:p>
        </w:tc>
        <w:tc>
          <w:tcPr>
            <w:tcW w:type="dxa" w:w="2551"/>
            <w:tcMar>
              <w:top w:w="60" w:type="dxa"/>
              <w:start w:w="60" w:type="dxa"/>
              <w:bottom w:w="60" w:type="dxa"/>
              <w:end w:w="60" w:type="dxa"/>
            </w:tcMar>
            <w:vAlign w:val="top"/>
          </w:tcPr>
          <w:p>
            <w:r/>
            <w:r>
              <w:rPr>
                <w:rFonts w:ascii="Aptos" w:hAnsi="Aptos"/>
                <w:sz w:val="12"/>
              </w:rPr>
              <w:t>Secteurs.</w:t>
            </w:r>
          </w:p>
        </w:tc>
        <w:tc>
          <w:tcPr>
            <w:tcW w:type="dxa" w:w="1757"/>
            <w:tcMar>
              <w:top w:w="60" w:type="dxa"/>
              <w:start w:w="60" w:type="dxa"/>
              <w:bottom w:w="60" w:type="dxa"/>
              <w:end w:w="60" w:type="dxa"/>
            </w:tcMar>
            <w:vAlign w:val="top"/>
          </w:tcPr>
          <w:p>
            <w:r/>
            <w:r>
              <w:rPr>
                <w:rFonts w:ascii="Aptos" w:hAnsi="Aptos"/>
                <w:sz w:val="12"/>
              </w:rPr>
              <w:t>Prospectus</w:t>
            </w:r>
          </w:p>
        </w:tc>
        <w:tc>
          <w:tcPr>
            <w:tcW w:type="dxa" w:w="2324"/>
            <w:tcMar>
              <w:top w:w="60" w:type="dxa"/>
              <w:start w:w="60" w:type="dxa"/>
              <w:bottom w:w="60" w:type="dxa"/>
              <w:end w:w="60" w:type="dxa"/>
            </w:tcMar>
            <w:vAlign w:val="top"/>
          </w:tcPr>
          <w:p>
            <w:r/>
            <w:r>
              <w:rPr>
                <w:rFonts w:ascii="Aptos" w:hAnsi="Aptos"/>
                <w:sz w:val="12"/>
              </w:rPr>
              <w:t>Vide si non spécifié.</w:t>
            </w:r>
          </w:p>
        </w:tc>
      </w:tr>
      <w:tr>
        <w:tc>
          <w:tcPr>
            <w:tcW w:type="dxa" w:w="397"/>
            <w:tcMar>
              <w:top w:w="60" w:type="dxa"/>
              <w:start w:w="60" w:type="dxa"/>
              <w:bottom w:w="60" w:type="dxa"/>
              <w:end w:w="60" w:type="dxa"/>
            </w:tcMar>
            <w:vAlign w:val="top"/>
          </w:tcPr>
          <w:p>
            <w:r/>
            <w:r>
              <w:rPr>
                <w:rFonts w:ascii="Aptos" w:hAnsi="Aptos"/>
                <w:sz w:val="12"/>
              </w:rPr>
              <w:t>43</w:t>
            </w:r>
          </w:p>
        </w:tc>
        <w:tc>
          <w:tcPr>
            <w:tcW w:type="dxa" w:w="1474"/>
            <w:tcMar>
              <w:top w:w="60" w:type="dxa"/>
              <w:start w:w="60" w:type="dxa"/>
              <w:bottom w:w="60" w:type="dxa"/>
              <w:end w:w="60" w:type="dxa"/>
            </w:tcMar>
            <w:vAlign w:val="top"/>
          </w:tcPr>
          <w:p>
            <w:r/>
            <w:r>
              <w:rPr>
                <w:rFonts w:ascii="Aptos" w:hAnsi="Aptos"/>
                <w:sz w:val="12"/>
              </w:rPr>
              <w:t>Exposition</w:t>
            </w:r>
          </w:p>
        </w:tc>
        <w:tc>
          <w:tcPr>
            <w:tcW w:type="dxa" w:w="1757"/>
            <w:tcMar>
              <w:top w:w="60" w:type="dxa"/>
              <w:start w:w="60" w:type="dxa"/>
              <w:bottom w:w="60" w:type="dxa"/>
              <w:end w:w="60" w:type="dxa"/>
            </w:tcMar>
            <w:vAlign w:val="top"/>
          </w:tcPr>
          <w:p>
            <w:r/>
            <w:r>
              <w:rPr>
                <w:rFonts w:ascii="Aptos" w:hAnsi="Aptos"/>
                <w:sz w:val="12"/>
              </w:rPr>
              <w:t>Limite de cash</w:t>
            </w:r>
          </w:p>
        </w:tc>
        <w:tc>
          <w:tcPr>
            <w:tcW w:type="dxa" w:w="2551"/>
            <w:tcMar>
              <w:top w:w="60" w:type="dxa"/>
              <w:start w:w="60" w:type="dxa"/>
              <w:bottom w:w="60" w:type="dxa"/>
              <w:end w:w="60" w:type="dxa"/>
            </w:tcMar>
            <w:vAlign w:val="top"/>
          </w:tcPr>
          <w:p>
            <w:r/>
            <w:r>
              <w:rPr>
                <w:rFonts w:ascii="Aptos" w:hAnsi="Aptos"/>
                <w:sz w:val="12"/>
              </w:rPr>
              <w:t>Minimum/maximum.</w:t>
            </w:r>
          </w:p>
        </w:tc>
        <w:tc>
          <w:tcPr>
            <w:tcW w:type="dxa" w:w="1757"/>
            <w:tcMar>
              <w:top w:w="60" w:type="dxa"/>
              <w:start w:w="60" w:type="dxa"/>
              <w:bottom w:w="60" w:type="dxa"/>
              <w:end w:w="60" w:type="dxa"/>
            </w:tcMar>
            <w:vAlign w:val="top"/>
          </w:tcPr>
          <w:p>
            <w:r/>
            <w:r>
              <w:rPr>
                <w:rFonts w:ascii="Aptos" w:hAnsi="Aptos"/>
                <w:sz w:val="12"/>
              </w:rPr>
              <w:t>Prospectus</w:t>
            </w:r>
          </w:p>
        </w:tc>
        <w:tc>
          <w:tcPr>
            <w:tcW w:type="dxa" w:w="2324"/>
            <w:tcMar>
              <w:top w:w="60" w:type="dxa"/>
              <w:start w:w="60" w:type="dxa"/>
              <w:bottom w:w="60" w:type="dxa"/>
              <w:end w:w="60" w:type="dxa"/>
            </w:tcMar>
            <w:vAlign w:val="top"/>
          </w:tcPr>
          <w:p>
            <w:r/>
            <w:r>
              <w:rPr>
                <w:rFonts w:ascii="Aptos" w:hAnsi="Aptos"/>
                <w:sz w:val="12"/>
              </w:rPr>
              <w:t>Ne pas calculer sans holdings.</w:t>
            </w:r>
          </w:p>
        </w:tc>
      </w:tr>
      <w:tr>
        <w:tc>
          <w:tcPr>
            <w:tcW w:type="dxa" w:w="397"/>
            <w:tcMar>
              <w:top w:w="60" w:type="dxa"/>
              <w:start w:w="60" w:type="dxa"/>
              <w:bottom w:w="60" w:type="dxa"/>
              <w:end w:w="60" w:type="dxa"/>
            </w:tcMar>
            <w:vAlign w:val="top"/>
          </w:tcPr>
          <w:p>
            <w:r/>
            <w:r>
              <w:rPr>
                <w:rFonts w:ascii="Aptos" w:hAnsi="Aptos"/>
                <w:sz w:val="12"/>
              </w:rPr>
              <w:t>44</w:t>
            </w:r>
          </w:p>
        </w:tc>
        <w:tc>
          <w:tcPr>
            <w:tcW w:type="dxa" w:w="1474"/>
            <w:tcMar>
              <w:top w:w="60" w:type="dxa"/>
              <w:start w:w="60" w:type="dxa"/>
              <w:bottom w:w="60" w:type="dxa"/>
              <w:end w:w="60" w:type="dxa"/>
            </w:tcMar>
            <w:vAlign w:val="top"/>
          </w:tcPr>
          <w:p>
            <w:r/>
            <w:r>
              <w:rPr>
                <w:rFonts w:ascii="Aptos" w:hAnsi="Aptos"/>
                <w:sz w:val="12"/>
              </w:rPr>
              <w:t>Exposition</w:t>
            </w:r>
          </w:p>
        </w:tc>
        <w:tc>
          <w:tcPr>
            <w:tcW w:type="dxa" w:w="1757"/>
            <w:tcMar>
              <w:top w:w="60" w:type="dxa"/>
              <w:start w:w="60" w:type="dxa"/>
              <w:bottom w:w="60" w:type="dxa"/>
              <w:end w:w="60" w:type="dxa"/>
            </w:tcMar>
            <w:vAlign w:val="top"/>
          </w:tcPr>
          <w:p>
            <w:r/>
            <w:r>
              <w:rPr>
                <w:rFonts w:ascii="Aptos" w:hAnsi="Aptos"/>
                <w:sz w:val="12"/>
              </w:rPr>
              <w:t>Dérivés autorisés</w:t>
            </w:r>
          </w:p>
        </w:tc>
        <w:tc>
          <w:tcPr>
            <w:tcW w:type="dxa" w:w="2551"/>
            <w:tcMar>
              <w:top w:w="60" w:type="dxa"/>
              <w:start w:w="60" w:type="dxa"/>
              <w:bottom w:w="60" w:type="dxa"/>
              <w:end w:w="60" w:type="dxa"/>
            </w:tcMar>
            <w:vAlign w:val="top"/>
          </w:tcPr>
          <w:p>
            <w:r/>
            <w:r>
              <w:rPr>
                <w:rFonts w:ascii="Aptos" w:hAnsi="Aptos"/>
                <w:sz w:val="12"/>
              </w:rPr>
              <w:t>Oui/non et usage.</w:t>
            </w:r>
          </w:p>
        </w:tc>
        <w:tc>
          <w:tcPr>
            <w:tcW w:type="dxa" w:w="1757"/>
            <w:tcMar>
              <w:top w:w="60" w:type="dxa"/>
              <w:start w:w="60" w:type="dxa"/>
              <w:bottom w:w="60" w:type="dxa"/>
              <w:end w:w="60" w:type="dxa"/>
            </w:tcMar>
            <w:vAlign w:val="top"/>
          </w:tcPr>
          <w:p>
            <w:r/>
            <w:r>
              <w:rPr>
                <w:rFonts w:ascii="Aptos" w:hAnsi="Aptos"/>
                <w:sz w:val="12"/>
              </w:rPr>
              <w:t>Prospectus</w:t>
            </w:r>
          </w:p>
        </w:tc>
        <w:tc>
          <w:tcPr>
            <w:tcW w:type="dxa" w:w="2324"/>
            <w:tcMar>
              <w:top w:w="60" w:type="dxa"/>
              <w:start w:w="60" w:type="dxa"/>
              <w:bottom w:w="60" w:type="dxa"/>
              <w:end w:w="60" w:type="dxa"/>
            </w:tcMar>
            <w:vAlign w:val="top"/>
          </w:tcPr>
          <w:p>
            <w:r/>
            <w:r>
              <w:rPr>
                <w:rFonts w:ascii="Aptos" w:hAnsi="Aptos"/>
                <w:sz w:val="12"/>
              </w:rPr>
              <w:t>Couverture vs exposition.</w:t>
            </w:r>
          </w:p>
        </w:tc>
      </w:tr>
      <w:tr>
        <w:tc>
          <w:tcPr>
            <w:tcW w:type="dxa" w:w="397"/>
            <w:tcMar>
              <w:top w:w="60" w:type="dxa"/>
              <w:start w:w="60" w:type="dxa"/>
              <w:bottom w:w="60" w:type="dxa"/>
              <w:end w:w="60" w:type="dxa"/>
            </w:tcMar>
            <w:vAlign w:val="top"/>
          </w:tcPr>
          <w:p>
            <w:r/>
            <w:r>
              <w:rPr>
                <w:rFonts w:ascii="Aptos" w:hAnsi="Aptos"/>
                <w:sz w:val="12"/>
              </w:rPr>
              <w:t>45</w:t>
            </w:r>
          </w:p>
        </w:tc>
        <w:tc>
          <w:tcPr>
            <w:tcW w:type="dxa" w:w="1474"/>
            <w:tcMar>
              <w:top w:w="60" w:type="dxa"/>
              <w:start w:w="60" w:type="dxa"/>
              <w:bottom w:w="60" w:type="dxa"/>
              <w:end w:w="60" w:type="dxa"/>
            </w:tcMar>
            <w:vAlign w:val="top"/>
          </w:tcPr>
          <w:p>
            <w:r/>
            <w:r>
              <w:rPr>
                <w:rFonts w:ascii="Aptos" w:hAnsi="Aptos"/>
                <w:sz w:val="12"/>
              </w:rPr>
              <w:t>Exposition</w:t>
            </w:r>
          </w:p>
        </w:tc>
        <w:tc>
          <w:tcPr>
            <w:tcW w:type="dxa" w:w="1757"/>
            <w:tcMar>
              <w:top w:w="60" w:type="dxa"/>
              <w:start w:w="60" w:type="dxa"/>
              <w:bottom w:w="60" w:type="dxa"/>
              <w:end w:w="60" w:type="dxa"/>
            </w:tcMar>
            <w:vAlign w:val="top"/>
          </w:tcPr>
          <w:p>
            <w:r/>
            <w:r>
              <w:rPr>
                <w:rFonts w:ascii="Aptos" w:hAnsi="Aptos"/>
                <w:sz w:val="12"/>
              </w:rPr>
              <w:t>Emprunt / leverage</w:t>
            </w:r>
          </w:p>
        </w:tc>
        <w:tc>
          <w:tcPr>
            <w:tcW w:type="dxa" w:w="2551"/>
            <w:tcMar>
              <w:top w:w="60" w:type="dxa"/>
              <w:start w:w="60" w:type="dxa"/>
              <w:bottom w:w="60" w:type="dxa"/>
              <w:end w:w="60" w:type="dxa"/>
            </w:tcMar>
            <w:vAlign w:val="top"/>
          </w:tcPr>
          <w:p>
            <w:r/>
            <w:r>
              <w:rPr>
                <w:rFonts w:ascii="Aptos" w:hAnsi="Aptos"/>
                <w:sz w:val="12"/>
              </w:rPr>
              <w:t>Limites.</w:t>
            </w:r>
          </w:p>
        </w:tc>
        <w:tc>
          <w:tcPr>
            <w:tcW w:type="dxa" w:w="1757"/>
            <w:tcMar>
              <w:top w:w="60" w:type="dxa"/>
              <w:start w:w="60" w:type="dxa"/>
              <w:bottom w:w="60" w:type="dxa"/>
              <w:end w:w="60" w:type="dxa"/>
            </w:tcMar>
            <w:vAlign w:val="top"/>
          </w:tcPr>
          <w:p>
            <w:r/>
            <w:r>
              <w:rPr>
                <w:rFonts w:ascii="Aptos" w:hAnsi="Aptos"/>
                <w:sz w:val="12"/>
              </w:rPr>
              <w:t>Prospectus/rules</w:t>
            </w:r>
          </w:p>
        </w:tc>
        <w:tc>
          <w:tcPr>
            <w:tcW w:type="dxa" w:w="2324"/>
            <w:tcMar>
              <w:top w:w="60" w:type="dxa"/>
              <w:start w:w="60" w:type="dxa"/>
              <w:bottom w:w="60" w:type="dxa"/>
              <w:end w:w="60" w:type="dxa"/>
            </w:tcMar>
            <w:vAlign w:val="top"/>
          </w:tcPr>
          <w:p>
            <w:r/>
            <w:r>
              <w:rPr>
                <w:rFonts w:ascii="Aptos" w:hAnsi="Aptos"/>
                <w:sz w:val="12"/>
              </w:rPr>
              <w:t>Historiser.</w:t>
            </w:r>
          </w:p>
        </w:tc>
      </w:tr>
      <w:tr>
        <w:tc>
          <w:tcPr>
            <w:tcW w:type="dxa" w:w="397"/>
            <w:tcMar>
              <w:top w:w="60" w:type="dxa"/>
              <w:start w:w="60" w:type="dxa"/>
              <w:bottom w:w="60" w:type="dxa"/>
              <w:end w:w="60" w:type="dxa"/>
            </w:tcMar>
            <w:vAlign w:val="top"/>
          </w:tcPr>
          <w:p>
            <w:r/>
            <w:r>
              <w:rPr>
                <w:rFonts w:ascii="Aptos" w:hAnsi="Aptos"/>
                <w:sz w:val="12"/>
              </w:rPr>
              <w:t>46</w:t>
            </w:r>
          </w:p>
        </w:tc>
        <w:tc>
          <w:tcPr>
            <w:tcW w:type="dxa" w:w="1474"/>
            <w:tcMar>
              <w:top w:w="60" w:type="dxa"/>
              <w:start w:w="60" w:type="dxa"/>
              <w:bottom w:w="60" w:type="dxa"/>
              <w:end w:w="60" w:type="dxa"/>
            </w:tcMar>
            <w:vAlign w:val="top"/>
          </w:tcPr>
          <w:p>
            <w:r/>
            <w:r>
              <w:rPr>
                <w:rFonts w:ascii="Aptos" w:hAnsi="Aptos"/>
                <w:sz w:val="12"/>
              </w:rPr>
              <w:t>Marché cible</w:t>
            </w:r>
          </w:p>
        </w:tc>
        <w:tc>
          <w:tcPr>
            <w:tcW w:type="dxa" w:w="1757"/>
            <w:tcMar>
              <w:top w:w="60" w:type="dxa"/>
              <w:start w:w="60" w:type="dxa"/>
              <w:bottom w:w="60" w:type="dxa"/>
              <w:end w:w="60" w:type="dxa"/>
            </w:tcMar>
            <w:vAlign w:val="top"/>
          </w:tcPr>
          <w:p>
            <w:r/>
            <w:r>
              <w:rPr>
                <w:rFonts w:ascii="Aptos" w:hAnsi="Aptos"/>
                <w:sz w:val="12"/>
              </w:rPr>
              <w:t>Investisseurs éligibles</w:t>
            </w:r>
          </w:p>
        </w:tc>
        <w:tc>
          <w:tcPr>
            <w:tcW w:type="dxa" w:w="2551"/>
            <w:tcMar>
              <w:top w:w="60" w:type="dxa"/>
              <w:start w:w="60" w:type="dxa"/>
              <w:bottom w:w="60" w:type="dxa"/>
              <w:end w:w="60" w:type="dxa"/>
            </w:tcMar>
            <w:vAlign w:val="top"/>
          </w:tcPr>
          <w:p>
            <w:r/>
            <w:r>
              <w:rPr>
                <w:rFonts w:ascii="Aptos" w:hAnsi="Aptos"/>
                <w:sz w:val="12"/>
              </w:rPr>
              <w:t>Retail, institutional, etc.</w:t>
            </w:r>
          </w:p>
        </w:tc>
        <w:tc>
          <w:tcPr>
            <w:tcW w:type="dxa" w:w="1757"/>
            <w:tcMar>
              <w:top w:w="60" w:type="dxa"/>
              <w:start w:w="60" w:type="dxa"/>
              <w:bottom w:w="60" w:type="dxa"/>
              <w:end w:w="60" w:type="dxa"/>
            </w:tcMar>
            <w:vAlign w:val="top"/>
          </w:tcPr>
          <w:p>
            <w:r/>
            <w:r>
              <w:rPr>
                <w:rFonts w:ascii="Aptos" w:hAnsi="Aptos"/>
                <w:sz w:val="12"/>
              </w:rPr>
              <w:t>Prospectus</w:t>
            </w:r>
          </w:p>
        </w:tc>
        <w:tc>
          <w:tcPr>
            <w:tcW w:type="dxa" w:w="2324"/>
            <w:tcMar>
              <w:top w:w="60" w:type="dxa"/>
              <w:start w:w="60" w:type="dxa"/>
              <w:bottom w:w="60" w:type="dxa"/>
              <w:end w:w="60" w:type="dxa"/>
            </w:tcMar>
            <w:vAlign w:val="top"/>
          </w:tcPr>
          <w:p>
            <w:r/>
            <w:r>
              <w:rPr>
                <w:rFonts w:ascii="Aptos" w:hAnsi="Aptos"/>
                <w:sz w:val="12"/>
              </w:rPr>
              <w:t>Classe spécifique.</w:t>
            </w:r>
          </w:p>
        </w:tc>
      </w:tr>
      <w:tr>
        <w:tc>
          <w:tcPr>
            <w:tcW w:type="dxa" w:w="397"/>
            <w:tcMar>
              <w:top w:w="60" w:type="dxa"/>
              <w:start w:w="60" w:type="dxa"/>
              <w:bottom w:w="60" w:type="dxa"/>
              <w:end w:w="60" w:type="dxa"/>
            </w:tcMar>
            <w:vAlign w:val="top"/>
          </w:tcPr>
          <w:p>
            <w:r/>
            <w:r>
              <w:rPr>
                <w:rFonts w:ascii="Aptos" w:hAnsi="Aptos"/>
                <w:sz w:val="12"/>
              </w:rPr>
              <w:t>47</w:t>
            </w:r>
          </w:p>
        </w:tc>
        <w:tc>
          <w:tcPr>
            <w:tcW w:type="dxa" w:w="1474"/>
            <w:tcMar>
              <w:top w:w="60" w:type="dxa"/>
              <w:start w:w="60" w:type="dxa"/>
              <w:bottom w:w="60" w:type="dxa"/>
              <w:end w:w="60" w:type="dxa"/>
            </w:tcMar>
            <w:vAlign w:val="top"/>
          </w:tcPr>
          <w:p>
            <w:r/>
            <w:r>
              <w:rPr>
                <w:rFonts w:ascii="Aptos" w:hAnsi="Aptos"/>
                <w:sz w:val="12"/>
              </w:rPr>
              <w:t>Fiscalité</w:t>
            </w:r>
          </w:p>
        </w:tc>
        <w:tc>
          <w:tcPr>
            <w:tcW w:type="dxa" w:w="1757"/>
            <w:tcMar>
              <w:top w:w="60" w:type="dxa"/>
              <w:start w:w="60" w:type="dxa"/>
              <w:bottom w:w="60" w:type="dxa"/>
              <w:end w:w="60" w:type="dxa"/>
            </w:tcMar>
            <w:vAlign w:val="top"/>
          </w:tcPr>
          <w:p>
            <w:r/>
            <w:r>
              <w:rPr>
                <w:rFonts w:ascii="Aptos" w:hAnsi="Aptos"/>
                <w:sz w:val="12"/>
              </w:rPr>
              <w:t>Traitement fiscal décrit</w:t>
            </w:r>
          </w:p>
        </w:tc>
        <w:tc>
          <w:tcPr>
            <w:tcW w:type="dxa" w:w="2551"/>
            <w:tcMar>
              <w:top w:w="60" w:type="dxa"/>
              <w:start w:w="60" w:type="dxa"/>
              <w:bottom w:w="60" w:type="dxa"/>
              <w:end w:w="60" w:type="dxa"/>
            </w:tcMar>
            <w:vAlign w:val="top"/>
          </w:tcPr>
          <w:p>
            <w:r/>
            <w:r>
              <w:rPr>
                <w:rFonts w:ascii="Aptos" w:hAnsi="Aptos"/>
                <w:sz w:val="12"/>
              </w:rPr>
              <w:t>Texte du document.</w:t>
            </w:r>
          </w:p>
        </w:tc>
        <w:tc>
          <w:tcPr>
            <w:tcW w:type="dxa" w:w="1757"/>
            <w:tcMar>
              <w:top w:w="60" w:type="dxa"/>
              <w:start w:w="60" w:type="dxa"/>
              <w:bottom w:w="60" w:type="dxa"/>
              <w:end w:w="60" w:type="dxa"/>
            </w:tcMar>
            <w:vAlign w:val="top"/>
          </w:tcPr>
          <w:p>
            <w:r/>
            <w:r>
              <w:rPr>
                <w:rFonts w:ascii="Aptos" w:hAnsi="Aptos"/>
                <w:sz w:val="12"/>
              </w:rPr>
              <w:t>Prospectus</w:t>
            </w:r>
          </w:p>
        </w:tc>
        <w:tc>
          <w:tcPr>
            <w:tcW w:type="dxa" w:w="2324"/>
            <w:tcMar>
              <w:top w:w="60" w:type="dxa"/>
              <w:start w:w="60" w:type="dxa"/>
              <w:bottom w:w="60" w:type="dxa"/>
              <w:end w:w="60" w:type="dxa"/>
            </w:tcMar>
            <w:vAlign w:val="top"/>
          </w:tcPr>
          <w:p>
            <w:r/>
            <w:r>
              <w:rPr>
                <w:rFonts w:ascii="Aptos" w:hAnsi="Aptos"/>
                <w:sz w:val="12"/>
              </w:rPr>
              <w:t>Pas de conseil fiscal.</w:t>
            </w:r>
          </w:p>
        </w:tc>
      </w:tr>
      <w:tr>
        <w:tc>
          <w:tcPr>
            <w:tcW w:type="dxa" w:w="397"/>
            <w:tcMar>
              <w:top w:w="60" w:type="dxa"/>
              <w:start w:w="60" w:type="dxa"/>
              <w:bottom w:w="60" w:type="dxa"/>
              <w:end w:w="60" w:type="dxa"/>
            </w:tcMar>
            <w:vAlign w:val="top"/>
          </w:tcPr>
          <w:p>
            <w:r/>
            <w:r>
              <w:rPr>
                <w:rFonts w:ascii="Aptos" w:hAnsi="Aptos"/>
                <w:sz w:val="12"/>
              </w:rPr>
              <w:t>48</w:t>
            </w:r>
          </w:p>
        </w:tc>
        <w:tc>
          <w:tcPr>
            <w:tcW w:type="dxa" w:w="1474"/>
            <w:tcMar>
              <w:top w:w="60" w:type="dxa"/>
              <w:start w:w="60" w:type="dxa"/>
              <w:bottom w:w="60" w:type="dxa"/>
              <w:end w:w="60" w:type="dxa"/>
            </w:tcMar>
            <w:vAlign w:val="top"/>
          </w:tcPr>
          <w:p>
            <w:r/>
            <w:r>
              <w:rPr>
                <w:rFonts w:ascii="Aptos" w:hAnsi="Aptos"/>
                <w:sz w:val="12"/>
              </w:rPr>
              <w:t>URLs</w:t>
            </w:r>
          </w:p>
        </w:tc>
        <w:tc>
          <w:tcPr>
            <w:tcW w:type="dxa" w:w="1757"/>
            <w:tcMar>
              <w:top w:w="60" w:type="dxa"/>
              <w:start w:w="60" w:type="dxa"/>
              <w:bottom w:w="60" w:type="dxa"/>
              <w:end w:w="60" w:type="dxa"/>
            </w:tcMar>
            <w:vAlign w:val="top"/>
          </w:tcPr>
          <w:p>
            <w:r/>
            <w:r>
              <w:rPr>
                <w:rFonts w:ascii="Aptos" w:hAnsi="Aptos"/>
                <w:sz w:val="12"/>
              </w:rPr>
              <w:t>Site du gestionnaire</w:t>
            </w:r>
          </w:p>
        </w:tc>
        <w:tc>
          <w:tcPr>
            <w:tcW w:type="dxa" w:w="2551"/>
            <w:tcMar>
              <w:top w:w="60" w:type="dxa"/>
              <w:start w:w="60" w:type="dxa"/>
              <w:bottom w:w="60" w:type="dxa"/>
              <w:end w:w="60" w:type="dxa"/>
            </w:tcMar>
            <w:vAlign w:val="top"/>
          </w:tcPr>
          <w:p>
            <w:r/>
            <w:r>
              <w:rPr>
                <w:rFonts w:ascii="Aptos" w:hAnsi="Aptos"/>
                <w:sz w:val="12"/>
              </w:rPr>
              <w:t>Domaine officiel.</w:t>
            </w:r>
          </w:p>
        </w:tc>
        <w:tc>
          <w:tcPr>
            <w:tcW w:type="dxa" w:w="1757"/>
            <w:tcMar>
              <w:top w:w="60" w:type="dxa"/>
              <w:start w:w="60" w:type="dxa"/>
              <w:bottom w:w="60" w:type="dxa"/>
              <w:end w:w="60" w:type="dxa"/>
            </w:tcMar>
            <w:vAlign w:val="top"/>
          </w:tcPr>
          <w:p>
            <w:r/>
            <w:r>
              <w:rPr>
                <w:rFonts w:ascii="Aptos" w:hAnsi="Aptos"/>
                <w:sz w:val="12"/>
              </w:rPr>
              <w:t>SEC register/site</w:t>
            </w:r>
          </w:p>
        </w:tc>
        <w:tc>
          <w:tcPr>
            <w:tcW w:type="dxa" w:w="2324"/>
            <w:tcMar>
              <w:top w:w="60" w:type="dxa"/>
              <w:start w:w="60" w:type="dxa"/>
              <w:bottom w:w="60" w:type="dxa"/>
              <w:end w:w="60" w:type="dxa"/>
            </w:tcMar>
            <w:vAlign w:val="top"/>
          </w:tcPr>
          <w:p>
            <w:r/>
            <w:r>
              <w:rPr>
                <w:rFonts w:ascii="Aptos" w:hAnsi="Aptos"/>
                <w:sz w:val="12"/>
              </w:rPr>
              <w:t>Archiver domaines anciens.</w:t>
            </w:r>
          </w:p>
        </w:tc>
      </w:tr>
      <w:tr>
        <w:tc>
          <w:tcPr>
            <w:tcW w:type="dxa" w:w="397"/>
            <w:tcMar>
              <w:top w:w="60" w:type="dxa"/>
              <w:start w:w="60" w:type="dxa"/>
              <w:bottom w:w="60" w:type="dxa"/>
              <w:end w:w="60" w:type="dxa"/>
            </w:tcMar>
            <w:vAlign w:val="top"/>
          </w:tcPr>
          <w:p>
            <w:r/>
            <w:r>
              <w:rPr>
                <w:rFonts w:ascii="Aptos" w:hAnsi="Aptos"/>
                <w:sz w:val="12"/>
              </w:rPr>
              <w:t>49</w:t>
            </w:r>
          </w:p>
        </w:tc>
        <w:tc>
          <w:tcPr>
            <w:tcW w:type="dxa" w:w="1474"/>
            <w:tcMar>
              <w:top w:w="60" w:type="dxa"/>
              <w:start w:w="60" w:type="dxa"/>
              <w:bottom w:w="60" w:type="dxa"/>
              <w:end w:w="60" w:type="dxa"/>
            </w:tcMar>
            <w:vAlign w:val="top"/>
          </w:tcPr>
          <w:p>
            <w:r/>
            <w:r>
              <w:rPr>
                <w:rFonts w:ascii="Aptos" w:hAnsi="Aptos"/>
                <w:sz w:val="12"/>
              </w:rPr>
              <w:t>URLs</w:t>
            </w:r>
          </w:p>
        </w:tc>
        <w:tc>
          <w:tcPr>
            <w:tcW w:type="dxa" w:w="1757"/>
            <w:tcMar>
              <w:top w:w="60" w:type="dxa"/>
              <w:start w:w="60" w:type="dxa"/>
              <w:bottom w:w="60" w:type="dxa"/>
              <w:end w:w="60" w:type="dxa"/>
            </w:tcMar>
            <w:vAlign w:val="top"/>
          </w:tcPr>
          <w:p>
            <w:r/>
            <w:r>
              <w:rPr>
                <w:rFonts w:ascii="Aptos" w:hAnsi="Aptos"/>
                <w:sz w:val="12"/>
              </w:rPr>
              <w:t>Page officielle du fonds</w:t>
            </w:r>
          </w:p>
        </w:tc>
        <w:tc>
          <w:tcPr>
            <w:tcW w:type="dxa" w:w="2551"/>
            <w:tcMar>
              <w:top w:w="60" w:type="dxa"/>
              <w:start w:w="60" w:type="dxa"/>
              <w:bottom w:w="60" w:type="dxa"/>
              <w:end w:w="60" w:type="dxa"/>
            </w:tcMar>
            <w:vAlign w:val="top"/>
          </w:tcPr>
          <w:p>
            <w:r/>
            <w:r>
              <w:rPr>
                <w:rFonts w:ascii="Aptos" w:hAnsi="Aptos"/>
                <w:sz w:val="12"/>
              </w:rPr>
              <w:t>Page produit.</w:t>
            </w:r>
          </w:p>
        </w:tc>
        <w:tc>
          <w:tcPr>
            <w:tcW w:type="dxa" w:w="1757"/>
            <w:tcMar>
              <w:top w:w="60" w:type="dxa"/>
              <w:start w:w="60" w:type="dxa"/>
              <w:bottom w:w="60" w:type="dxa"/>
              <w:end w:w="60" w:type="dxa"/>
            </w:tcMar>
            <w:vAlign w:val="top"/>
          </w:tcPr>
          <w:p>
            <w:r/>
            <w:r>
              <w:rPr>
                <w:rFonts w:ascii="Aptos" w:hAnsi="Aptos"/>
                <w:sz w:val="12"/>
              </w:rPr>
              <w:t>Gestionnaire</w:t>
            </w:r>
          </w:p>
        </w:tc>
        <w:tc>
          <w:tcPr>
            <w:tcW w:type="dxa" w:w="2324"/>
            <w:tcMar>
              <w:top w:w="60" w:type="dxa"/>
              <w:start w:w="60" w:type="dxa"/>
              <w:bottom w:w="60" w:type="dxa"/>
              <w:end w:w="60" w:type="dxa"/>
            </w:tcMar>
            <w:vAlign w:val="top"/>
          </w:tcPr>
          <w:p>
            <w:r/>
            <w:r>
              <w:rPr>
                <w:rFonts w:ascii="Aptos" w:hAnsi="Aptos"/>
                <w:sz w:val="12"/>
              </w:rPr>
              <w:t>Date d’accès.</w:t>
            </w:r>
          </w:p>
        </w:tc>
      </w:tr>
      <w:tr>
        <w:tc>
          <w:tcPr>
            <w:tcW w:type="dxa" w:w="397"/>
            <w:tcMar>
              <w:top w:w="60" w:type="dxa"/>
              <w:start w:w="60" w:type="dxa"/>
              <w:bottom w:w="60" w:type="dxa"/>
              <w:end w:w="60" w:type="dxa"/>
            </w:tcMar>
            <w:vAlign w:val="top"/>
          </w:tcPr>
          <w:p>
            <w:r/>
            <w:r>
              <w:rPr>
                <w:rFonts w:ascii="Aptos" w:hAnsi="Aptos"/>
                <w:sz w:val="12"/>
              </w:rPr>
              <w:t>50</w:t>
            </w:r>
          </w:p>
        </w:tc>
        <w:tc>
          <w:tcPr>
            <w:tcW w:type="dxa" w:w="1474"/>
            <w:tcMar>
              <w:top w:w="60" w:type="dxa"/>
              <w:start w:w="60" w:type="dxa"/>
              <w:bottom w:w="60" w:type="dxa"/>
              <w:end w:w="60" w:type="dxa"/>
            </w:tcMar>
            <w:vAlign w:val="top"/>
          </w:tcPr>
          <w:p>
            <w:r/>
            <w:r>
              <w:rPr>
                <w:rFonts w:ascii="Aptos" w:hAnsi="Aptos"/>
                <w:sz w:val="12"/>
              </w:rPr>
              <w:t>Documents</w:t>
            </w:r>
          </w:p>
        </w:tc>
        <w:tc>
          <w:tcPr>
            <w:tcW w:type="dxa" w:w="1757"/>
            <w:tcMar>
              <w:top w:w="60" w:type="dxa"/>
              <w:start w:w="60" w:type="dxa"/>
              <w:bottom w:w="60" w:type="dxa"/>
              <w:end w:w="60" w:type="dxa"/>
            </w:tcMar>
            <w:vAlign w:val="top"/>
          </w:tcPr>
          <w:p>
            <w:r/>
            <w:r>
              <w:rPr>
                <w:rFonts w:ascii="Aptos" w:hAnsi="Aptos"/>
                <w:sz w:val="12"/>
              </w:rPr>
              <w:t>URL prospectus</w:t>
            </w:r>
          </w:p>
        </w:tc>
        <w:tc>
          <w:tcPr>
            <w:tcW w:type="dxa" w:w="2551"/>
            <w:tcMar>
              <w:top w:w="60" w:type="dxa"/>
              <w:start w:w="60" w:type="dxa"/>
              <w:bottom w:w="60" w:type="dxa"/>
              <w:end w:w="60" w:type="dxa"/>
            </w:tcMar>
            <w:vAlign w:val="top"/>
          </w:tcPr>
          <w:p>
            <w:r/>
            <w:r>
              <w:rPr>
                <w:rFonts w:ascii="Aptos" w:hAnsi="Aptos"/>
                <w:sz w:val="12"/>
              </w:rPr>
              <w:t>Document principal.</w:t>
            </w:r>
          </w:p>
        </w:tc>
        <w:tc>
          <w:tcPr>
            <w:tcW w:type="dxa" w:w="1757"/>
            <w:tcMar>
              <w:top w:w="60" w:type="dxa"/>
              <w:start w:w="60" w:type="dxa"/>
              <w:bottom w:w="60" w:type="dxa"/>
              <w:end w:w="60" w:type="dxa"/>
            </w:tcMar>
            <w:vAlign w:val="top"/>
          </w:tcPr>
          <w:p>
            <w:r/>
            <w:r>
              <w:rPr>
                <w:rFonts w:ascii="Aptos" w:hAnsi="Aptos"/>
                <w:sz w:val="12"/>
              </w:rPr>
              <w:t>Gestionnaire/SEC</w:t>
            </w:r>
          </w:p>
        </w:tc>
        <w:tc>
          <w:tcPr>
            <w:tcW w:type="dxa" w:w="2324"/>
            <w:tcMar>
              <w:top w:w="60" w:type="dxa"/>
              <w:start w:w="60" w:type="dxa"/>
              <w:bottom w:w="60" w:type="dxa"/>
              <w:end w:w="60" w:type="dxa"/>
            </w:tcMar>
            <w:vAlign w:val="top"/>
          </w:tcPr>
          <w:p>
            <w:r/>
            <w:r>
              <w:rPr>
                <w:rFonts w:ascii="Aptos" w:hAnsi="Aptos"/>
                <w:sz w:val="12"/>
              </w:rPr>
              <w:t>Hash et date.</w:t>
            </w:r>
          </w:p>
        </w:tc>
      </w:tr>
      <w:tr>
        <w:tc>
          <w:tcPr>
            <w:tcW w:type="dxa" w:w="397"/>
            <w:tcMar>
              <w:top w:w="60" w:type="dxa"/>
              <w:start w:w="60" w:type="dxa"/>
              <w:bottom w:w="60" w:type="dxa"/>
              <w:end w:w="60" w:type="dxa"/>
            </w:tcMar>
            <w:vAlign w:val="top"/>
          </w:tcPr>
          <w:p>
            <w:r/>
            <w:r>
              <w:rPr>
                <w:rFonts w:ascii="Aptos" w:hAnsi="Aptos"/>
                <w:sz w:val="12"/>
              </w:rPr>
              <w:t>51</w:t>
            </w:r>
          </w:p>
        </w:tc>
        <w:tc>
          <w:tcPr>
            <w:tcW w:type="dxa" w:w="1474"/>
            <w:tcMar>
              <w:top w:w="60" w:type="dxa"/>
              <w:start w:w="60" w:type="dxa"/>
              <w:bottom w:w="60" w:type="dxa"/>
              <w:end w:w="60" w:type="dxa"/>
            </w:tcMar>
            <w:vAlign w:val="top"/>
          </w:tcPr>
          <w:p>
            <w:r/>
            <w:r>
              <w:rPr>
                <w:rFonts w:ascii="Aptos" w:hAnsi="Aptos"/>
                <w:sz w:val="12"/>
              </w:rPr>
              <w:t>Documents</w:t>
            </w:r>
          </w:p>
        </w:tc>
        <w:tc>
          <w:tcPr>
            <w:tcW w:type="dxa" w:w="1757"/>
            <w:tcMar>
              <w:top w:w="60" w:type="dxa"/>
              <w:start w:w="60" w:type="dxa"/>
              <w:bottom w:w="60" w:type="dxa"/>
              <w:end w:w="60" w:type="dxa"/>
            </w:tcMar>
            <w:vAlign w:val="top"/>
          </w:tcPr>
          <w:p>
            <w:r/>
            <w:r>
              <w:rPr>
                <w:rFonts w:ascii="Aptos" w:hAnsi="Aptos"/>
                <w:sz w:val="12"/>
              </w:rPr>
              <w:t>URL supplemental prospectus</w:t>
            </w:r>
          </w:p>
        </w:tc>
        <w:tc>
          <w:tcPr>
            <w:tcW w:type="dxa" w:w="2551"/>
            <w:tcMar>
              <w:top w:w="60" w:type="dxa"/>
              <w:start w:w="60" w:type="dxa"/>
              <w:bottom w:w="60" w:type="dxa"/>
              <w:end w:w="60" w:type="dxa"/>
            </w:tcMar>
            <w:vAlign w:val="top"/>
          </w:tcPr>
          <w:p>
            <w:r/>
            <w:r>
              <w:rPr>
                <w:rFonts w:ascii="Aptos" w:hAnsi="Aptos"/>
                <w:sz w:val="12"/>
              </w:rPr>
              <w:t>Amendements.</w:t>
            </w:r>
          </w:p>
        </w:tc>
        <w:tc>
          <w:tcPr>
            <w:tcW w:type="dxa" w:w="1757"/>
            <w:tcMar>
              <w:top w:w="60" w:type="dxa"/>
              <w:start w:w="60" w:type="dxa"/>
              <w:bottom w:w="60" w:type="dxa"/>
              <w:end w:w="60" w:type="dxa"/>
            </w:tcMar>
            <w:vAlign w:val="top"/>
          </w:tcPr>
          <w:p>
            <w:r/>
            <w:r>
              <w:rPr>
                <w:rFonts w:ascii="Aptos" w:hAnsi="Aptos"/>
                <w:sz w:val="12"/>
              </w:rPr>
              <w:t>Gestionnaire/SEC</w:t>
            </w:r>
          </w:p>
        </w:tc>
        <w:tc>
          <w:tcPr>
            <w:tcW w:type="dxa" w:w="2324"/>
            <w:tcMar>
              <w:top w:w="60" w:type="dxa"/>
              <w:start w:w="60" w:type="dxa"/>
              <w:bottom w:w="60" w:type="dxa"/>
              <w:end w:w="60" w:type="dxa"/>
            </w:tcMar>
            <w:vAlign w:val="top"/>
          </w:tcPr>
          <w:p>
            <w:r/>
            <w:r>
              <w:rPr>
                <w:rFonts w:ascii="Aptos" w:hAnsi="Aptos"/>
                <w:sz w:val="12"/>
              </w:rPr>
              <w:t>Relier au document principal.</w:t>
            </w:r>
          </w:p>
        </w:tc>
      </w:tr>
      <w:tr>
        <w:tc>
          <w:tcPr>
            <w:tcW w:type="dxa" w:w="397"/>
            <w:tcMar>
              <w:top w:w="60" w:type="dxa"/>
              <w:start w:w="60" w:type="dxa"/>
              <w:bottom w:w="60" w:type="dxa"/>
              <w:end w:w="60" w:type="dxa"/>
            </w:tcMar>
            <w:vAlign w:val="top"/>
          </w:tcPr>
          <w:p>
            <w:r/>
            <w:r>
              <w:rPr>
                <w:rFonts w:ascii="Aptos" w:hAnsi="Aptos"/>
                <w:sz w:val="12"/>
              </w:rPr>
              <w:t>52</w:t>
            </w:r>
          </w:p>
        </w:tc>
        <w:tc>
          <w:tcPr>
            <w:tcW w:type="dxa" w:w="1474"/>
            <w:tcMar>
              <w:top w:w="60" w:type="dxa"/>
              <w:start w:w="60" w:type="dxa"/>
              <w:bottom w:w="60" w:type="dxa"/>
              <w:end w:w="60" w:type="dxa"/>
            </w:tcMar>
            <w:vAlign w:val="top"/>
          </w:tcPr>
          <w:p>
            <w:r/>
            <w:r>
              <w:rPr>
                <w:rFonts w:ascii="Aptos" w:hAnsi="Aptos"/>
                <w:sz w:val="12"/>
              </w:rPr>
              <w:t>Documents</w:t>
            </w:r>
          </w:p>
        </w:tc>
        <w:tc>
          <w:tcPr>
            <w:tcW w:type="dxa" w:w="1757"/>
            <w:tcMar>
              <w:top w:w="60" w:type="dxa"/>
              <w:start w:w="60" w:type="dxa"/>
              <w:bottom w:w="60" w:type="dxa"/>
              <w:end w:w="60" w:type="dxa"/>
            </w:tcMar>
            <w:vAlign w:val="top"/>
          </w:tcPr>
          <w:p>
            <w:r/>
            <w:r>
              <w:rPr>
                <w:rFonts w:ascii="Aptos" w:hAnsi="Aptos"/>
                <w:sz w:val="12"/>
              </w:rPr>
              <w:t>URL SID / KID</w:t>
            </w:r>
          </w:p>
        </w:tc>
        <w:tc>
          <w:tcPr>
            <w:tcW w:type="dxa" w:w="2551"/>
            <w:tcMar>
              <w:top w:w="60" w:type="dxa"/>
              <w:start w:w="60" w:type="dxa"/>
              <w:bottom w:w="60" w:type="dxa"/>
              <w:end w:w="60" w:type="dxa"/>
            </w:tcMar>
            <w:vAlign w:val="top"/>
          </w:tcPr>
          <w:p>
            <w:r/>
            <w:r>
              <w:rPr>
                <w:rFonts w:ascii="Aptos" w:hAnsi="Aptos"/>
                <w:sz w:val="12"/>
              </w:rPr>
              <w:t>Document synthétique.</w:t>
            </w:r>
          </w:p>
        </w:tc>
        <w:tc>
          <w:tcPr>
            <w:tcW w:type="dxa" w:w="1757"/>
            <w:tcMar>
              <w:top w:w="60" w:type="dxa"/>
              <w:start w:w="60" w:type="dxa"/>
              <w:bottom w:w="60" w:type="dxa"/>
              <w:end w:w="60" w:type="dxa"/>
            </w:tcMar>
            <w:vAlign w:val="top"/>
          </w:tcPr>
          <w:p>
            <w:r/>
            <w:r>
              <w:rPr>
                <w:rFonts w:ascii="Aptos" w:hAnsi="Aptos"/>
                <w:sz w:val="12"/>
              </w:rPr>
              <w:t>Gestionnaire</w:t>
            </w:r>
          </w:p>
        </w:tc>
        <w:tc>
          <w:tcPr>
            <w:tcW w:type="dxa" w:w="2324"/>
            <w:tcMar>
              <w:top w:w="60" w:type="dxa"/>
              <w:start w:w="60" w:type="dxa"/>
              <w:bottom w:w="60" w:type="dxa"/>
              <w:end w:w="60" w:type="dxa"/>
            </w:tcMar>
            <w:vAlign w:val="top"/>
          </w:tcPr>
          <w:p>
            <w:r/>
            <w:r>
              <w:rPr>
                <w:rFonts w:ascii="Aptos" w:hAnsi="Aptos"/>
                <w:sz w:val="12"/>
              </w:rPr>
              <w:t>Versionner.</w:t>
            </w:r>
          </w:p>
        </w:tc>
      </w:tr>
      <w:tr>
        <w:tc>
          <w:tcPr>
            <w:tcW w:type="dxa" w:w="397"/>
            <w:tcMar>
              <w:top w:w="60" w:type="dxa"/>
              <w:start w:w="60" w:type="dxa"/>
              <w:bottom w:w="60" w:type="dxa"/>
              <w:end w:w="60" w:type="dxa"/>
            </w:tcMar>
            <w:vAlign w:val="top"/>
          </w:tcPr>
          <w:p>
            <w:r/>
            <w:r>
              <w:rPr>
                <w:rFonts w:ascii="Aptos" w:hAnsi="Aptos"/>
                <w:sz w:val="12"/>
              </w:rPr>
              <w:t>53</w:t>
            </w:r>
          </w:p>
        </w:tc>
        <w:tc>
          <w:tcPr>
            <w:tcW w:type="dxa" w:w="1474"/>
            <w:tcMar>
              <w:top w:w="60" w:type="dxa"/>
              <w:start w:w="60" w:type="dxa"/>
              <w:bottom w:w="60" w:type="dxa"/>
              <w:end w:w="60" w:type="dxa"/>
            </w:tcMar>
            <w:vAlign w:val="top"/>
          </w:tcPr>
          <w:p>
            <w:r/>
            <w:r>
              <w:rPr>
                <w:rFonts w:ascii="Aptos" w:hAnsi="Aptos"/>
                <w:sz w:val="12"/>
              </w:rPr>
              <w:t>Documents</w:t>
            </w:r>
          </w:p>
        </w:tc>
        <w:tc>
          <w:tcPr>
            <w:tcW w:type="dxa" w:w="1757"/>
            <w:tcMar>
              <w:top w:w="60" w:type="dxa"/>
              <w:start w:w="60" w:type="dxa"/>
              <w:bottom w:w="60" w:type="dxa"/>
              <w:end w:w="60" w:type="dxa"/>
            </w:tcMar>
            <w:vAlign w:val="top"/>
          </w:tcPr>
          <w:p>
            <w:r/>
            <w:r>
              <w:rPr>
                <w:rFonts w:ascii="Aptos" w:hAnsi="Aptos"/>
                <w:sz w:val="12"/>
              </w:rPr>
              <w:t>URL fact sheet</w:t>
            </w:r>
          </w:p>
        </w:tc>
        <w:tc>
          <w:tcPr>
            <w:tcW w:type="dxa" w:w="2551"/>
            <w:tcMar>
              <w:top w:w="60" w:type="dxa"/>
              <w:start w:w="60" w:type="dxa"/>
              <w:bottom w:w="60" w:type="dxa"/>
              <w:end w:w="60" w:type="dxa"/>
            </w:tcMar>
            <w:vAlign w:val="top"/>
          </w:tcPr>
          <w:p>
            <w:r/>
            <w:r>
              <w:rPr>
                <w:rFonts w:ascii="Aptos" w:hAnsi="Aptos"/>
                <w:sz w:val="12"/>
              </w:rPr>
              <w:t>Fiche périodique.</w:t>
            </w:r>
          </w:p>
        </w:tc>
        <w:tc>
          <w:tcPr>
            <w:tcW w:type="dxa" w:w="1757"/>
            <w:tcMar>
              <w:top w:w="60" w:type="dxa"/>
              <w:start w:w="60" w:type="dxa"/>
              <w:bottom w:w="60" w:type="dxa"/>
              <w:end w:w="60" w:type="dxa"/>
            </w:tcMar>
            <w:vAlign w:val="top"/>
          </w:tcPr>
          <w:p>
            <w:r/>
            <w:r>
              <w:rPr>
                <w:rFonts w:ascii="Aptos" w:hAnsi="Aptos"/>
                <w:sz w:val="12"/>
              </w:rPr>
              <w:t>Gestionnaire</w:t>
            </w:r>
          </w:p>
        </w:tc>
        <w:tc>
          <w:tcPr>
            <w:tcW w:type="dxa" w:w="2324"/>
            <w:tcMar>
              <w:top w:w="60" w:type="dxa"/>
              <w:start w:w="60" w:type="dxa"/>
              <w:bottom w:w="60" w:type="dxa"/>
              <w:end w:w="60" w:type="dxa"/>
            </w:tcMar>
            <w:vAlign w:val="top"/>
          </w:tcPr>
          <w:p>
            <w:r/>
            <w:r>
              <w:rPr>
                <w:rFonts w:ascii="Aptos" w:hAnsi="Aptos"/>
                <w:sz w:val="12"/>
              </w:rPr>
              <w:t>Date de période.</w:t>
            </w:r>
          </w:p>
        </w:tc>
      </w:tr>
      <w:tr>
        <w:tc>
          <w:tcPr>
            <w:tcW w:type="dxa" w:w="397"/>
            <w:tcMar>
              <w:top w:w="60" w:type="dxa"/>
              <w:start w:w="60" w:type="dxa"/>
              <w:bottom w:w="60" w:type="dxa"/>
              <w:end w:w="60" w:type="dxa"/>
            </w:tcMar>
            <w:vAlign w:val="top"/>
          </w:tcPr>
          <w:p>
            <w:r/>
            <w:r>
              <w:rPr>
                <w:rFonts w:ascii="Aptos" w:hAnsi="Aptos"/>
                <w:sz w:val="12"/>
              </w:rPr>
              <w:t>54</w:t>
            </w:r>
          </w:p>
        </w:tc>
        <w:tc>
          <w:tcPr>
            <w:tcW w:type="dxa" w:w="1474"/>
            <w:tcMar>
              <w:top w:w="60" w:type="dxa"/>
              <w:start w:w="60" w:type="dxa"/>
              <w:bottom w:w="60" w:type="dxa"/>
              <w:end w:w="60" w:type="dxa"/>
            </w:tcMar>
            <w:vAlign w:val="top"/>
          </w:tcPr>
          <w:p>
            <w:r/>
            <w:r>
              <w:rPr>
                <w:rFonts w:ascii="Aptos" w:hAnsi="Aptos"/>
                <w:sz w:val="12"/>
              </w:rPr>
              <w:t>Documents</w:t>
            </w:r>
          </w:p>
        </w:tc>
        <w:tc>
          <w:tcPr>
            <w:tcW w:type="dxa" w:w="1757"/>
            <w:tcMar>
              <w:top w:w="60" w:type="dxa"/>
              <w:start w:w="60" w:type="dxa"/>
              <w:bottom w:w="60" w:type="dxa"/>
              <w:end w:w="60" w:type="dxa"/>
            </w:tcMar>
            <w:vAlign w:val="top"/>
          </w:tcPr>
          <w:p>
            <w:r/>
            <w:r>
              <w:rPr>
                <w:rFonts w:ascii="Aptos" w:hAnsi="Aptos"/>
                <w:sz w:val="12"/>
              </w:rPr>
              <w:t>URL annual report</w:t>
            </w:r>
          </w:p>
        </w:tc>
        <w:tc>
          <w:tcPr>
            <w:tcW w:type="dxa" w:w="2551"/>
            <w:tcMar>
              <w:top w:w="60" w:type="dxa"/>
              <w:start w:w="60" w:type="dxa"/>
              <w:bottom w:w="60" w:type="dxa"/>
              <w:end w:w="60" w:type="dxa"/>
            </w:tcMar>
            <w:vAlign w:val="top"/>
          </w:tcPr>
          <w:p>
            <w:r/>
            <w:r>
              <w:rPr>
                <w:rFonts w:ascii="Aptos" w:hAnsi="Aptos"/>
                <w:sz w:val="12"/>
              </w:rPr>
              <w:t>Rapport annuel.</w:t>
            </w:r>
          </w:p>
        </w:tc>
        <w:tc>
          <w:tcPr>
            <w:tcW w:type="dxa" w:w="1757"/>
            <w:tcMar>
              <w:top w:w="60" w:type="dxa"/>
              <w:start w:w="60" w:type="dxa"/>
              <w:bottom w:w="60" w:type="dxa"/>
              <w:end w:w="60" w:type="dxa"/>
            </w:tcMar>
            <w:vAlign w:val="top"/>
          </w:tcPr>
          <w:p>
            <w:r/>
            <w:r>
              <w:rPr>
                <w:rFonts w:ascii="Aptos" w:hAnsi="Aptos"/>
                <w:sz w:val="12"/>
              </w:rPr>
              <w:t>Gestionnaire/SEC</w:t>
            </w:r>
          </w:p>
        </w:tc>
        <w:tc>
          <w:tcPr>
            <w:tcW w:type="dxa" w:w="2324"/>
            <w:tcMar>
              <w:top w:w="60" w:type="dxa"/>
              <w:start w:w="60" w:type="dxa"/>
              <w:bottom w:w="60" w:type="dxa"/>
              <w:end w:w="60" w:type="dxa"/>
            </w:tcMar>
            <w:vAlign w:val="top"/>
          </w:tcPr>
          <w:p>
            <w:r/>
            <w:r>
              <w:rPr>
                <w:rFonts w:ascii="Aptos" w:hAnsi="Aptos"/>
                <w:sz w:val="12"/>
              </w:rPr>
              <w:t>Exercice.</w:t>
            </w:r>
          </w:p>
        </w:tc>
      </w:tr>
      <w:tr>
        <w:tc>
          <w:tcPr>
            <w:tcW w:type="dxa" w:w="397"/>
            <w:tcMar>
              <w:top w:w="60" w:type="dxa"/>
              <w:start w:w="60" w:type="dxa"/>
              <w:bottom w:w="60" w:type="dxa"/>
              <w:end w:w="60" w:type="dxa"/>
            </w:tcMar>
            <w:vAlign w:val="top"/>
          </w:tcPr>
          <w:p>
            <w:r/>
            <w:r>
              <w:rPr>
                <w:rFonts w:ascii="Aptos" w:hAnsi="Aptos"/>
                <w:sz w:val="12"/>
              </w:rPr>
              <w:t>55</w:t>
            </w:r>
          </w:p>
        </w:tc>
        <w:tc>
          <w:tcPr>
            <w:tcW w:type="dxa" w:w="1474"/>
            <w:tcMar>
              <w:top w:w="60" w:type="dxa"/>
              <w:start w:w="60" w:type="dxa"/>
              <w:bottom w:w="60" w:type="dxa"/>
              <w:end w:w="60" w:type="dxa"/>
            </w:tcMar>
            <w:vAlign w:val="top"/>
          </w:tcPr>
          <w:p>
            <w:r/>
            <w:r>
              <w:rPr>
                <w:rFonts w:ascii="Aptos" w:hAnsi="Aptos"/>
                <w:sz w:val="12"/>
              </w:rPr>
              <w:t>Documents</w:t>
            </w:r>
          </w:p>
        </w:tc>
        <w:tc>
          <w:tcPr>
            <w:tcW w:type="dxa" w:w="1757"/>
            <w:tcMar>
              <w:top w:w="60" w:type="dxa"/>
              <w:start w:w="60" w:type="dxa"/>
              <w:bottom w:w="60" w:type="dxa"/>
              <w:end w:w="60" w:type="dxa"/>
            </w:tcMar>
            <w:vAlign w:val="top"/>
          </w:tcPr>
          <w:p>
            <w:r/>
            <w:r>
              <w:rPr>
                <w:rFonts w:ascii="Aptos" w:hAnsi="Aptos"/>
                <w:sz w:val="12"/>
              </w:rPr>
              <w:t>URL audited statements</w:t>
            </w:r>
          </w:p>
        </w:tc>
        <w:tc>
          <w:tcPr>
            <w:tcW w:type="dxa" w:w="2551"/>
            <w:tcMar>
              <w:top w:w="60" w:type="dxa"/>
              <w:start w:w="60" w:type="dxa"/>
              <w:bottom w:w="60" w:type="dxa"/>
              <w:end w:w="60" w:type="dxa"/>
            </w:tcMar>
            <w:vAlign w:val="top"/>
          </w:tcPr>
          <w:p>
            <w:r/>
            <w:r>
              <w:rPr>
                <w:rFonts w:ascii="Aptos" w:hAnsi="Aptos"/>
                <w:sz w:val="12"/>
              </w:rPr>
              <w:t>Comptes audités.</w:t>
            </w:r>
          </w:p>
        </w:tc>
        <w:tc>
          <w:tcPr>
            <w:tcW w:type="dxa" w:w="1757"/>
            <w:tcMar>
              <w:top w:w="60" w:type="dxa"/>
              <w:start w:w="60" w:type="dxa"/>
              <w:bottom w:w="60" w:type="dxa"/>
              <w:end w:w="60" w:type="dxa"/>
            </w:tcMar>
            <w:vAlign w:val="top"/>
          </w:tcPr>
          <w:p>
            <w:r/>
            <w:r>
              <w:rPr>
                <w:rFonts w:ascii="Aptos" w:hAnsi="Aptos"/>
                <w:sz w:val="12"/>
              </w:rPr>
              <w:t>Gestionnaire/SEC</w:t>
            </w:r>
          </w:p>
        </w:tc>
        <w:tc>
          <w:tcPr>
            <w:tcW w:type="dxa" w:w="2324"/>
            <w:tcMar>
              <w:top w:w="60" w:type="dxa"/>
              <w:start w:w="60" w:type="dxa"/>
              <w:bottom w:w="60" w:type="dxa"/>
              <w:end w:w="60" w:type="dxa"/>
            </w:tcMar>
            <w:vAlign w:val="top"/>
          </w:tcPr>
          <w:p>
            <w:r/>
            <w:r>
              <w:rPr>
                <w:rFonts w:ascii="Aptos" w:hAnsi="Aptos"/>
                <w:sz w:val="12"/>
              </w:rPr>
              <w:t>Exercice.</w:t>
            </w:r>
          </w:p>
        </w:tc>
      </w:tr>
      <w:tr>
        <w:tc>
          <w:tcPr>
            <w:tcW w:type="dxa" w:w="397"/>
            <w:tcMar>
              <w:top w:w="60" w:type="dxa"/>
              <w:start w:w="60" w:type="dxa"/>
              <w:bottom w:w="60" w:type="dxa"/>
              <w:end w:w="60" w:type="dxa"/>
            </w:tcMar>
            <w:vAlign w:val="top"/>
          </w:tcPr>
          <w:p>
            <w:r/>
            <w:r>
              <w:rPr>
                <w:rFonts w:ascii="Aptos" w:hAnsi="Aptos"/>
                <w:sz w:val="12"/>
              </w:rPr>
              <w:t>56</w:t>
            </w:r>
          </w:p>
        </w:tc>
        <w:tc>
          <w:tcPr>
            <w:tcW w:type="dxa" w:w="1474"/>
            <w:tcMar>
              <w:top w:w="60" w:type="dxa"/>
              <w:start w:w="60" w:type="dxa"/>
              <w:bottom w:w="60" w:type="dxa"/>
              <w:end w:w="60" w:type="dxa"/>
            </w:tcMar>
            <w:vAlign w:val="top"/>
          </w:tcPr>
          <w:p>
            <w:r/>
            <w:r>
              <w:rPr>
                <w:rFonts w:ascii="Aptos" w:hAnsi="Aptos"/>
                <w:sz w:val="12"/>
              </w:rPr>
              <w:t>Documents</w:t>
            </w:r>
          </w:p>
        </w:tc>
        <w:tc>
          <w:tcPr>
            <w:tcW w:type="dxa" w:w="1757"/>
            <w:tcMar>
              <w:top w:w="60" w:type="dxa"/>
              <w:start w:w="60" w:type="dxa"/>
              <w:bottom w:w="60" w:type="dxa"/>
              <w:end w:w="60" w:type="dxa"/>
            </w:tcMar>
            <w:vAlign w:val="top"/>
          </w:tcPr>
          <w:p>
            <w:r/>
            <w:r>
              <w:rPr>
                <w:rFonts w:ascii="Aptos" w:hAnsi="Aptos"/>
                <w:sz w:val="12"/>
              </w:rPr>
              <w:t>URL avis SEC</w:t>
            </w:r>
          </w:p>
        </w:tc>
        <w:tc>
          <w:tcPr>
            <w:tcW w:type="dxa" w:w="2551"/>
            <w:tcMar>
              <w:top w:w="60" w:type="dxa"/>
              <w:start w:w="60" w:type="dxa"/>
              <w:bottom w:w="60" w:type="dxa"/>
              <w:end w:w="60" w:type="dxa"/>
            </w:tcMar>
            <w:vAlign w:val="top"/>
          </w:tcPr>
          <w:p>
            <w:r/>
            <w:r>
              <w:rPr>
                <w:rFonts w:ascii="Aptos" w:hAnsi="Aptos"/>
                <w:sz w:val="12"/>
              </w:rPr>
              <w:t>Avis, circular ou décision.</w:t>
            </w:r>
          </w:p>
        </w:tc>
        <w:tc>
          <w:tcPr>
            <w:tcW w:type="dxa" w:w="1757"/>
            <w:tcMar>
              <w:top w:w="60" w:type="dxa"/>
              <w:start w:w="60" w:type="dxa"/>
              <w:bottom w:w="60" w:type="dxa"/>
              <w:end w:w="60" w:type="dxa"/>
            </w:tcMar>
            <w:vAlign w:val="top"/>
          </w:tcPr>
          <w:p>
            <w:r/>
            <w:r>
              <w:rPr>
                <w:rFonts w:ascii="Aptos" w:hAnsi="Aptos"/>
                <w:sz w:val="12"/>
              </w:rPr>
              <w:t>SEC</w:t>
            </w:r>
          </w:p>
        </w:tc>
        <w:tc>
          <w:tcPr>
            <w:tcW w:type="dxa" w:w="2324"/>
            <w:tcMar>
              <w:top w:w="60" w:type="dxa"/>
              <w:start w:w="60" w:type="dxa"/>
              <w:bottom w:w="60" w:type="dxa"/>
              <w:end w:w="60" w:type="dxa"/>
            </w:tcMar>
            <w:vAlign w:val="top"/>
          </w:tcPr>
          <w:p>
            <w:r/>
            <w:r>
              <w:rPr>
                <w:rFonts w:ascii="Aptos" w:hAnsi="Aptos"/>
                <w:sz w:val="12"/>
              </w:rPr>
              <w:t>Type et date.</w:t>
            </w:r>
          </w:p>
        </w:tc>
      </w:tr>
      <w:tr>
        <w:tc>
          <w:tcPr>
            <w:tcW w:type="dxa" w:w="397"/>
            <w:tcMar>
              <w:top w:w="60" w:type="dxa"/>
              <w:start w:w="60" w:type="dxa"/>
              <w:bottom w:w="60" w:type="dxa"/>
              <w:end w:w="60" w:type="dxa"/>
            </w:tcMar>
            <w:vAlign w:val="top"/>
          </w:tcPr>
          <w:p>
            <w:r/>
            <w:r>
              <w:rPr>
                <w:rFonts w:ascii="Aptos" w:hAnsi="Aptos"/>
                <w:sz w:val="12"/>
              </w:rPr>
              <w:t>57</w:t>
            </w:r>
          </w:p>
        </w:tc>
        <w:tc>
          <w:tcPr>
            <w:tcW w:type="dxa" w:w="1474"/>
            <w:tcMar>
              <w:top w:w="60" w:type="dxa"/>
              <w:start w:w="60" w:type="dxa"/>
              <w:bottom w:w="60" w:type="dxa"/>
              <w:end w:w="60" w:type="dxa"/>
            </w:tcMar>
            <w:vAlign w:val="top"/>
          </w:tcPr>
          <w:p>
            <w:r/>
            <w:r>
              <w:rPr>
                <w:rFonts w:ascii="Aptos" w:hAnsi="Aptos"/>
                <w:sz w:val="12"/>
              </w:rPr>
              <w:t>Documents</w:t>
            </w:r>
          </w:p>
        </w:tc>
        <w:tc>
          <w:tcPr>
            <w:tcW w:type="dxa" w:w="1757"/>
            <w:tcMar>
              <w:top w:w="60" w:type="dxa"/>
              <w:start w:w="60" w:type="dxa"/>
              <w:bottom w:w="60" w:type="dxa"/>
              <w:end w:w="60" w:type="dxa"/>
            </w:tcMar>
            <w:vAlign w:val="top"/>
          </w:tcPr>
          <w:p>
            <w:r/>
            <w:r>
              <w:rPr>
                <w:rFonts w:ascii="Aptos" w:hAnsi="Aptos"/>
                <w:sz w:val="12"/>
              </w:rPr>
              <w:t>URL offer circular</w:t>
            </w:r>
          </w:p>
        </w:tc>
        <w:tc>
          <w:tcPr>
            <w:tcW w:type="dxa" w:w="2551"/>
            <w:tcMar>
              <w:top w:w="60" w:type="dxa"/>
              <w:start w:w="60" w:type="dxa"/>
              <w:bottom w:w="60" w:type="dxa"/>
              <w:end w:w="60" w:type="dxa"/>
            </w:tcMar>
            <w:vAlign w:val="top"/>
          </w:tcPr>
          <w:p>
            <w:r/>
            <w:r>
              <w:rPr>
                <w:rFonts w:ascii="Aptos" w:hAnsi="Aptos"/>
                <w:sz w:val="12"/>
              </w:rPr>
              <w:t>Document d’offre.</w:t>
            </w:r>
          </w:p>
        </w:tc>
        <w:tc>
          <w:tcPr>
            <w:tcW w:type="dxa" w:w="1757"/>
            <w:tcMar>
              <w:top w:w="60" w:type="dxa"/>
              <w:start w:w="60" w:type="dxa"/>
              <w:bottom w:w="60" w:type="dxa"/>
              <w:end w:w="60" w:type="dxa"/>
            </w:tcMar>
            <w:vAlign w:val="top"/>
          </w:tcPr>
          <w:p>
            <w:r/>
            <w:r>
              <w:rPr>
                <w:rFonts w:ascii="Aptos" w:hAnsi="Aptos"/>
                <w:sz w:val="12"/>
              </w:rPr>
              <w:t>Gestionnaire/SEC/NGX</w:t>
            </w:r>
          </w:p>
        </w:tc>
        <w:tc>
          <w:tcPr>
            <w:tcW w:type="dxa" w:w="2324"/>
            <w:tcMar>
              <w:top w:w="60" w:type="dxa"/>
              <w:start w:w="60" w:type="dxa"/>
              <w:bottom w:w="60" w:type="dxa"/>
              <w:end w:w="60" w:type="dxa"/>
            </w:tcMar>
            <w:vAlign w:val="top"/>
          </w:tcPr>
          <w:p>
            <w:r/>
            <w:r>
              <w:rPr>
                <w:rFonts w:ascii="Aptos" w:hAnsi="Aptos"/>
                <w:sz w:val="12"/>
              </w:rPr>
              <w:t>Date.</w:t>
            </w:r>
          </w:p>
        </w:tc>
      </w:tr>
      <w:tr>
        <w:tc>
          <w:tcPr>
            <w:tcW w:type="dxa" w:w="397"/>
            <w:tcMar>
              <w:top w:w="60" w:type="dxa"/>
              <w:start w:w="60" w:type="dxa"/>
              <w:bottom w:w="60" w:type="dxa"/>
              <w:end w:w="60" w:type="dxa"/>
            </w:tcMar>
            <w:vAlign w:val="top"/>
          </w:tcPr>
          <w:p>
            <w:r/>
            <w:r>
              <w:rPr>
                <w:rFonts w:ascii="Aptos" w:hAnsi="Aptos"/>
                <w:sz w:val="12"/>
              </w:rPr>
              <w:t>58</w:t>
            </w:r>
          </w:p>
        </w:tc>
        <w:tc>
          <w:tcPr>
            <w:tcW w:type="dxa" w:w="1474"/>
            <w:tcMar>
              <w:top w:w="60" w:type="dxa"/>
              <w:start w:w="60" w:type="dxa"/>
              <w:bottom w:w="60" w:type="dxa"/>
              <w:end w:w="60" w:type="dxa"/>
            </w:tcMar>
            <w:vAlign w:val="top"/>
          </w:tcPr>
          <w:p>
            <w:r/>
            <w:r>
              <w:rPr>
                <w:rFonts w:ascii="Aptos" w:hAnsi="Aptos"/>
                <w:sz w:val="12"/>
              </w:rPr>
              <w:t>Documents</w:t>
            </w:r>
          </w:p>
        </w:tc>
        <w:tc>
          <w:tcPr>
            <w:tcW w:type="dxa" w:w="1757"/>
            <w:tcMar>
              <w:top w:w="60" w:type="dxa"/>
              <w:start w:w="60" w:type="dxa"/>
              <w:bottom w:w="60" w:type="dxa"/>
              <w:end w:w="60" w:type="dxa"/>
            </w:tcMar>
            <w:vAlign w:val="top"/>
          </w:tcPr>
          <w:p>
            <w:r/>
            <w:r>
              <w:rPr>
                <w:rFonts w:ascii="Aptos" w:hAnsi="Aptos"/>
                <w:sz w:val="12"/>
              </w:rPr>
              <w:t>URL trust deed</w:t>
            </w:r>
          </w:p>
        </w:tc>
        <w:tc>
          <w:tcPr>
            <w:tcW w:type="dxa" w:w="2551"/>
            <w:tcMar>
              <w:top w:w="60" w:type="dxa"/>
              <w:start w:w="60" w:type="dxa"/>
              <w:bottom w:w="60" w:type="dxa"/>
              <w:end w:w="60" w:type="dxa"/>
            </w:tcMar>
            <w:vAlign w:val="top"/>
          </w:tcPr>
          <w:p>
            <w:r/>
            <w:r>
              <w:rPr>
                <w:rFonts w:ascii="Aptos" w:hAnsi="Aptos"/>
                <w:sz w:val="12"/>
              </w:rPr>
              <w:t>Acte constitutif.</w:t>
            </w:r>
          </w:p>
        </w:tc>
        <w:tc>
          <w:tcPr>
            <w:tcW w:type="dxa" w:w="1757"/>
            <w:tcMar>
              <w:top w:w="60" w:type="dxa"/>
              <w:start w:w="60" w:type="dxa"/>
              <w:bottom w:w="60" w:type="dxa"/>
              <w:end w:w="60" w:type="dxa"/>
            </w:tcMar>
            <w:vAlign w:val="top"/>
          </w:tcPr>
          <w:p>
            <w:r/>
            <w:r>
              <w:rPr>
                <w:rFonts w:ascii="Aptos" w:hAnsi="Aptos"/>
                <w:sz w:val="12"/>
              </w:rPr>
              <w:t>Gestionnaire/SEC</w:t>
            </w:r>
          </w:p>
        </w:tc>
        <w:tc>
          <w:tcPr>
            <w:tcW w:type="dxa" w:w="2324"/>
            <w:tcMar>
              <w:top w:w="60" w:type="dxa"/>
              <w:start w:w="60" w:type="dxa"/>
              <w:bottom w:w="60" w:type="dxa"/>
              <w:end w:w="60" w:type="dxa"/>
            </w:tcMar>
            <w:vAlign w:val="top"/>
          </w:tcPr>
          <w:p>
            <w:r/>
            <w:r>
              <w:rPr>
                <w:rFonts w:ascii="Aptos" w:hAnsi="Aptos"/>
                <w:sz w:val="12"/>
              </w:rPr>
              <w:t>Version.</w:t>
            </w:r>
          </w:p>
        </w:tc>
      </w:tr>
      <w:tr>
        <w:tc>
          <w:tcPr>
            <w:tcW w:type="dxa" w:w="397"/>
            <w:tcMar>
              <w:top w:w="60" w:type="dxa"/>
              <w:start w:w="60" w:type="dxa"/>
              <w:bottom w:w="60" w:type="dxa"/>
              <w:end w:w="60" w:type="dxa"/>
            </w:tcMar>
            <w:vAlign w:val="top"/>
          </w:tcPr>
          <w:p>
            <w:r/>
            <w:r>
              <w:rPr>
                <w:rFonts w:ascii="Aptos" w:hAnsi="Aptos"/>
                <w:sz w:val="12"/>
              </w:rPr>
              <w:t>59</w:t>
            </w:r>
          </w:p>
        </w:tc>
        <w:tc>
          <w:tcPr>
            <w:tcW w:type="dxa" w:w="1474"/>
            <w:tcMar>
              <w:top w:w="60" w:type="dxa"/>
              <w:start w:w="60" w:type="dxa"/>
              <w:bottom w:w="60" w:type="dxa"/>
              <w:end w:w="60" w:type="dxa"/>
            </w:tcMar>
            <w:vAlign w:val="top"/>
          </w:tcPr>
          <w:p>
            <w:r/>
            <w:r>
              <w:rPr>
                <w:rFonts w:ascii="Aptos" w:hAnsi="Aptos"/>
                <w:sz w:val="12"/>
              </w:rPr>
              <w:t>Documents</w:t>
            </w:r>
          </w:p>
        </w:tc>
        <w:tc>
          <w:tcPr>
            <w:tcW w:type="dxa" w:w="1757"/>
            <w:tcMar>
              <w:top w:w="60" w:type="dxa"/>
              <w:start w:w="60" w:type="dxa"/>
              <w:bottom w:w="60" w:type="dxa"/>
              <w:end w:w="60" w:type="dxa"/>
            </w:tcMar>
            <w:vAlign w:val="top"/>
          </w:tcPr>
          <w:p>
            <w:r/>
            <w:r>
              <w:rPr>
                <w:rFonts w:ascii="Aptos" w:hAnsi="Aptos"/>
                <w:sz w:val="12"/>
              </w:rPr>
              <w:t>URL page archivée</w:t>
            </w:r>
          </w:p>
        </w:tc>
        <w:tc>
          <w:tcPr>
            <w:tcW w:type="dxa" w:w="2551"/>
            <w:tcMar>
              <w:top w:w="60" w:type="dxa"/>
              <w:start w:w="60" w:type="dxa"/>
              <w:bottom w:w="60" w:type="dxa"/>
              <w:end w:w="60" w:type="dxa"/>
            </w:tcMar>
            <w:vAlign w:val="top"/>
          </w:tcPr>
          <w:p>
            <w:r/>
            <w:r>
              <w:rPr>
                <w:rFonts w:ascii="Aptos" w:hAnsi="Aptos"/>
                <w:sz w:val="12"/>
              </w:rPr>
              <w:t>Wayback.</w:t>
            </w:r>
          </w:p>
        </w:tc>
        <w:tc>
          <w:tcPr>
            <w:tcW w:type="dxa" w:w="1757"/>
            <w:tcMar>
              <w:top w:w="60" w:type="dxa"/>
              <w:start w:w="60" w:type="dxa"/>
              <w:bottom w:w="60" w:type="dxa"/>
              <w:end w:w="60" w:type="dxa"/>
            </w:tcMar>
            <w:vAlign w:val="top"/>
          </w:tcPr>
          <w:p>
            <w:r/>
            <w:r>
              <w:rPr>
                <w:rFonts w:ascii="Aptos" w:hAnsi="Aptos"/>
                <w:sz w:val="12"/>
              </w:rPr>
              <w:t>Archive</w:t>
            </w:r>
          </w:p>
        </w:tc>
        <w:tc>
          <w:tcPr>
            <w:tcW w:type="dxa" w:w="2324"/>
            <w:tcMar>
              <w:top w:w="60" w:type="dxa"/>
              <w:start w:w="60" w:type="dxa"/>
              <w:bottom w:w="60" w:type="dxa"/>
              <w:end w:w="60" w:type="dxa"/>
            </w:tcMar>
            <w:vAlign w:val="top"/>
          </w:tcPr>
          <w:p>
            <w:r/>
            <w:r>
              <w:rPr>
                <w:rFonts w:ascii="Aptos" w:hAnsi="Aptos"/>
                <w:sz w:val="12"/>
              </w:rPr>
              <w:t>Snapshot date.</w:t>
            </w:r>
          </w:p>
        </w:tc>
      </w:tr>
      <w:tr>
        <w:tc>
          <w:tcPr>
            <w:tcW w:type="dxa" w:w="397"/>
            <w:tcMar>
              <w:top w:w="60" w:type="dxa"/>
              <w:start w:w="60" w:type="dxa"/>
              <w:bottom w:w="60" w:type="dxa"/>
              <w:end w:w="60" w:type="dxa"/>
            </w:tcMar>
            <w:vAlign w:val="top"/>
          </w:tcPr>
          <w:p>
            <w:r/>
            <w:r>
              <w:rPr>
                <w:rFonts w:ascii="Aptos" w:hAnsi="Aptos"/>
                <w:sz w:val="12"/>
              </w:rPr>
              <w:t>60</w:t>
            </w:r>
          </w:p>
        </w:tc>
        <w:tc>
          <w:tcPr>
            <w:tcW w:type="dxa" w:w="1474"/>
            <w:tcMar>
              <w:top w:w="60" w:type="dxa"/>
              <w:start w:w="60" w:type="dxa"/>
              <w:bottom w:w="60" w:type="dxa"/>
              <w:end w:w="60" w:type="dxa"/>
            </w:tcMar>
            <w:vAlign w:val="top"/>
          </w:tcPr>
          <w:p>
            <w:r/>
            <w:r>
              <w:rPr>
                <w:rFonts w:ascii="Aptos" w:hAnsi="Aptos"/>
                <w:sz w:val="12"/>
              </w:rPr>
              <w:t>Preuve</w:t>
            </w:r>
          </w:p>
        </w:tc>
        <w:tc>
          <w:tcPr>
            <w:tcW w:type="dxa" w:w="1757"/>
            <w:tcMar>
              <w:top w:w="60" w:type="dxa"/>
              <w:start w:w="60" w:type="dxa"/>
              <w:bottom w:w="60" w:type="dxa"/>
              <w:end w:w="60" w:type="dxa"/>
            </w:tcMar>
            <w:vAlign w:val="top"/>
          </w:tcPr>
          <w:p>
            <w:r/>
            <w:r>
              <w:rPr>
                <w:rFonts w:ascii="Aptos" w:hAnsi="Aptos"/>
                <w:sz w:val="12"/>
              </w:rPr>
              <w:t>Liste des sources vérifiées</w:t>
            </w:r>
          </w:p>
        </w:tc>
        <w:tc>
          <w:tcPr>
            <w:tcW w:type="dxa" w:w="2551"/>
            <w:tcMar>
              <w:top w:w="60" w:type="dxa"/>
              <w:start w:w="60" w:type="dxa"/>
              <w:bottom w:w="60" w:type="dxa"/>
              <w:end w:w="60" w:type="dxa"/>
            </w:tcMar>
            <w:vAlign w:val="top"/>
          </w:tcPr>
          <w:p>
            <w:r/>
            <w:r>
              <w:rPr>
                <w:rFonts w:ascii="Aptos" w:hAnsi="Aptos"/>
                <w:sz w:val="12"/>
              </w:rPr>
              <w:t>Références par claim.</w:t>
            </w:r>
          </w:p>
        </w:tc>
        <w:tc>
          <w:tcPr>
            <w:tcW w:type="dxa" w:w="1757"/>
            <w:tcMar>
              <w:top w:w="60" w:type="dxa"/>
              <w:start w:w="60" w:type="dxa"/>
              <w:bottom w:w="60" w:type="dxa"/>
              <w:end w:w="60" w:type="dxa"/>
            </w:tcMar>
            <w:vAlign w:val="top"/>
          </w:tcPr>
          <w:p>
            <w:r/>
            <w:r>
              <w:rPr>
                <w:rFonts w:ascii="Aptos" w:hAnsi="Aptos"/>
                <w:sz w:val="12"/>
              </w:rPr>
              <w:t>Journal de preuve</w:t>
            </w:r>
          </w:p>
        </w:tc>
        <w:tc>
          <w:tcPr>
            <w:tcW w:type="dxa" w:w="2324"/>
            <w:tcMar>
              <w:top w:w="60" w:type="dxa"/>
              <w:start w:w="60" w:type="dxa"/>
              <w:bottom w:w="60" w:type="dxa"/>
              <w:end w:w="60" w:type="dxa"/>
            </w:tcMar>
            <w:vAlign w:val="top"/>
          </w:tcPr>
          <w:p>
            <w:r/>
            <w:r>
              <w:rPr>
                <w:rFonts w:ascii="Aptos" w:hAnsi="Aptos"/>
                <w:sz w:val="12"/>
              </w:rPr>
              <w:t>Pas seulement une URL globale.</w:t>
            </w:r>
          </w:p>
        </w:tc>
      </w:tr>
      <w:tr>
        <w:tc>
          <w:tcPr>
            <w:tcW w:type="dxa" w:w="397"/>
            <w:tcMar>
              <w:top w:w="60" w:type="dxa"/>
              <w:start w:w="60" w:type="dxa"/>
              <w:bottom w:w="60" w:type="dxa"/>
              <w:end w:w="60" w:type="dxa"/>
            </w:tcMar>
            <w:vAlign w:val="top"/>
          </w:tcPr>
          <w:p>
            <w:r/>
            <w:r>
              <w:rPr>
                <w:rFonts w:ascii="Aptos" w:hAnsi="Aptos"/>
                <w:sz w:val="12"/>
              </w:rPr>
              <w:t>61</w:t>
            </w:r>
          </w:p>
        </w:tc>
        <w:tc>
          <w:tcPr>
            <w:tcW w:type="dxa" w:w="1474"/>
            <w:tcMar>
              <w:top w:w="60" w:type="dxa"/>
              <w:start w:w="60" w:type="dxa"/>
              <w:bottom w:w="60" w:type="dxa"/>
              <w:end w:w="60" w:type="dxa"/>
            </w:tcMar>
            <w:vAlign w:val="top"/>
          </w:tcPr>
          <w:p>
            <w:r/>
            <w:r>
              <w:rPr>
                <w:rFonts w:ascii="Aptos" w:hAnsi="Aptos"/>
                <w:sz w:val="12"/>
              </w:rPr>
              <w:t>Preuve</w:t>
            </w:r>
          </w:p>
        </w:tc>
        <w:tc>
          <w:tcPr>
            <w:tcW w:type="dxa" w:w="1757"/>
            <w:tcMar>
              <w:top w:w="60" w:type="dxa"/>
              <w:start w:w="60" w:type="dxa"/>
              <w:bottom w:w="60" w:type="dxa"/>
              <w:end w:w="60" w:type="dxa"/>
            </w:tcMar>
            <w:vAlign w:val="top"/>
          </w:tcPr>
          <w:p>
            <w:r/>
            <w:r>
              <w:rPr>
                <w:rFonts w:ascii="Aptos" w:hAnsi="Aptos"/>
                <w:sz w:val="12"/>
              </w:rPr>
              <w:t>Niveau de confiance global</w:t>
            </w:r>
          </w:p>
        </w:tc>
        <w:tc>
          <w:tcPr>
            <w:tcW w:type="dxa" w:w="2551"/>
            <w:tcMar>
              <w:top w:w="60" w:type="dxa"/>
              <w:start w:w="60" w:type="dxa"/>
              <w:bottom w:w="60" w:type="dxa"/>
              <w:end w:w="60" w:type="dxa"/>
            </w:tcMar>
            <w:vAlign w:val="top"/>
          </w:tcPr>
          <w:p>
            <w:r/>
            <w:r>
              <w:rPr>
                <w:rFonts w:ascii="Aptos" w:hAnsi="Aptos"/>
                <w:sz w:val="12"/>
              </w:rPr>
              <w:t>Score synthétique.</w:t>
            </w:r>
          </w:p>
        </w:tc>
        <w:tc>
          <w:tcPr>
            <w:tcW w:type="dxa" w:w="1757"/>
            <w:tcMar>
              <w:top w:w="60" w:type="dxa"/>
              <w:start w:w="60" w:type="dxa"/>
              <w:bottom w:w="60" w:type="dxa"/>
              <w:end w:w="60" w:type="dxa"/>
            </w:tcMar>
            <w:vAlign w:val="top"/>
          </w:tcPr>
          <w:p>
            <w:r/>
            <w:r>
              <w:rPr>
                <w:rFonts w:ascii="Aptos" w:hAnsi="Aptos"/>
                <w:sz w:val="12"/>
              </w:rPr>
              <w:t>Calcul/revue</w:t>
            </w:r>
          </w:p>
        </w:tc>
        <w:tc>
          <w:tcPr>
            <w:tcW w:type="dxa" w:w="2324"/>
            <w:tcMar>
              <w:top w:w="60" w:type="dxa"/>
              <w:start w:w="60" w:type="dxa"/>
              <w:bottom w:w="60" w:type="dxa"/>
              <w:end w:w="60" w:type="dxa"/>
            </w:tcMar>
            <w:vAlign w:val="top"/>
          </w:tcPr>
          <w:p>
            <w:r/>
            <w:r>
              <w:rPr>
                <w:rFonts w:ascii="Aptos" w:hAnsi="Aptos"/>
                <w:sz w:val="12"/>
              </w:rPr>
              <w:t>Ne remplace pas score par champ.</w:t>
            </w:r>
          </w:p>
        </w:tc>
      </w:tr>
      <w:tr>
        <w:tc>
          <w:tcPr>
            <w:tcW w:type="dxa" w:w="397"/>
            <w:tcMar>
              <w:top w:w="60" w:type="dxa"/>
              <w:start w:w="60" w:type="dxa"/>
              <w:bottom w:w="60" w:type="dxa"/>
              <w:end w:w="60" w:type="dxa"/>
            </w:tcMar>
            <w:vAlign w:val="top"/>
          </w:tcPr>
          <w:p>
            <w:r/>
            <w:r>
              <w:rPr>
                <w:rFonts w:ascii="Aptos" w:hAnsi="Aptos"/>
                <w:sz w:val="12"/>
              </w:rPr>
              <w:t>62</w:t>
            </w:r>
          </w:p>
        </w:tc>
        <w:tc>
          <w:tcPr>
            <w:tcW w:type="dxa" w:w="1474"/>
            <w:tcMar>
              <w:top w:w="60" w:type="dxa"/>
              <w:start w:w="60" w:type="dxa"/>
              <w:bottom w:w="60" w:type="dxa"/>
              <w:end w:w="60" w:type="dxa"/>
            </w:tcMar>
            <w:vAlign w:val="top"/>
          </w:tcPr>
          <w:p>
            <w:r/>
            <w:r>
              <w:rPr>
                <w:rFonts w:ascii="Aptos" w:hAnsi="Aptos"/>
                <w:sz w:val="12"/>
              </w:rPr>
              <w:t>Preuve</w:t>
            </w:r>
          </w:p>
        </w:tc>
        <w:tc>
          <w:tcPr>
            <w:tcW w:type="dxa" w:w="1757"/>
            <w:tcMar>
              <w:top w:w="60" w:type="dxa"/>
              <w:start w:w="60" w:type="dxa"/>
              <w:bottom w:w="60" w:type="dxa"/>
              <w:end w:w="60" w:type="dxa"/>
            </w:tcMar>
            <w:vAlign w:val="top"/>
          </w:tcPr>
          <w:p>
            <w:r/>
            <w:r>
              <w:rPr>
                <w:rFonts w:ascii="Aptos" w:hAnsi="Aptos"/>
                <w:sz w:val="12"/>
              </w:rPr>
              <w:t>Date de dernière vérification</w:t>
            </w:r>
          </w:p>
        </w:tc>
        <w:tc>
          <w:tcPr>
            <w:tcW w:type="dxa" w:w="2551"/>
            <w:tcMar>
              <w:top w:w="60" w:type="dxa"/>
              <w:start w:w="60" w:type="dxa"/>
              <w:bottom w:w="60" w:type="dxa"/>
              <w:end w:w="60" w:type="dxa"/>
            </w:tcMar>
            <w:vAlign w:val="top"/>
          </w:tcPr>
          <w:p>
            <w:r/>
            <w:r>
              <w:rPr>
                <w:rFonts w:ascii="Aptos" w:hAnsi="Aptos"/>
                <w:sz w:val="12"/>
              </w:rPr>
              <w:t>Dernier contrôle.</w:t>
            </w:r>
          </w:p>
        </w:tc>
        <w:tc>
          <w:tcPr>
            <w:tcW w:type="dxa" w:w="1757"/>
            <w:tcMar>
              <w:top w:w="60" w:type="dxa"/>
              <w:start w:w="60" w:type="dxa"/>
              <w:bottom w:w="60" w:type="dxa"/>
              <w:end w:w="60" w:type="dxa"/>
            </w:tcMar>
            <w:vAlign w:val="top"/>
          </w:tcPr>
          <w:p>
            <w:r/>
            <w:r>
              <w:rPr>
                <w:rFonts w:ascii="Aptos" w:hAnsi="Aptos"/>
                <w:sz w:val="12"/>
              </w:rPr>
              <w:t>Système</w:t>
            </w:r>
          </w:p>
        </w:tc>
        <w:tc>
          <w:tcPr>
            <w:tcW w:type="dxa" w:w="2324"/>
            <w:tcMar>
              <w:top w:w="60" w:type="dxa"/>
              <w:start w:w="60" w:type="dxa"/>
              <w:bottom w:w="60" w:type="dxa"/>
              <w:end w:w="60" w:type="dxa"/>
            </w:tcMar>
            <w:vAlign w:val="top"/>
          </w:tcPr>
          <w:p>
            <w:r/>
            <w:r>
              <w:rPr>
                <w:rFonts w:ascii="Aptos" w:hAnsi="Aptos"/>
                <w:sz w:val="12"/>
              </w:rPr>
              <w:t>Horodatage.</w:t>
            </w:r>
          </w:p>
        </w:tc>
      </w:tr>
      <w:tr>
        <w:tc>
          <w:tcPr>
            <w:tcW w:type="dxa" w:w="397"/>
            <w:tcMar>
              <w:top w:w="60" w:type="dxa"/>
              <w:start w:w="60" w:type="dxa"/>
              <w:bottom w:w="60" w:type="dxa"/>
              <w:end w:w="60" w:type="dxa"/>
            </w:tcMar>
            <w:vAlign w:val="top"/>
          </w:tcPr>
          <w:p>
            <w:r/>
            <w:r>
              <w:rPr>
                <w:rFonts w:ascii="Aptos" w:hAnsi="Aptos"/>
                <w:sz w:val="12"/>
              </w:rPr>
              <w:t>63</w:t>
            </w:r>
          </w:p>
        </w:tc>
        <w:tc>
          <w:tcPr>
            <w:tcW w:type="dxa" w:w="1474"/>
            <w:tcMar>
              <w:top w:w="60" w:type="dxa"/>
              <w:start w:w="60" w:type="dxa"/>
              <w:bottom w:w="60" w:type="dxa"/>
              <w:end w:w="60" w:type="dxa"/>
            </w:tcMar>
            <w:vAlign w:val="top"/>
          </w:tcPr>
          <w:p>
            <w:r/>
            <w:r>
              <w:rPr>
                <w:rFonts w:ascii="Aptos" w:hAnsi="Aptos"/>
                <w:sz w:val="12"/>
              </w:rPr>
              <w:t>Événement</w:t>
            </w:r>
          </w:p>
        </w:tc>
        <w:tc>
          <w:tcPr>
            <w:tcW w:type="dxa" w:w="1757"/>
            <w:tcMar>
              <w:top w:w="60" w:type="dxa"/>
              <w:start w:w="60" w:type="dxa"/>
              <w:bottom w:w="60" w:type="dxa"/>
              <w:end w:w="60" w:type="dxa"/>
            </w:tcMar>
            <w:vAlign w:val="top"/>
          </w:tcPr>
          <w:p>
            <w:r/>
            <w:r>
              <w:rPr>
                <w:rFonts w:ascii="Aptos" w:hAnsi="Aptos"/>
                <w:sz w:val="12"/>
              </w:rPr>
              <w:t>Changements de nom</w:t>
            </w:r>
          </w:p>
        </w:tc>
        <w:tc>
          <w:tcPr>
            <w:tcW w:type="dxa" w:w="2551"/>
            <w:tcMar>
              <w:top w:w="60" w:type="dxa"/>
              <w:start w:w="60" w:type="dxa"/>
              <w:bottom w:w="60" w:type="dxa"/>
              <w:end w:w="60" w:type="dxa"/>
            </w:tcMar>
            <w:vAlign w:val="top"/>
          </w:tcPr>
          <w:p>
            <w:r/>
            <w:r>
              <w:rPr>
                <w:rFonts w:ascii="Aptos" w:hAnsi="Aptos"/>
                <w:sz w:val="12"/>
              </w:rPr>
              <w:t>Liste datée.</w:t>
            </w:r>
          </w:p>
        </w:tc>
        <w:tc>
          <w:tcPr>
            <w:tcW w:type="dxa" w:w="1757"/>
            <w:tcMar>
              <w:top w:w="60" w:type="dxa"/>
              <w:start w:w="60" w:type="dxa"/>
              <w:bottom w:w="60" w:type="dxa"/>
              <w:end w:w="60" w:type="dxa"/>
            </w:tcMar>
            <w:vAlign w:val="top"/>
          </w:tcPr>
          <w:p>
            <w:r/>
            <w:r>
              <w:rPr>
                <w:rFonts w:ascii="Aptos" w:hAnsi="Aptos"/>
                <w:sz w:val="12"/>
              </w:rPr>
              <w:t>Avis/prospectus</w:t>
            </w:r>
          </w:p>
        </w:tc>
        <w:tc>
          <w:tcPr>
            <w:tcW w:type="dxa" w:w="2324"/>
            <w:tcMar>
              <w:top w:w="60" w:type="dxa"/>
              <w:start w:w="60" w:type="dxa"/>
              <w:bottom w:w="60" w:type="dxa"/>
              <w:end w:w="60" w:type="dxa"/>
            </w:tcMar>
            <w:vAlign w:val="top"/>
          </w:tcPr>
          <w:p>
            <w:r/>
            <w:r>
              <w:rPr>
                <w:rFonts w:ascii="Aptos" w:hAnsi="Aptos"/>
                <w:sz w:val="12"/>
              </w:rPr>
              <w:t>Conserver avant/après.</w:t>
            </w:r>
          </w:p>
        </w:tc>
      </w:tr>
      <w:tr>
        <w:tc>
          <w:tcPr>
            <w:tcW w:type="dxa" w:w="397"/>
            <w:tcMar>
              <w:top w:w="60" w:type="dxa"/>
              <w:start w:w="60" w:type="dxa"/>
              <w:bottom w:w="60" w:type="dxa"/>
              <w:end w:w="60" w:type="dxa"/>
            </w:tcMar>
            <w:vAlign w:val="top"/>
          </w:tcPr>
          <w:p>
            <w:r/>
            <w:r>
              <w:rPr>
                <w:rFonts w:ascii="Aptos" w:hAnsi="Aptos"/>
                <w:sz w:val="12"/>
              </w:rPr>
              <w:t>64</w:t>
            </w:r>
          </w:p>
        </w:tc>
        <w:tc>
          <w:tcPr>
            <w:tcW w:type="dxa" w:w="1474"/>
            <w:tcMar>
              <w:top w:w="60" w:type="dxa"/>
              <w:start w:w="60" w:type="dxa"/>
              <w:bottom w:w="60" w:type="dxa"/>
              <w:end w:w="60" w:type="dxa"/>
            </w:tcMar>
            <w:vAlign w:val="top"/>
          </w:tcPr>
          <w:p>
            <w:r/>
            <w:r>
              <w:rPr>
                <w:rFonts w:ascii="Aptos" w:hAnsi="Aptos"/>
                <w:sz w:val="12"/>
              </w:rPr>
              <w:t>Événement</w:t>
            </w:r>
          </w:p>
        </w:tc>
        <w:tc>
          <w:tcPr>
            <w:tcW w:type="dxa" w:w="1757"/>
            <w:tcMar>
              <w:top w:w="60" w:type="dxa"/>
              <w:start w:w="60" w:type="dxa"/>
              <w:bottom w:w="60" w:type="dxa"/>
              <w:end w:w="60" w:type="dxa"/>
            </w:tcMar>
            <w:vAlign w:val="top"/>
          </w:tcPr>
          <w:p>
            <w:r/>
            <w:r>
              <w:rPr>
                <w:rFonts w:ascii="Aptos" w:hAnsi="Aptos"/>
                <w:sz w:val="12"/>
              </w:rPr>
              <w:t>Changements de gestionnaire</w:t>
            </w:r>
          </w:p>
        </w:tc>
        <w:tc>
          <w:tcPr>
            <w:tcW w:type="dxa" w:w="2551"/>
            <w:tcMar>
              <w:top w:w="60" w:type="dxa"/>
              <w:start w:w="60" w:type="dxa"/>
              <w:bottom w:w="60" w:type="dxa"/>
              <w:end w:w="60" w:type="dxa"/>
            </w:tcMar>
            <w:vAlign w:val="top"/>
          </w:tcPr>
          <w:p>
            <w:r/>
            <w:r>
              <w:rPr>
                <w:rFonts w:ascii="Aptos" w:hAnsi="Aptos"/>
                <w:sz w:val="12"/>
              </w:rPr>
              <w:t>Liste datée.</w:t>
            </w:r>
          </w:p>
        </w:tc>
        <w:tc>
          <w:tcPr>
            <w:tcW w:type="dxa" w:w="1757"/>
            <w:tcMar>
              <w:top w:w="60" w:type="dxa"/>
              <w:start w:w="60" w:type="dxa"/>
              <w:bottom w:w="60" w:type="dxa"/>
              <w:end w:w="60" w:type="dxa"/>
            </w:tcMar>
            <w:vAlign w:val="top"/>
          </w:tcPr>
          <w:p>
            <w:r/>
            <w:r>
              <w:rPr>
                <w:rFonts w:ascii="Aptos" w:hAnsi="Aptos"/>
                <w:sz w:val="12"/>
              </w:rPr>
              <w:t>SEC/rapports</w:t>
            </w:r>
          </w:p>
        </w:tc>
        <w:tc>
          <w:tcPr>
            <w:tcW w:type="dxa" w:w="2324"/>
            <w:tcMar>
              <w:top w:w="60" w:type="dxa"/>
              <w:start w:w="60" w:type="dxa"/>
              <w:bottom w:w="60" w:type="dxa"/>
              <w:end w:w="60" w:type="dxa"/>
            </w:tcMar>
            <w:vAlign w:val="top"/>
          </w:tcPr>
          <w:p>
            <w:r/>
            <w:r>
              <w:rPr>
                <w:rFonts w:ascii="Aptos" w:hAnsi="Aptos"/>
                <w:sz w:val="12"/>
              </w:rPr>
              <w:t>Distinguer rename/transfer.</w:t>
            </w:r>
          </w:p>
        </w:tc>
      </w:tr>
      <w:tr>
        <w:tc>
          <w:tcPr>
            <w:tcW w:type="dxa" w:w="397"/>
            <w:tcMar>
              <w:top w:w="60" w:type="dxa"/>
              <w:start w:w="60" w:type="dxa"/>
              <w:bottom w:w="60" w:type="dxa"/>
              <w:end w:w="60" w:type="dxa"/>
            </w:tcMar>
            <w:vAlign w:val="top"/>
          </w:tcPr>
          <w:p>
            <w:r/>
            <w:r>
              <w:rPr>
                <w:rFonts w:ascii="Aptos" w:hAnsi="Aptos"/>
                <w:sz w:val="12"/>
              </w:rPr>
              <w:t>65</w:t>
            </w:r>
          </w:p>
        </w:tc>
        <w:tc>
          <w:tcPr>
            <w:tcW w:type="dxa" w:w="1474"/>
            <w:tcMar>
              <w:top w:w="60" w:type="dxa"/>
              <w:start w:w="60" w:type="dxa"/>
              <w:bottom w:w="60" w:type="dxa"/>
              <w:end w:w="60" w:type="dxa"/>
            </w:tcMar>
            <w:vAlign w:val="top"/>
          </w:tcPr>
          <w:p>
            <w:r/>
            <w:r>
              <w:rPr>
                <w:rFonts w:ascii="Aptos" w:hAnsi="Aptos"/>
                <w:sz w:val="12"/>
              </w:rPr>
              <w:t>Événement</w:t>
            </w:r>
          </w:p>
        </w:tc>
        <w:tc>
          <w:tcPr>
            <w:tcW w:type="dxa" w:w="1757"/>
            <w:tcMar>
              <w:top w:w="60" w:type="dxa"/>
              <w:start w:w="60" w:type="dxa"/>
              <w:bottom w:w="60" w:type="dxa"/>
              <w:end w:w="60" w:type="dxa"/>
            </w:tcMar>
            <w:vAlign w:val="top"/>
          </w:tcPr>
          <w:p>
            <w:r/>
            <w:r>
              <w:rPr>
                <w:rFonts w:ascii="Aptos" w:hAnsi="Aptos"/>
                <w:sz w:val="12"/>
              </w:rPr>
              <w:t>Fusion</w:t>
            </w:r>
          </w:p>
        </w:tc>
        <w:tc>
          <w:tcPr>
            <w:tcW w:type="dxa" w:w="2551"/>
            <w:tcMar>
              <w:top w:w="60" w:type="dxa"/>
              <w:start w:w="60" w:type="dxa"/>
              <w:bottom w:w="60" w:type="dxa"/>
              <w:end w:w="60" w:type="dxa"/>
            </w:tcMar>
            <w:vAlign w:val="top"/>
          </w:tcPr>
          <w:p>
            <w:r/>
            <w:r>
              <w:rPr>
                <w:rFonts w:ascii="Aptos" w:hAnsi="Aptos"/>
                <w:sz w:val="12"/>
              </w:rPr>
              <w:t>Fonds reliés et date.</w:t>
            </w:r>
          </w:p>
        </w:tc>
        <w:tc>
          <w:tcPr>
            <w:tcW w:type="dxa" w:w="1757"/>
            <w:tcMar>
              <w:top w:w="60" w:type="dxa"/>
              <w:start w:w="60" w:type="dxa"/>
              <w:bottom w:w="60" w:type="dxa"/>
              <w:end w:w="60" w:type="dxa"/>
            </w:tcMar>
            <w:vAlign w:val="top"/>
          </w:tcPr>
          <w:p>
            <w:r/>
            <w:r>
              <w:rPr>
                <w:rFonts w:ascii="Aptos" w:hAnsi="Aptos"/>
                <w:sz w:val="12"/>
              </w:rPr>
              <w:t>Avis officiel</w:t>
            </w:r>
          </w:p>
        </w:tc>
        <w:tc>
          <w:tcPr>
            <w:tcW w:type="dxa" w:w="2324"/>
            <w:tcMar>
              <w:top w:w="60" w:type="dxa"/>
              <w:start w:w="60" w:type="dxa"/>
              <w:bottom w:w="60" w:type="dxa"/>
              <w:end w:w="60" w:type="dxa"/>
            </w:tcMar>
            <w:vAlign w:val="top"/>
          </w:tcPr>
          <w:p>
            <w:r/>
            <w:r>
              <w:rPr>
                <w:rFonts w:ascii="Aptos" w:hAnsi="Aptos"/>
                <w:sz w:val="12"/>
              </w:rPr>
              <w:t>Ne pas concaténer sans méthode.</w:t>
            </w:r>
          </w:p>
        </w:tc>
      </w:tr>
      <w:tr>
        <w:tc>
          <w:tcPr>
            <w:tcW w:type="dxa" w:w="397"/>
            <w:tcMar>
              <w:top w:w="60" w:type="dxa"/>
              <w:start w:w="60" w:type="dxa"/>
              <w:bottom w:w="60" w:type="dxa"/>
              <w:end w:w="60" w:type="dxa"/>
            </w:tcMar>
            <w:vAlign w:val="top"/>
          </w:tcPr>
          <w:p>
            <w:r/>
            <w:r>
              <w:rPr>
                <w:rFonts w:ascii="Aptos" w:hAnsi="Aptos"/>
                <w:sz w:val="12"/>
              </w:rPr>
              <w:t>66</w:t>
            </w:r>
          </w:p>
        </w:tc>
        <w:tc>
          <w:tcPr>
            <w:tcW w:type="dxa" w:w="1474"/>
            <w:tcMar>
              <w:top w:w="60" w:type="dxa"/>
              <w:start w:w="60" w:type="dxa"/>
              <w:bottom w:w="60" w:type="dxa"/>
              <w:end w:w="60" w:type="dxa"/>
            </w:tcMar>
            <w:vAlign w:val="top"/>
          </w:tcPr>
          <w:p>
            <w:r/>
            <w:r>
              <w:rPr>
                <w:rFonts w:ascii="Aptos" w:hAnsi="Aptos"/>
                <w:sz w:val="12"/>
              </w:rPr>
              <w:t>Événement</w:t>
            </w:r>
          </w:p>
        </w:tc>
        <w:tc>
          <w:tcPr>
            <w:tcW w:type="dxa" w:w="1757"/>
            <w:tcMar>
              <w:top w:w="60" w:type="dxa"/>
              <w:start w:w="60" w:type="dxa"/>
              <w:bottom w:w="60" w:type="dxa"/>
              <w:end w:w="60" w:type="dxa"/>
            </w:tcMar>
            <w:vAlign w:val="top"/>
          </w:tcPr>
          <w:p>
            <w:r/>
            <w:r>
              <w:rPr>
                <w:rFonts w:ascii="Aptos" w:hAnsi="Aptos"/>
                <w:sz w:val="12"/>
              </w:rPr>
              <w:t>Absorption</w:t>
            </w:r>
          </w:p>
        </w:tc>
        <w:tc>
          <w:tcPr>
            <w:tcW w:type="dxa" w:w="2551"/>
            <w:tcMar>
              <w:top w:w="60" w:type="dxa"/>
              <w:start w:w="60" w:type="dxa"/>
              <w:bottom w:w="60" w:type="dxa"/>
              <w:end w:w="60" w:type="dxa"/>
            </w:tcMar>
            <w:vAlign w:val="top"/>
          </w:tcPr>
          <w:p>
            <w:r/>
            <w:r>
              <w:rPr>
                <w:rFonts w:ascii="Aptos" w:hAnsi="Aptos"/>
                <w:sz w:val="12"/>
              </w:rPr>
              <w:t>Source/cible et date.</w:t>
            </w:r>
          </w:p>
        </w:tc>
        <w:tc>
          <w:tcPr>
            <w:tcW w:type="dxa" w:w="1757"/>
            <w:tcMar>
              <w:top w:w="60" w:type="dxa"/>
              <w:start w:w="60" w:type="dxa"/>
              <w:bottom w:w="60" w:type="dxa"/>
              <w:end w:w="60" w:type="dxa"/>
            </w:tcMar>
            <w:vAlign w:val="top"/>
          </w:tcPr>
          <w:p>
            <w:r/>
            <w:r>
              <w:rPr>
                <w:rFonts w:ascii="Aptos" w:hAnsi="Aptos"/>
                <w:sz w:val="12"/>
              </w:rPr>
              <w:t>Avis officiel</w:t>
            </w:r>
          </w:p>
        </w:tc>
        <w:tc>
          <w:tcPr>
            <w:tcW w:type="dxa" w:w="2324"/>
            <w:tcMar>
              <w:top w:w="60" w:type="dxa"/>
              <w:start w:w="60" w:type="dxa"/>
              <w:bottom w:w="60" w:type="dxa"/>
              <w:end w:w="60" w:type="dxa"/>
            </w:tcMar>
            <w:vAlign w:val="top"/>
          </w:tcPr>
          <w:p>
            <w:r/>
            <w:r>
              <w:rPr>
                <w:rFonts w:ascii="Aptos" w:hAnsi="Aptos"/>
                <w:sz w:val="12"/>
              </w:rPr>
              <w:t>Fin de série de l’absorbé.</w:t>
            </w:r>
          </w:p>
        </w:tc>
      </w:tr>
      <w:tr>
        <w:tc>
          <w:tcPr>
            <w:tcW w:type="dxa" w:w="397"/>
            <w:tcMar>
              <w:top w:w="60" w:type="dxa"/>
              <w:start w:w="60" w:type="dxa"/>
              <w:bottom w:w="60" w:type="dxa"/>
              <w:end w:w="60" w:type="dxa"/>
            </w:tcMar>
            <w:vAlign w:val="top"/>
          </w:tcPr>
          <w:p>
            <w:r/>
            <w:r>
              <w:rPr>
                <w:rFonts w:ascii="Aptos" w:hAnsi="Aptos"/>
                <w:sz w:val="12"/>
              </w:rPr>
              <w:t>67</w:t>
            </w:r>
          </w:p>
        </w:tc>
        <w:tc>
          <w:tcPr>
            <w:tcW w:type="dxa" w:w="1474"/>
            <w:tcMar>
              <w:top w:w="60" w:type="dxa"/>
              <w:start w:w="60" w:type="dxa"/>
              <w:bottom w:w="60" w:type="dxa"/>
              <w:end w:w="60" w:type="dxa"/>
            </w:tcMar>
            <w:vAlign w:val="top"/>
          </w:tcPr>
          <w:p>
            <w:r/>
            <w:r>
              <w:rPr>
                <w:rFonts w:ascii="Aptos" w:hAnsi="Aptos"/>
                <w:sz w:val="12"/>
              </w:rPr>
              <w:t>Événement</w:t>
            </w:r>
          </w:p>
        </w:tc>
        <w:tc>
          <w:tcPr>
            <w:tcW w:type="dxa" w:w="1757"/>
            <w:tcMar>
              <w:top w:w="60" w:type="dxa"/>
              <w:start w:w="60" w:type="dxa"/>
              <w:bottom w:w="60" w:type="dxa"/>
              <w:end w:w="60" w:type="dxa"/>
            </w:tcMar>
            <w:vAlign w:val="top"/>
          </w:tcPr>
          <w:p>
            <w:r/>
            <w:r>
              <w:rPr>
                <w:rFonts w:ascii="Aptos" w:hAnsi="Aptos"/>
                <w:sz w:val="12"/>
              </w:rPr>
              <w:t>Transfert</w:t>
            </w:r>
          </w:p>
        </w:tc>
        <w:tc>
          <w:tcPr>
            <w:tcW w:type="dxa" w:w="2551"/>
            <w:tcMar>
              <w:top w:w="60" w:type="dxa"/>
              <w:start w:w="60" w:type="dxa"/>
              <w:bottom w:w="60" w:type="dxa"/>
              <w:end w:w="60" w:type="dxa"/>
            </w:tcMar>
            <w:vAlign w:val="top"/>
          </w:tcPr>
          <w:p>
            <w:r/>
            <w:r>
              <w:rPr>
                <w:rFonts w:ascii="Aptos" w:hAnsi="Aptos"/>
                <w:sz w:val="12"/>
              </w:rPr>
              <w:t>Mandat ou actifs transférés.</w:t>
            </w:r>
          </w:p>
        </w:tc>
        <w:tc>
          <w:tcPr>
            <w:tcW w:type="dxa" w:w="1757"/>
            <w:tcMar>
              <w:top w:w="60" w:type="dxa"/>
              <w:start w:w="60" w:type="dxa"/>
              <w:bottom w:w="60" w:type="dxa"/>
              <w:end w:w="60" w:type="dxa"/>
            </w:tcMar>
            <w:vAlign w:val="top"/>
          </w:tcPr>
          <w:p>
            <w:r/>
            <w:r>
              <w:rPr>
                <w:rFonts w:ascii="Aptos" w:hAnsi="Aptos"/>
                <w:sz w:val="12"/>
              </w:rPr>
              <w:t>Avis/rapport</w:t>
            </w:r>
          </w:p>
        </w:tc>
        <w:tc>
          <w:tcPr>
            <w:tcW w:type="dxa" w:w="2324"/>
            <w:tcMar>
              <w:top w:w="60" w:type="dxa"/>
              <w:start w:w="60" w:type="dxa"/>
              <w:bottom w:w="60" w:type="dxa"/>
              <w:end w:w="60" w:type="dxa"/>
            </w:tcMar>
            <w:vAlign w:val="top"/>
          </w:tcPr>
          <w:p>
            <w:r/>
            <w:r>
              <w:rPr>
                <w:rFonts w:ascii="Aptos" w:hAnsi="Aptos"/>
                <w:sz w:val="12"/>
              </w:rPr>
              <w:t>Identifier objet transféré.</w:t>
            </w:r>
          </w:p>
        </w:tc>
      </w:tr>
      <w:tr>
        <w:tc>
          <w:tcPr>
            <w:tcW w:type="dxa" w:w="397"/>
            <w:tcMar>
              <w:top w:w="60" w:type="dxa"/>
              <w:start w:w="60" w:type="dxa"/>
              <w:bottom w:w="60" w:type="dxa"/>
              <w:end w:w="60" w:type="dxa"/>
            </w:tcMar>
            <w:vAlign w:val="top"/>
          </w:tcPr>
          <w:p>
            <w:r/>
            <w:r>
              <w:rPr>
                <w:rFonts w:ascii="Aptos" w:hAnsi="Aptos"/>
                <w:sz w:val="12"/>
              </w:rPr>
              <w:t>68</w:t>
            </w:r>
          </w:p>
        </w:tc>
        <w:tc>
          <w:tcPr>
            <w:tcW w:type="dxa" w:w="1474"/>
            <w:tcMar>
              <w:top w:w="60" w:type="dxa"/>
              <w:start w:w="60" w:type="dxa"/>
              <w:bottom w:w="60" w:type="dxa"/>
              <w:end w:w="60" w:type="dxa"/>
            </w:tcMar>
            <w:vAlign w:val="top"/>
          </w:tcPr>
          <w:p>
            <w:r/>
            <w:r>
              <w:rPr>
                <w:rFonts w:ascii="Aptos" w:hAnsi="Aptos"/>
                <w:sz w:val="12"/>
              </w:rPr>
              <w:t>Événement</w:t>
            </w:r>
          </w:p>
        </w:tc>
        <w:tc>
          <w:tcPr>
            <w:tcW w:type="dxa" w:w="1757"/>
            <w:tcMar>
              <w:top w:w="60" w:type="dxa"/>
              <w:start w:w="60" w:type="dxa"/>
              <w:bottom w:w="60" w:type="dxa"/>
              <w:end w:w="60" w:type="dxa"/>
            </w:tcMar>
            <w:vAlign w:val="top"/>
          </w:tcPr>
          <w:p>
            <w:r/>
            <w:r>
              <w:rPr>
                <w:rFonts w:ascii="Aptos" w:hAnsi="Aptos"/>
                <w:sz w:val="12"/>
              </w:rPr>
              <w:t>Split / consolidation</w:t>
            </w:r>
          </w:p>
        </w:tc>
        <w:tc>
          <w:tcPr>
            <w:tcW w:type="dxa" w:w="2551"/>
            <w:tcMar>
              <w:top w:w="60" w:type="dxa"/>
              <w:start w:w="60" w:type="dxa"/>
              <w:bottom w:w="60" w:type="dxa"/>
              <w:end w:w="60" w:type="dxa"/>
            </w:tcMar>
            <w:vAlign w:val="top"/>
          </w:tcPr>
          <w:p>
            <w:r/>
            <w:r>
              <w:rPr>
                <w:rFonts w:ascii="Aptos" w:hAnsi="Aptos"/>
                <w:sz w:val="12"/>
              </w:rPr>
              <w:t>Ratio et date.</w:t>
            </w:r>
          </w:p>
        </w:tc>
        <w:tc>
          <w:tcPr>
            <w:tcW w:type="dxa" w:w="1757"/>
            <w:tcMar>
              <w:top w:w="60" w:type="dxa"/>
              <w:start w:w="60" w:type="dxa"/>
              <w:bottom w:w="60" w:type="dxa"/>
              <w:end w:w="60" w:type="dxa"/>
            </w:tcMar>
            <w:vAlign w:val="top"/>
          </w:tcPr>
          <w:p>
            <w:r/>
            <w:r>
              <w:rPr>
                <w:rFonts w:ascii="Aptos" w:hAnsi="Aptos"/>
                <w:sz w:val="12"/>
              </w:rPr>
              <w:t>Avis/rapport</w:t>
            </w:r>
          </w:p>
        </w:tc>
        <w:tc>
          <w:tcPr>
            <w:tcW w:type="dxa" w:w="2324"/>
            <w:tcMar>
              <w:top w:w="60" w:type="dxa"/>
              <w:start w:w="60" w:type="dxa"/>
              <w:bottom w:w="60" w:type="dxa"/>
              <w:end w:w="60" w:type="dxa"/>
            </w:tcMar>
            <w:vAlign w:val="top"/>
          </w:tcPr>
          <w:p>
            <w:r/>
            <w:r>
              <w:rPr>
                <w:rFonts w:ascii="Aptos" w:hAnsi="Aptos"/>
                <w:sz w:val="12"/>
              </w:rPr>
              <w:t>Ajustement de série documenté.</w:t>
            </w:r>
          </w:p>
        </w:tc>
      </w:tr>
      <w:tr>
        <w:tc>
          <w:tcPr>
            <w:tcW w:type="dxa" w:w="397"/>
            <w:tcMar>
              <w:top w:w="60" w:type="dxa"/>
              <w:start w:w="60" w:type="dxa"/>
              <w:bottom w:w="60" w:type="dxa"/>
              <w:end w:w="60" w:type="dxa"/>
            </w:tcMar>
            <w:vAlign w:val="top"/>
          </w:tcPr>
          <w:p>
            <w:r/>
            <w:r>
              <w:rPr>
                <w:rFonts w:ascii="Aptos" w:hAnsi="Aptos"/>
                <w:sz w:val="12"/>
              </w:rPr>
              <w:t>69</w:t>
            </w:r>
          </w:p>
        </w:tc>
        <w:tc>
          <w:tcPr>
            <w:tcW w:type="dxa" w:w="1474"/>
            <w:tcMar>
              <w:top w:w="60" w:type="dxa"/>
              <w:start w:w="60" w:type="dxa"/>
              <w:bottom w:w="60" w:type="dxa"/>
              <w:end w:w="60" w:type="dxa"/>
            </w:tcMar>
            <w:vAlign w:val="top"/>
          </w:tcPr>
          <w:p>
            <w:r/>
            <w:r>
              <w:rPr>
                <w:rFonts w:ascii="Aptos" w:hAnsi="Aptos"/>
                <w:sz w:val="12"/>
              </w:rPr>
              <w:t>Événement</w:t>
            </w:r>
          </w:p>
        </w:tc>
        <w:tc>
          <w:tcPr>
            <w:tcW w:type="dxa" w:w="1757"/>
            <w:tcMar>
              <w:top w:w="60" w:type="dxa"/>
              <w:start w:w="60" w:type="dxa"/>
              <w:bottom w:w="60" w:type="dxa"/>
              <w:end w:w="60" w:type="dxa"/>
            </w:tcMar>
            <w:vAlign w:val="top"/>
          </w:tcPr>
          <w:p>
            <w:r/>
            <w:r>
              <w:rPr>
                <w:rFonts w:ascii="Aptos" w:hAnsi="Aptos"/>
                <w:sz w:val="12"/>
              </w:rPr>
              <w:t>Suspension / réouverture</w:t>
            </w:r>
          </w:p>
        </w:tc>
        <w:tc>
          <w:tcPr>
            <w:tcW w:type="dxa" w:w="2551"/>
            <w:tcMar>
              <w:top w:w="60" w:type="dxa"/>
              <w:start w:w="60" w:type="dxa"/>
              <w:bottom w:w="60" w:type="dxa"/>
              <w:end w:w="60" w:type="dxa"/>
            </w:tcMar>
            <w:vAlign w:val="top"/>
          </w:tcPr>
          <w:p>
            <w:r/>
            <w:r>
              <w:rPr>
                <w:rFonts w:ascii="Aptos" w:hAnsi="Aptos"/>
                <w:sz w:val="12"/>
              </w:rPr>
              <w:t>Période et motif.</w:t>
            </w:r>
          </w:p>
        </w:tc>
        <w:tc>
          <w:tcPr>
            <w:tcW w:type="dxa" w:w="1757"/>
            <w:tcMar>
              <w:top w:w="60" w:type="dxa"/>
              <w:start w:w="60" w:type="dxa"/>
              <w:bottom w:w="60" w:type="dxa"/>
              <w:end w:w="60" w:type="dxa"/>
            </w:tcMar>
            <w:vAlign w:val="top"/>
          </w:tcPr>
          <w:p>
            <w:r/>
            <w:r>
              <w:rPr>
                <w:rFonts w:ascii="Aptos" w:hAnsi="Aptos"/>
                <w:sz w:val="12"/>
              </w:rPr>
              <w:t>SEC/gestionnaire/NGX</w:t>
            </w:r>
          </w:p>
        </w:tc>
        <w:tc>
          <w:tcPr>
            <w:tcW w:type="dxa" w:w="2324"/>
            <w:tcMar>
              <w:top w:w="60" w:type="dxa"/>
              <w:start w:w="60" w:type="dxa"/>
              <w:bottom w:w="60" w:type="dxa"/>
              <w:end w:w="60" w:type="dxa"/>
            </w:tcMar>
            <w:vAlign w:val="top"/>
          </w:tcPr>
          <w:p>
            <w:r/>
            <w:r>
              <w:rPr>
                <w:rFonts w:ascii="Aptos" w:hAnsi="Aptos"/>
                <w:sz w:val="12"/>
              </w:rPr>
              <w:t>Souscriptions, rachats ou cotation.</w:t>
            </w:r>
          </w:p>
        </w:tc>
      </w:tr>
      <w:tr>
        <w:tc>
          <w:tcPr>
            <w:tcW w:type="dxa" w:w="397"/>
            <w:tcMar>
              <w:top w:w="60" w:type="dxa"/>
              <w:start w:w="60" w:type="dxa"/>
              <w:bottom w:w="60" w:type="dxa"/>
              <w:end w:w="60" w:type="dxa"/>
            </w:tcMar>
            <w:vAlign w:val="top"/>
          </w:tcPr>
          <w:p>
            <w:r/>
            <w:r>
              <w:rPr>
                <w:rFonts w:ascii="Aptos" w:hAnsi="Aptos"/>
                <w:sz w:val="12"/>
              </w:rPr>
              <w:t>70</w:t>
            </w:r>
          </w:p>
        </w:tc>
        <w:tc>
          <w:tcPr>
            <w:tcW w:type="dxa" w:w="1474"/>
            <w:tcMar>
              <w:top w:w="60" w:type="dxa"/>
              <w:start w:w="60" w:type="dxa"/>
              <w:bottom w:w="60" w:type="dxa"/>
              <w:end w:w="60" w:type="dxa"/>
            </w:tcMar>
            <w:vAlign w:val="top"/>
          </w:tcPr>
          <w:p>
            <w:r/>
            <w:r>
              <w:rPr>
                <w:rFonts w:ascii="Aptos" w:hAnsi="Aptos"/>
                <w:sz w:val="12"/>
              </w:rPr>
              <w:t>Événement</w:t>
            </w:r>
          </w:p>
        </w:tc>
        <w:tc>
          <w:tcPr>
            <w:tcW w:type="dxa" w:w="1757"/>
            <w:tcMar>
              <w:top w:w="60" w:type="dxa"/>
              <w:start w:w="60" w:type="dxa"/>
              <w:bottom w:w="60" w:type="dxa"/>
              <w:end w:w="60" w:type="dxa"/>
            </w:tcMar>
            <w:vAlign w:val="top"/>
          </w:tcPr>
          <w:p>
            <w:r/>
            <w:r>
              <w:rPr>
                <w:rFonts w:ascii="Aptos" w:hAnsi="Aptos"/>
                <w:sz w:val="12"/>
              </w:rPr>
              <w:t>Liquidation / termination</w:t>
            </w:r>
          </w:p>
        </w:tc>
        <w:tc>
          <w:tcPr>
            <w:tcW w:type="dxa" w:w="2551"/>
            <w:tcMar>
              <w:top w:w="60" w:type="dxa"/>
              <w:start w:w="60" w:type="dxa"/>
              <w:bottom w:w="60" w:type="dxa"/>
              <w:end w:w="60" w:type="dxa"/>
            </w:tcMar>
            <w:vAlign w:val="top"/>
          </w:tcPr>
          <w:p>
            <w:r/>
            <w:r>
              <w:rPr>
                <w:rFonts w:ascii="Aptos" w:hAnsi="Aptos"/>
                <w:sz w:val="12"/>
              </w:rPr>
              <w:t>Étapes et dates.</w:t>
            </w:r>
          </w:p>
        </w:tc>
        <w:tc>
          <w:tcPr>
            <w:tcW w:type="dxa" w:w="1757"/>
            <w:tcMar>
              <w:top w:w="60" w:type="dxa"/>
              <w:start w:w="60" w:type="dxa"/>
              <w:bottom w:w="60" w:type="dxa"/>
              <w:end w:w="60" w:type="dxa"/>
            </w:tcMar>
            <w:vAlign w:val="top"/>
          </w:tcPr>
          <w:p>
            <w:r/>
            <w:r>
              <w:rPr>
                <w:rFonts w:ascii="Aptos" w:hAnsi="Aptos"/>
                <w:sz w:val="12"/>
              </w:rPr>
              <w:t>SEC/rapport</w:t>
            </w:r>
          </w:p>
        </w:tc>
        <w:tc>
          <w:tcPr>
            <w:tcW w:type="dxa" w:w="2324"/>
            <w:tcMar>
              <w:top w:w="60" w:type="dxa"/>
              <w:start w:w="60" w:type="dxa"/>
              <w:bottom w:w="60" w:type="dxa"/>
              <w:end w:w="60" w:type="dxa"/>
            </w:tcMar>
            <w:vAlign w:val="top"/>
          </w:tcPr>
          <w:p>
            <w:r/>
            <w:r>
              <w:rPr>
                <w:rFonts w:ascii="Aptos" w:hAnsi="Aptos"/>
                <w:sz w:val="12"/>
              </w:rPr>
              <w:t>Statut confirmé.</w:t>
            </w:r>
          </w:p>
        </w:tc>
      </w:tr>
      <w:tr>
        <w:tc>
          <w:tcPr>
            <w:tcW w:type="dxa" w:w="397"/>
            <w:tcMar>
              <w:top w:w="60" w:type="dxa"/>
              <w:start w:w="60" w:type="dxa"/>
              <w:bottom w:w="60" w:type="dxa"/>
              <w:end w:w="60" w:type="dxa"/>
            </w:tcMar>
            <w:vAlign w:val="top"/>
          </w:tcPr>
          <w:p>
            <w:r/>
            <w:r>
              <w:rPr>
                <w:rFonts w:ascii="Aptos" w:hAnsi="Aptos"/>
                <w:sz w:val="12"/>
              </w:rPr>
              <w:t>71</w:t>
            </w:r>
          </w:p>
        </w:tc>
        <w:tc>
          <w:tcPr>
            <w:tcW w:type="dxa" w:w="1474"/>
            <w:tcMar>
              <w:top w:w="60" w:type="dxa"/>
              <w:start w:w="60" w:type="dxa"/>
              <w:bottom w:w="60" w:type="dxa"/>
              <w:end w:w="60" w:type="dxa"/>
            </w:tcMar>
            <w:vAlign w:val="top"/>
          </w:tcPr>
          <w:p>
            <w:r/>
            <w:r>
              <w:rPr>
                <w:rFonts w:ascii="Aptos" w:hAnsi="Aptos"/>
                <w:sz w:val="12"/>
              </w:rPr>
              <w:t>Événement</w:t>
            </w:r>
          </w:p>
        </w:tc>
        <w:tc>
          <w:tcPr>
            <w:tcW w:type="dxa" w:w="1757"/>
            <w:tcMar>
              <w:top w:w="60" w:type="dxa"/>
              <w:start w:w="60" w:type="dxa"/>
              <w:bottom w:w="60" w:type="dxa"/>
              <w:end w:w="60" w:type="dxa"/>
            </w:tcMar>
            <w:vAlign w:val="top"/>
          </w:tcPr>
          <w:p>
            <w:r/>
            <w:r>
              <w:rPr>
                <w:rFonts w:ascii="Aptos" w:hAnsi="Aptos"/>
                <w:sz w:val="12"/>
              </w:rPr>
              <w:t>Changement de catégorie</w:t>
            </w:r>
          </w:p>
        </w:tc>
        <w:tc>
          <w:tcPr>
            <w:tcW w:type="dxa" w:w="2551"/>
            <w:tcMar>
              <w:top w:w="60" w:type="dxa"/>
              <w:start w:w="60" w:type="dxa"/>
              <w:bottom w:w="60" w:type="dxa"/>
              <w:end w:w="60" w:type="dxa"/>
            </w:tcMar>
            <w:vAlign w:val="top"/>
          </w:tcPr>
          <w:p>
            <w:r/>
            <w:r>
              <w:rPr>
                <w:rFonts w:ascii="Aptos" w:hAnsi="Aptos"/>
                <w:sz w:val="12"/>
              </w:rPr>
              <w:t>Avant/après.</w:t>
            </w:r>
          </w:p>
        </w:tc>
        <w:tc>
          <w:tcPr>
            <w:tcW w:type="dxa" w:w="1757"/>
            <w:tcMar>
              <w:top w:w="60" w:type="dxa"/>
              <w:start w:w="60" w:type="dxa"/>
              <w:bottom w:w="60" w:type="dxa"/>
              <w:end w:w="60" w:type="dxa"/>
            </w:tcMar>
            <w:vAlign w:val="top"/>
          </w:tcPr>
          <w:p>
            <w:r/>
            <w:r>
              <w:rPr>
                <w:rFonts w:ascii="Aptos" w:hAnsi="Aptos"/>
                <w:sz w:val="12"/>
              </w:rPr>
              <w:t>SEC/prospectus</w:t>
            </w:r>
          </w:p>
        </w:tc>
        <w:tc>
          <w:tcPr>
            <w:tcW w:type="dxa" w:w="2324"/>
            <w:tcMar>
              <w:top w:w="60" w:type="dxa"/>
              <w:start w:w="60" w:type="dxa"/>
              <w:bottom w:w="60" w:type="dxa"/>
              <w:end w:w="60" w:type="dxa"/>
            </w:tcMar>
            <w:vAlign w:val="top"/>
          </w:tcPr>
          <w:p>
            <w:r/>
            <w:r>
              <w:rPr>
                <w:rFonts w:ascii="Aptos" w:hAnsi="Aptos"/>
                <w:sz w:val="12"/>
              </w:rPr>
              <w:t>Historiser.</w:t>
            </w:r>
          </w:p>
        </w:tc>
      </w:tr>
      <w:tr>
        <w:tc>
          <w:tcPr>
            <w:tcW w:type="dxa" w:w="397"/>
            <w:tcMar>
              <w:top w:w="60" w:type="dxa"/>
              <w:start w:w="60" w:type="dxa"/>
              <w:bottom w:w="60" w:type="dxa"/>
              <w:end w:w="60" w:type="dxa"/>
            </w:tcMar>
            <w:vAlign w:val="top"/>
          </w:tcPr>
          <w:p>
            <w:r/>
            <w:r>
              <w:rPr>
                <w:rFonts w:ascii="Aptos" w:hAnsi="Aptos"/>
                <w:sz w:val="12"/>
              </w:rPr>
              <w:t>72</w:t>
            </w:r>
          </w:p>
        </w:tc>
        <w:tc>
          <w:tcPr>
            <w:tcW w:type="dxa" w:w="1474"/>
            <w:tcMar>
              <w:top w:w="60" w:type="dxa"/>
              <w:start w:w="60" w:type="dxa"/>
              <w:bottom w:w="60" w:type="dxa"/>
              <w:end w:w="60" w:type="dxa"/>
            </w:tcMar>
            <w:vAlign w:val="top"/>
          </w:tcPr>
          <w:p>
            <w:r/>
            <w:r>
              <w:rPr>
                <w:rFonts w:ascii="Aptos" w:hAnsi="Aptos"/>
                <w:sz w:val="12"/>
              </w:rPr>
              <w:t>Événement</w:t>
            </w:r>
          </w:p>
        </w:tc>
        <w:tc>
          <w:tcPr>
            <w:tcW w:type="dxa" w:w="1757"/>
            <w:tcMar>
              <w:top w:w="60" w:type="dxa"/>
              <w:start w:w="60" w:type="dxa"/>
              <w:bottom w:w="60" w:type="dxa"/>
              <w:end w:w="60" w:type="dxa"/>
            </w:tcMar>
            <w:vAlign w:val="top"/>
          </w:tcPr>
          <w:p>
            <w:r/>
            <w:r>
              <w:rPr>
                <w:rFonts w:ascii="Aptos" w:hAnsi="Aptos"/>
                <w:sz w:val="12"/>
              </w:rPr>
              <w:t>Changement de benchmark</w:t>
            </w:r>
          </w:p>
        </w:tc>
        <w:tc>
          <w:tcPr>
            <w:tcW w:type="dxa" w:w="2551"/>
            <w:tcMar>
              <w:top w:w="60" w:type="dxa"/>
              <w:start w:w="60" w:type="dxa"/>
              <w:bottom w:w="60" w:type="dxa"/>
              <w:end w:w="60" w:type="dxa"/>
            </w:tcMar>
            <w:vAlign w:val="top"/>
          </w:tcPr>
          <w:p>
            <w:r/>
            <w:r>
              <w:rPr>
                <w:rFonts w:ascii="Aptos" w:hAnsi="Aptos"/>
                <w:sz w:val="12"/>
              </w:rPr>
              <w:t>Avant/après.</w:t>
            </w:r>
          </w:p>
        </w:tc>
        <w:tc>
          <w:tcPr>
            <w:tcW w:type="dxa" w:w="1757"/>
            <w:tcMar>
              <w:top w:w="60" w:type="dxa"/>
              <w:start w:w="60" w:type="dxa"/>
              <w:bottom w:w="60" w:type="dxa"/>
              <w:end w:w="60" w:type="dxa"/>
            </w:tcMar>
            <w:vAlign w:val="top"/>
          </w:tcPr>
          <w:p>
            <w:r/>
            <w:r>
              <w:rPr>
                <w:rFonts w:ascii="Aptos" w:hAnsi="Aptos"/>
                <w:sz w:val="12"/>
              </w:rPr>
              <w:t>Prospectus/factsheet</w:t>
            </w:r>
          </w:p>
        </w:tc>
        <w:tc>
          <w:tcPr>
            <w:tcW w:type="dxa" w:w="2324"/>
            <w:tcMar>
              <w:top w:w="60" w:type="dxa"/>
              <w:start w:w="60" w:type="dxa"/>
              <w:bottom w:w="60" w:type="dxa"/>
              <w:end w:w="60" w:type="dxa"/>
            </w:tcMar>
            <w:vAlign w:val="top"/>
          </w:tcPr>
          <w:p>
            <w:r/>
            <w:r>
              <w:rPr>
                <w:rFonts w:ascii="Aptos" w:hAnsi="Aptos"/>
                <w:sz w:val="12"/>
              </w:rPr>
              <w:t>Date d’effet.</w:t>
            </w:r>
          </w:p>
        </w:tc>
      </w:tr>
      <w:tr>
        <w:tc>
          <w:tcPr>
            <w:tcW w:type="dxa" w:w="397"/>
            <w:tcMar>
              <w:top w:w="60" w:type="dxa"/>
              <w:start w:w="60" w:type="dxa"/>
              <w:bottom w:w="60" w:type="dxa"/>
              <w:end w:w="60" w:type="dxa"/>
            </w:tcMar>
            <w:vAlign w:val="top"/>
          </w:tcPr>
          <w:p>
            <w:r/>
            <w:r>
              <w:rPr>
                <w:rFonts w:ascii="Aptos" w:hAnsi="Aptos"/>
                <w:sz w:val="12"/>
              </w:rPr>
              <w:t>73</w:t>
            </w:r>
          </w:p>
        </w:tc>
        <w:tc>
          <w:tcPr>
            <w:tcW w:type="dxa" w:w="1474"/>
            <w:tcMar>
              <w:top w:w="60" w:type="dxa"/>
              <w:start w:w="60" w:type="dxa"/>
              <w:bottom w:w="60" w:type="dxa"/>
              <w:end w:w="60" w:type="dxa"/>
            </w:tcMar>
            <w:vAlign w:val="top"/>
          </w:tcPr>
          <w:p>
            <w:r/>
            <w:r>
              <w:rPr>
                <w:rFonts w:ascii="Aptos" w:hAnsi="Aptos"/>
                <w:sz w:val="12"/>
              </w:rPr>
              <w:t>Événement</w:t>
            </w:r>
          </w:p>
        </w:tc>
        <w:tc>
          <w:tcPr>
            <w:tcW w:type="dxa" w:w="1757"/>
            <w:tcMar>
              <w:top w:w="60" w:type="dxa"/>
              <w:start w:w="60" w:type="dxa"/>
              <w:bottom w:w="60" w:type="dxa"/>
              <w:end w:w="60" w:type="dxa"/>
            </w:tcMar>
            <w:vAlign w:val="top"/>
          </w:tcPr>
          <w:p>
            <w:r/>
            <w:r>
              <w:rPr>
                <w:rFonts w:ascii="Aptos" w:hAnsi="Aptos"/>
                <w:sz w:val="12"/>
              </w:rPr>
              <w:t>Changement d’objectif/stratégie</w:t>
            </w:r>
          </w:p>
        </w:tc>
        <w:tc>
          <w:tcPr>
            <w:tcW w:type="dxa" w:w="2551"/>
            <w:tcMar>
              <w:top w:w="60" w:type="dxa"/>
              <w:start w:w="60" w:type="dxa"/>
              <w:bottom w:w="60" w:type="dxa"/>
              <w:end w:w="60" w:type="dxa"/>
            </w:tcMar>
            <w:vAlign w:val="top"/>
          </w:tcPr>
          <w:p>
            <w:r/>
            <w:r>
              <w:rPr>
                <w:rFonts w:ascii="Aptos" w:hAnsi="Aptos"/>
                <w:sz w:val="12"/>
              </w:rPr>
              <w:t>Avant/après.</w:t>
            </w:r>
          </w:p>
        </w:tc>
        <w:tc>
          <w:tcPr>
            <w:tcW w:type="dxa" w:w="1757"/>
            <w:tcMar>
              <w:top w:w="60" w:type="dxa"/>
              <w:start w:w="60" w:type="dxa"/>
              <w:bottom w:w="60" w:type="dxa"/>
              <w:end w:w="60" w:type="dxa"/>
            </w:tcMar>
            <w:vAlign w:val="top"/>
          </w:tcPr>
          <w:p>
            <w:r/>
            <w:r>
              <w:rPr>
                <w:rFonts w:ascii="Aptos" w:hAnsi="Aptos"/>
                <w:sz w:val="12"/>
              </w:rPr>
              <w:t>Supplemental prospectus</w:t>
            </w:r>
          </w:p>
        </w:tc>
        <w:tc>
          <w:tcPr>
            <w:tcW w:type="dxa" w:w="2324"/>
            <w:tcMar>
              <w:top w:w="60" w:type="dxa"/>
              <w:start w:w="60" w:type="dxa"/>
              <w:bottom w:w="60" w:type="dxa"/>
              <w:end w:w="60" w:type="dxa"/>
            </w:tcMar>
            <w:vAlign w:val="top"/>
          </w:tcPr>
          <w:p>
            <w:r/>
            <w:r>
              <w:rPr>
                <w:rFonts w:ascii="Aptos" w:hAnsi="Aptos"/>
                <w:sz w:val="12"/>
              </w:rPr>
              <w:t>Date d’effet.</w:t>
            </w:r>
          </w:p>
        </w:tc>
      </w:tr>
      <w:tr>
        <w:tc>
          <w:tcPr>
            <w:tcW w:type="dxa" w:w="397"/>
            <w:tcMar>
              <w:top w:w="60" w:type="dxa"/>
              <w:start w:w="60" w:type="dxa"/>
              <w:bottom w:w="60" w:type="dxa"/>
              <w:end w:w="60" w:type="dxa"/>
            </w:tcMar>
            <w:vAlign w:val="top"/>
          </w:tcPr>
          <w:p>
            <w:r/>
            <w:r>
              <w:rPr>
                <w:rFonts w:ascii="Aptos" w:hAnsi="Aptos"/>
                <w:sz w:val="12"/>
              </w:rPr>
              <w:t>74</w:t>
            </w:r>
          </w:p>
        </w:tc>
        <w:tc>
          <w:tcPr>
            <w:tcW w:type="dxa" w:w="1474"/>
            <w:tcMar>
              <w:top w:w="60" w:type="dxa"/>
              <w:start w:w="60" w:type="dxa"/>
              <w:bottom w:w="60" w:type="dxa"/>
              <w:end w:w="60" w:type="dxa"/>
            </w:tcMar>
            <w:vAlign w:val="top"/>
          </w:tcPr>
          <w:p>
            <w:r/>
            <w:r>
              <w:rPr>
                <w:rFonts w:ascii="Aptos" w:hAnsi="Aptos"/>
                <w:sz w:val="12"/>
              </w:rPr>
              <w:t>Événement</w:t>
            </w:r>
          </w:p>
        </w:tc>
        <w:tc>
          <w:tcPr>
            <w:tcW w:type="dxa" w:w="1757"/>
            <w:tcMar>
              <w:top w:w="60" w:type="dxa"/>
              <w:start w:w="60" w:type="dxa"/>
              <w:bottom w:w="60" w:type="dxa"/>
              <w:end w:w="60" w:type="dxa"/>
            </w:tcMar>
            <w:vAlign w:val="top"/>
          </w:tcPr>
          <w:p>
            <w:r/>
            <w:r>
              <w:rPr>
                <w:rFonts w:ascii="Aptos" w:hAnsi="Aptos"/>
                <w:sz w:val="12"/>
              </w:rPr>
              <w:t>Changement de devise/classe</w:t>
            </w:r>
          </w:p>
        </w:tc>
        <w:tc>
          <w:tcPr>
            <w:tcW w:type="dxa" w:w="2551"/>
            <w:tcMar>
              <w:top w:w="60" w:type="dxa"/>
              <w:start w:w="60" w:type="dxa"/>
              <w:bottom w:w="60" w:type="dxa"/>
              <w:end w:w="60" w:type="dxa"/>
            </w:tcMar>
            <w:vAlign w:val="top"/>
          </w:tcPr>
          <w:p>
            <w:r/>
            <w:r>
              <w:rPr>
                <w:rFonts w:ascii="Aptos" w:hAnsi="Aptos"/>
                <w:sz w:val="12"/>
              </w:rPr>
              <w:t>Avant/après.</w:t>
            </w:r>
          </w:p>
        </w:tc>
        <w:tc>
          <w:tcPr>
            <w:tcW w:type="dxa" w:w="1757"/>
            <w:tcMar>
              <w:top w:w="60" w:type="dxa"/>
              <w:start w:w="60" w:type="dxa"/>
              <w:bottom w:w="60" w:type="dxa"/>
              <w:end w:w="60" w:type="dxa"/>
            </w:tcMar>
            <w:vAlign w:val="top"/>
          </w:tcPr>
          <w:p>
            <w:r/>
            <w:r>
              <w:rPr>
                <w:rFonts w:ascii="Aptos" w:hAnsi="Aptos"/>
                <w:sz w:val="12"/>
              </w:rPr>
              <w:t>Prospectus</w:t>
            </w:r>
          </w:p>
        </w:tc>
        <w:tc>
          <w:tcPr>
            <w:tcW w:type="dxa" w:w="2324"/>
            <w:tcMar>
              <w:top w:w="60" w:type="dxa"/>
              <w:start w:w="60" w:type="dxa"/>
              <w:bottom w:w="60" w:type="dxa"/>
              <w:end w:w="60" w:type="dxa"/>
            </w:tcMar>
            <w:vAlign w:val="top"/>
          </w:tcPr>
          <w:p>
            <w:r/>
            <w:r>
              <w:rPr>
                <w:rFonts w:ascii="Aptos" w:hAnsi="Aptos"/>
                <w:sz w:val="12"/>
              </w:rPr>
              <w:t>Distinguer nouvelle classe.</w:t>
            </w:r>
          </w:p>
        </w:tc>
      </w:tr>
      <w:tr>
        <w:tc>
          <w:tcPr>
            <w:tcW w:type="dxa" w:w="397"/>
            <w:tcMar>
              <w:top w:w="60" w:type="dxa"/>
              <w:start w:w="60" w:type="dxa"/>
              <w:bottom w:w="60" w:type="dxa"/>
              <w:end w:w="60" w:type="dxa"/>
            </w:tcMar>
            <w:vAlign w:val="top"/>
          </w:tcPr>
          <w:p>
            <w:r/>
            <w:r>
              <w:rPr>
                <w:rFonts w:ascii="Aptos" w:hAnsi="Aptos"/>
                <w:sz w:val="12"/>
              </w:rPr>
              <w:t>75</w:t>
            </w:r>
          </w:p>
        </w:tc>
        <w:tc>
          <w:tcPr>
            <w:tcW w:type="dxa" w:w="1474"/>
            <w:tcMar>
              <w:top w:w="60" w:type="dxa"/>
              <w:start w:w="60" w:type="dxa"/>
              <w:bottom w:w="60" w:type="dxa"/>
              <w:end w:w="60" w:type="dxa"/>
            </w:tcMar>
            <w:vAlign w:val="top"/>
          </w:tcPr>
          <w:p>
            <w:r/>
            <w:r>
              <w:rPr>
                <w:rFonts w:ascii="Aptos" w:hAnsi="Aptos"/>
                <w:sz w:val="12"/>
              </w:rPr>
              <w:t>Événement</w:t>
            </w:r>
          </w:p>
        </w:tc>
        <w:tc>
          <w:tcPr>
            <w:tcW w:type="dxa" w:w="1757"/>
            <w:tcMar>
              <w:top w:w="60" w:type="dxa"/>
              <w:start w:w="60" w:type="dxa"/>
              <w:bottom w:w="60" w:type="dxa"/>
              <w:end w:w="60" w:type="dxa"/>
            </w:tcMar>
            <w:vAlign w:val="top"/>
          </w:tcPr>
          <w:p>
            <w:r/>
            <w:r>
              <w:rPr>
                <w:rFonts w:ascii="Aptos" w:hAnsi="Aptos"/>
                <w:sz w:val="12"/>
              </w:rPr>
              <w:t>Changement de distribution/frais</w:t>
            </w:r>
          </w:p>
        </w:tc>
        <w:tc>
          <w:tcPr>
            <w:tcW w:type="dxa" w:w="2551"/>
            <w:tcMar>
              <w:top w:w="60" w:type="dxa"/>
              <w:start w:w="60" w:type="dxa"/>
              <w:bottom w:w="60" w:type="dxa"/>
              <w:end w:w="60" w:type="dxa"/>
            </w:tcMar>
            <w:vAlign w:val="top"/>
          </w:tcPr>
          <w:p>
            <w:r/>
            <w:r>
              <w:rPr>
                <w:rFonts w:ascii="Aptos" w:hAnsi="Aptos"/>
                <w:sz w:val="12"/>
              </w:rPr>
              <w:t>Avant/après.</w:t>
            </w:r>
          </w:p>
        </w:tc>
        <w:tc>
          <w:tcPr>
            <w:tcW w:type="dxa" w:w="1757"/>
            <w:tcMar>
              <w:top w:w="60" w:type="dxa"/>
              <w:start w:w="60" w:type="dxa"/>
              <w:bottom w:w="60" w:type="dxa"/>
              <w:end w:w="60" w:type="dxa"/>
            </w:tcMar>
            <w:vAlign w:val="top"/>
          </w:tcPr>
          <w:p>
            <w:r/>
            <w:r>
              <w:rPr>
                <w:rFonts w:ascii="Aptos" w:hAnsi="Aptos"/>
                <w:sz w:val="12"/>
              </w:rPr>
              <w:t>Prospectus/circular</w:t>
            </w:r>
          </w:p>
        </w:tc>
        <w:tc>
          <w:tcPr>
            <w:tcW w:type="dxa" w:w="2324"/>
            <w:tcMar>
              <w:top w:w="60" w:type="dxa"/>
              <w:start w:w="60" w:type="dxa"/>
              <w:bottom w:w="60" w:type="dxa"/>
              <w:end w:w="60" w:type="dxa"/>
            </w:tcMar>
            <w:vAlign w:val="top"/>
          </w:tcPr>
          <w:p>
            <w:r/>
            <w:r>
              <w:rPr>
                <w:rFonts w:ascii="Aptos" w:hAnsi="Aptos"/>
                <w:sz w:val="12"/>
              </w:rPr>
              <w:t>Date d’effet.</w:t>
            </w:r>
          </w:p>
        </w:tc>
      </w:tr>
      <w:tr>
        <w:tc>
          <w:tcPr>
            <w:tcW w:type="dxa" w:w="397"/>
            <w:tcMar>
              <w:top w:w="60" w:type="dxa"/>
              <w:start w:w="60" w:type="dxa"/>
              <w:bottom w:w="60" w:type="dxa"/>
              <w:end w:w="60" w:type="dxa"/>
            </w:tcMar>
            <w:vAlign w:val="top"/>
          </w:tcPr>
          <w:p>
            <w:r/>
            <w:r>
              <w:rPr>
                <w:rFonts w:ascii="Aptos" w:hAnsi="Aptos"/>
                <w:sz w:val="12"/>
              </w:rPr>
              <w:t>76</w:t>
            </w:r>
          </w:p>
        </w:tc>
        <w:tc>
          <w:tcPr>
            <w:tcW w:type="dxa" w:w="1474"/>
            <w:tcMar>
              <w:top w:w="60" w:type="dxa"/>
              <w:start w:w="60" w:type="dxa"/>
              <w:bottom w:w="60" w:type="dxa"/>
              <w:end w:w="60" w:type="dxa"/>
            </w:tcMar>
            <w:vAlign w:val="top"/>
          </w:tcPr>
          <w:p>
            <w:r/>
            <w:r>
              <w:rPr>
                <w:rFonts w:ascii="Aptos" w:hAnsi="Aptos"/>
                <w:sz w:val="12"/>
              </w:rPr>
              <w:t>Chronologie annuelle</w:t>
            </w:r>
          </w:p>
        </w:tc>
        <w:tc>
          <w:tcPr>
            <w:tcW w:type="dxa" w:w="1757"/>
            <w:tcMar>
              <w:top w:w="60" w:type="dxa"/>
              <w:start w:w="60" w:type="dxa"/>
              <w:bottom w:w="60" w:type="dxa"/>
              <w:end w:w="60" w:type="dxa"/>
            </w:tcMar>
            <w:vAlign w:val="top"/>
          </w:tcPr>
          <w:p>
            <w:r/>
            <w:r>
              <w:rPr>
                <w:rFonts w:ascii="Aptos" w:hAnsi="Aptos"/>
                <w:sz w:val="12"/>
              </w:rPr>
              <w:t>Année 2012</w:t>
            </w:r>
          </w:p>
        </w:tc>
        <w:tc>
          <w:tcPr>
            <w:tcW w:type="dxa" w:w="2551"/>
            <w:tcMar>
              <w:top w:w="60" w:type="dxa"/>
              <w:start w:w="60" w:type="dxa"/>
              <w:bottom w:w="60" w:type="dxa"/>
              <w:end w:w="60" w:type="dxa"/>
            </w:tcMar>
            <w:vAlign w:val="top"/>
          </w:tcPr>
          <w:p>
            <w:r/>
            <w:r>
              <w:rPr>
                <w:rFonts w:ascii="Aptos" w:hAnsi="Aptos"/>
                <w:sz w:val="12"/>
              </w:rPr>
              <w:t>Mini-dossier annuel : dernière date de valeur disponible, Unit Price explicite, Bid/Offer, actif net, devise, gestionnaire, catégorie, dividende/distribution, événements et documents.</w:t>
            </w:r>
          </w:p>
        </w:tc>
        <w:tc>
          <w:tcPr>
            <w:tcW w:type="dxa" w:w="1757"/>
            <w:tcMar>
              <w:top w:w="60" w:type="dxa"/>
              <w:start w:w="60" w:type="dxa"/>
              <w:bottom w:w="60" w:type="dxa"/>
              <w:end w:w="60" w:type="dxa"/>
            </w:tcMar>
            <w:vAlign w:val="top"/>
          </w:tcPr>
          <w:p>
            <w:r/>
            <w:r>
              <w:rPr>
                <w:rFonts w:ascii="Aptos" w:hAnsi="Aptos"/>
                <w:sz w:val="12"/>
              </w:rPr>
              <w:t>SEC Weekly/Monthly + rapports/factsheets de l’année</w:t>
            </w:r>
          </w:p>
        </w:tc>
        <w:tc>
          <w:tcPr>
            <w:tcW w:type="dxa" w:w="2324"/>
            <w:tcMar>
              <w:top w:w="60" w:type="dxa"/>
              <w:start w:w="60" w:type="dxa"/>
              <w:bottom w:w="60" w:type="dxa"/>
              <w:end w:w="60" w:type="dxa"/>
            </w:tcMar>
            <w:vAlign w:val="top"/>
          </w:tcPr>
          <w:p>
            <w:r/>
            <w:r>
              <w:rPr>
                <w:rFonts w:ascii="Aptos" w:hAnsi="Aptos"/>
                <w:sz w:val="12"/>
              </w:rPr>
              <w:t>Conserver chaque sous-mesure et sa source ; ne pas résumer une absence par zéro. Si le classeur sépare plusieurs colonnes annuelles, appliquer ce mini-dossier à chacune.</w:t>
            </w:r>
          </w:p>
        </w:tc>
      </w:tr>
      <w:tr>
        <w:tc>
          <w:tcPr>
            <w:tcW w:type="dxa" w:w="397"/>
            <w:tcMar>
              <w:top w:w="60" w:type="dxa"/>
              <w:start w:w="60" w:type="dxa"/>
              <w:bottom w:w="60" w:type="dxa"/>
              <w:end w:w="60" w:type="dxa"/>
            </w:tcMar>
            <w:vAlign w:val="top"/>
          </w:tcPr>
          <w:p>
            <w:r/>
            <w:r>
              <w:rPr>
                <w:rFonts w:ascii="Aptos" w:hAnsi="Aptos"/>
                <w:sz w:val="12"/>
              </w:rPr>
              <w:t>77</w:t>
            </w:r>
          </w:p>
        </w:tc>
        <w:tc>
          <w:tcPr>
            <w:tcW w:type="dxa" w:w="1474"/>
            <w:tcMar>
              <w:top w:w="60" w:type="dxa"/>
              <w:start w:w="60" w:type="dxa"/>
              <w:bottom w:w="60" w:type="dxa"/>
              <w:end w:w="60" w:type="dxa"/>
            </w:tcMar>
            <w:vAlign w:val="top"/>
          </w:tcPr>
          <w:p>
            <w:r/>
            <w:r>
              <w:rPr>
                <w:rFonts w:ascii="Aptos" w:hAnsi="Aptos"/>
                <w:sz w:val="12"/>
              </w:rPr>
              <w:t>Chronologie annuelle</w:t>
            </w:r>
          </w:p>
        </w:tc>
        <w:tc>
          <w:tcPr>
            <w:tcW w:type="dxa" w:w="1757"/>
            <w:tcMar>
              <w:top w:w="60" w:type="dxa"/>
              <w:start w:w="60" w:type="dxa"/>
              <w:bottom w:w="60" w:type="dxa"/>
              <w:end w:w="60" w:type="dxa"/>
            </w:tcMar>
            <w:vAlign w:val="top"/>
          </w:tcPr>
          <w:p>
            <w:r/>
            <w:r>
              <w:rPr>
                <w:rFonts w:ascii="Aptos" w:hAnsi="Aptos"/>
                <w:sz w:val="12"/>
              </w:rPr>
              <w:t>Année 2013</w:t>
            </w:r>
          </w:p>
        </w:tc>
        <w:tc>
          <w:tcPr>
            <w:tcW w:type="dxa" w:w="2551"/>
            <w:tcMar>
              <w:top w:w="60" w:type="dxa"/>
              <w:start w:w="60" w:type="dxa"/>
              <w:bottom w:w="60" w:type="dxa"/>
              <w:end w:w="60" w:type="dxa"/>
            </w:tcMar>
            <w:vAlign w:val="top"/>
          </w:tcPr>
          <w:p>
            <w:r/>
            <w:r>
              <w:rPr>
                <w:rFonts w:ascii="Aptos" w:hAnsi="Aptos"/>
                <w:sz w:val="12"/>
              </w:rPr>
              <w:t>Mini-dossier annuel : dernière date de valeur disponible, Unit Price explicite, Bid/Offer, actif net, devise, gestionnaire, catégorie, dividende/distribution, événements et documents.</w:t>
            </w:r>
          </w:p>
        </w:tc>
        <w:tc>
          <w:tcPr>
            <w:tcW w:type="dxa" w:w="1757"/>
            <w:tcMar>
              <w:top w:w="60" w:type="dxa"/>
              <w:start w:w="60" w:type="dxa"/>
              <w:bottom w:w="60" w:type="dxa"/>
              <w:end w:w="60" w:type="dxa"/>
            </w:tcMar>
            <w:vAlign w:val="top"/>
          </w:tcPr>
          <w:p>
            <w:r/>
            <w:r>
              <w:rPr>
                <w:rFonts w:ascii="Aptos" w:hAnsi="Aptos"/>
                <w:sz w:val="12"/>
              </w:rPr>
              <w:t>SEC Weekly/Monthly + rapports/factsheets de l’année</w:t>
            </w:r>
          </w:p>
        </w:tc>
        <w:tc>
          <w:tcPr>
            <w:tcW w:type="dxa" w:w="2324"/>
            <w:tcMar>
              <w:top w:w="60" w:type="dxa"/>
              <w:start w:w="60" w:type="dxa"/>
              <w:bottom w:w="60" w:type="dxa"/>
              <w:end w:w="60" w:type="dxa"/>
            </w:tcMar>
            <w:vAlign w:val="top"/>
          </w:tcPr>
          <w:p>
            <w:r/>
            <w:r>
              <w:rPr>
                <w:rFonts w:ascii="Aptos" w:hAnsi="Aptos"/>
                <w:sz w:val="12"/>
              </w:rPr>
              <w:t>Conserver chaque sous-mesure et sa source ; ne pas résumer une absence par zéro. Si le classeur sépare plusieurs colonnes annuelles, appliquer ce mini-dossier à chacune.</w:t>
            </w:r>
          </w:p>
        </w:tc>
      </w:tr>
      <w:tr>
        <w:tc>
          <w:tcPr>
            <w:tcW w:type="dxa" w:w="397"/>
            <w:tcMar>
              <w:top w:w="60" w:type="dxa"/>
              <w:start w:w="60" w:type="dxa"/>
              <w:bottom w:w="60" w:type="dxa"/>
              <w:end w:w="60" w:type="dxa"/>
            </w:tcMar>
            <w:vAlign w:val="top"/>
          </w:tcPr>
          <w:p>
            <w:r/>
            <w:r>
              <w:rPr>
                <w:rFonts w:ascii="Aptos" w:hAnsi="Aptos"/>
                <w:sz w:val="12"/>
              </w:rPr>
              <w:t>78</w:t>
            </w:r>
          </w:p>
        </w:tc>
        <w:tc>
          <w:tcPr>
            <w:tcW w:type="dxa" w:w="1474"/>
            <w:tcMar>
              <w:top w:w="60" w:type="dxa"/>
              <w:start w:w="60" w:type="dxa"/>
              <w:bottom w:w="60" w:type="dxa"/>
              <w:end w:w="60" w:type="dxa"/>
            </w:tcMar>
            <w:vAlign w:val="top"/>
          </w:tcPr>
          <w:p>
            <w:r/>
            <w:r>
              <w:rPr>
                <w:rFonts w:ascii="Aptos" w:hAnsi="Aptos"/>
                <w:sz w:val="12"/>
              </w:rPr>
              <w:t>Chronologie annuelle</w:t>
            </w:r>
          </w:p>
        </w:tc>
        <w:tc>
          <w:tcPr>
            <w:tcW w:type="dxa" w:w="1757"/>
            <w:tcMar>
              <w:top w:w="60" w:type="dxa"/>
              <w:start w:w="60" w:type="dxa"/>
              <w:bottom w:w="60" w:type="dxa"/>
              <w:end w:w="60" w:type="dxa"/>
            </w:tcMar>
            <w:vAlign w:val="top"/>
          </w:tcPr>
          <w:p>
            <w:r/>
            <w:r>
              <w:rPr>
                <w:rFonts w:ascii="Aptos" w:hAnsi="Aptos"/>
                <w:sz w:val="12"/>
              </w:rPr>
              <w:t>Année 2014</w:t>
            </w:r>
          </w:p>
        </w:tc>
        <w:tc>
          <w:tcPr>
            <w:tcW w:type="dxa" w:w="2551"/>
            <w:tcMar>
              <w:top w:w="60" w:type="dxa"/>
              <w:start w:w="60" w:type="dxa"/>
              <w:bottom w:w="60" w:type="dxa"/>
              <w:end w:w="60" w:type="dxa"/>
            </w:tcMar>
            <w:vAlign w:val="top"/>
          </w:tcPr>
          <w:p>
            <w:r/>
            <w:r>
              <w:rPr>
                <w:rFonts w:ascii="Aptos" w:hAnsi="Aptos"/>
                <w:sz w:val="12"/>
              </w:rPr>
              <w:t>Mini-dossier annuel : dernière date de valeur disponible, Unit Price explicite, Bid/Offer, actif net, devise, gestionnaire, catégorie, dividende/distribution, événements et documents.</w:t>
            </w:r>
          </w:p>
        </w:tc>
        <w:tc>
          <w:tcPr>
            <w:tcW w:type="dxa" w:w="1757"/>
            <w:tcMar>
              <w:top w:w="60" w:type="dxa"/>
              <w:start w:w="60" w:type="dxa"/>
              <w:bottom w:w="60" w:type="dxa"/>
              <w:end w:w="60" w:type="dxa"/>
            </w:tcMar>
            <w:vAlign w:val="top"/>
          </w:tcPr>
          <w:p>
            <w:r/>
            <w:r>
              <w:rPr>
                <w:rFonts w:ascii="Aptos" w:hAnsi="Aptos"/>
                <w:sz w:val="12"/>
              </w:rPr>
              <w:t>SEC Weekly/Monthly + rapports/factsheets de l’année</w:t>
            </w:r>
          </w:p>
        </w:tc>
        <w:tc>
          <w:tcPr>
            <w:tcW w:type="dxa" w:w="2324"/>
            <w:tcMar>
              <w:top w:w="60" w:type="dxa"/>
              <w:start w:w="60" w:type="dxa"/>
              <w:bottom w:w="60" w:type="dxa"/>
              <w:end w:w="60" w:type="dxa"/>
            </w:tcMar>
            <w:vAlign w:val="top"/>
          </w:tcPr>
          <w:p>
            <w:r/>
            <w:r>
              <w:rPr>
                <w:rFonts w:ascii="Aptos" w:hAnsi="Aptos"/>
                <w:sz w:val="12"/>
              </w:rPr>
              <w:t>Conserver chaque sous-mesure et sa source ; ne pas résumer une absence par zéro. Si le classeur sépare plusieurs colonnes annuelles, appliquer ce mini-dossier à chacune.</w:t>
            </w:r>
          </w:p>
        </w:tc>
      </w:tr>
      <w:tr>
        <w:tc>
          <w:tcPr>
            <w:tcW w:type="dxa" w:w="397"/>
            <w:tcMar>
              <w:top w:w="60" w:type="dxa"/>
              <w:start w:w="60" w:type="dxa"/>
              <w:bottom w:w="60" w:type="dxa"/>
              <w:end w:w="60" w:type="dxa"/>
            </w:tcMar>
            <w:vAlign w:val="top"/>
          </w:tcPr>
          <w:p>
            <w:r/>
            <w:r>
              <w:rPr>
                <w:rFonts w:ascii="Aptos" w:hAnsi="Aptos"/>
                <w:sz w:val="12"/>
              </w:rPr>
              <w:t>79</w:t>
            </w:r>
          </w:p>
        </w:tc>
        <w:tc>
          <w:tcPr>
            <w:tcW w:type="dxa" w:w="1474"/>
            <w:tcMar>
              <w:top w:w="60" w:type="dxa"/>
              <w:start w:w="60" w:type="dxa"/>
              <w:bottom w:w="60" w:type="dxa"/>
              <w:end w:w="60" w:type="dxa"/>
            </w:tcMar>
            <w:vAlign w:val="top"/>
          </w:tcPr>
          <w:p>
            <w:r/>
            <w:r>
              <w:rPr>
                <w:rFonts w:ascii="Aptos" w:hAnsi="Aptos"/>
                <w:sz w:val="12"/>
              </w:rPr>
              <w:t>Chronologie annuelle</w:t>
            </w:r>
          </w:p>
        </w:tc>
        <w:tc>
          <w:tcPr>
            <w:tcW w:type="dxa" w:w="1757"/>
            <w:tcMar>
              <w:top w:w="60" w:type="dxa"/>
              <w:start w:w="60" w:type="dxa"/>
              <w:bottom w:w="60" w:type="dxa"/>
              <w:end w:w="60" w:type="dxa"/>
            </w:tcMar>
            <w:vAlign w:val="top"/>
          </w:tcPr>
          <w:p>
            <w:r/>
            <w:r>
              <w:rPr>
                <w:rFonts w:ascii="Aptos" w:hAnsi="Aptos"/>
                <w:sz w:val="12"/>
              </w:rPr>
              <w:t>Année 2015</w:t>
            </w:r>
          </w:p>
        </w:tc>
        <w:tc>
          <w:tcPr>
            <w:tcW w:type="dxa" w:w="2551"/>
            <w:tcMar>
              <w:top w:w="60" w:type="dxa"/>
              <w:start w:w="60" w:type="dxa"/>
              <w:bottom w:w="60" w:type="dxa"/>
              <w:end w:w="60" w:type="dxa"/>
            </w:tcMar>
            <w:vAlign w:val="top"/>
          </w:tcPr>
          <w:p>
            <w:r/>
            <w:r>
              <w:rPr>
                <w:rFonts w:ascii="Aptos" w:hAnsi="Aptos"/>
                <w:sz w:val="12"/>
              </w:rPr>
              <w:t>Mini-dossier annuel : dernière date de valeur disponible, Unit Price explicite, Bid/Offer, actif net, devise, gestionnaire, catégorie, dividende/distribution, événements et documents.</w:t>
            </w:r>
          </w:p>
        </w:tc>
        <w:tc>
          <w:tcPr>
            <w:tcW w:type="dxa" w:w="1757"/>
            <w:tcMar>
              <w:top w:w="60" w:type="dxa"/>
              <w:start w:w="60" w:type="dxa"/>
              <w:bottom w:w="60" w:type="dxa"/>
              <w:end w:w="60" w:type="dxa"/>
            </w:tcMar>
            <w:vAlign w:val="top"/>
          </w:tcPr>
          <w:p>
            <w:r/>
            <w:r>
              <w:rPr>
                <w:rFonts w:ascii="Aptos" w:hAnsi="Aptos"/>
                <w:sz w:val="12"/>
              </w:rPr>
              <w:t>SEC Weekly/Monthly + rapports/factsheets de l’année</w:t>
            </w:r>
          </w:p>
        </w:tc>
        <w:tc>
          <w:tcPr>
            <w:tcW w:type="dxa" w:w="2324"/>
            <w:tcMar>
              <w:top w:w="60" w:type="dxa"/>
              <w:start w:w="60" w:type="dxa"/>
              <w:bottom w:w="60" w:type="dxa"/>
              <w:end w:w="60" w:type="dxa"/>
            </w:tcMar>
            <w:vAlign w:val="top"/>
          </w:tcPr>
          <w:p>
            <w:r/>
            <w:r>
              <w:rPr>
                <w:rFonts w:ascii="Aptos" w:hAnsi="Aptos"/>
                <w:sz w:val="12"/>
              </w:rPr>
              <w:t>Conserver chaque sous-mesure et sa source ; ne pas résumer une absence par zéro. Si le classeur sépare plusieurs colonnes annuelles, appliquer ce mini-dossier à chacune.</w:t>
            </w:r>
          </w:p>
        </w:tc>
      </w:tr>
      <w:tr>
        <w:tc>
          <w:tcPr>
            <w:tcW w:type="dxa" w:w="397"/>
            <w:tcMar>
              <w:top w:w="60" w:type="dxa"/>
              <w:start w:w="60" w:type="dxa"/>
              <w:bottom w:w="60" w:type="dxa"/>
              <w:end w:w="60" w:type="dxa"/>
            </w:tcMar>
            <w:vAlign w:val="top"/>
          </w:tcPr>
          <w:p>
            <w:r/>
            <w:r>
              <w:rPr>
                <w:rFonts w:ascii="Aptos" w:hAnsi="Aptos"/>
                <w:sz w:val="12"/>
              </w:rPr>
              <w:t>80</w:t>
            </w:r>
          </w:p>
        </w:tc>
        <w:tc>
          <w:tcPr>
            <w:tcW w:type="dxa" w:w="1474"/>
            <w:tcMar>
              <w:top w:w="60" w:type="dxa"/>
              <w:start w:w="60" w:type="dxa"/>
              <w:bottom w:w="60" w:type="dxa"/>
              <w:end w:w="60" w:type="dxa"/>
            </w:tcMar>
            <w:vAlign w:val="top"/>
          </w:tcPr>
          <w:p>
            <w:r/>
            <w:r>
              <w:rPr>
                <w:rFonts w:ascii="Aptos" w:hAnsi="Aptos"/>
                <w:sz w:val="12"/>
              </w:rPr>
              <w:t>Chronologie annuelle</w:t>
            </w:r>
          </w:p>
        </w:tc>
        <w:tc>
          <w:tcPr>
            <w:tcW w:type="dxa" w:w="1757"/>
            <w:tcMar>
              <w:top w:w="60" w:type="dxa"/>
              <w:start w:w="60" w:type="dxa"/>
              <w:bottom w:w="60" w:type="dxa"/>
              <w:end w:w="60" w:type="dxa"/>
            </w:tcMar>
            <w:vAlign w:val="top"/>
          </w:tcPr>
          <w:p>
            <w:r/>
            <w:r>
              <w:rPr>
                <w:rFonts w:ascii="Aptos" w:hAnsi="Aptos"/>
                <w:sz w:val="12"/>
              </w:rPr>
              <w:t>Année 2016</w:t>
            </w:r>
          </w:p>
        </w:tc>
        <w:tc>
          <w:tcPr>
            <w:tcW w:type="dxa" w:w="2551"/>
            <w:tcMar>
              <w:top w:w="60" w:type="dxa"/>
              <w:start w:w="60" w:type="dxa"/>
              <w:bottom w:w="60" w:type="dxa"/>
              <w:end w:w="60" w:type="dxa"/>
            </w:tcMar>
            <w:vAlign w:val="top"/>
          </w:tcPr>
          <w:p>
            <w:r/>
            <w:r>
              <w:rPr>
                <w:rFonts w:ascii="Aptos" w:hAnsi="Aptos"/>
                <w:sz w:val="12"/>
              </w:rPr>
              <w:t>Mini-dossier annuel : dernière date de valeur disponible, Unit Price explicite, Bid/Offer, actif net, devise, gestionnaire, catégorie, dividende/distribution, événements et documents.</w:t>
            </w:r>
          </w:p>
        </w:tc>
        <w:tc>
          <w:tcPr>
            <w:tcW w:type="dxa" w:w="1757"/>
            <w:tcMar>
              <w:top w:w="60" w:type="dxa"/>
              <w:start w:w="60" w:type="dxa"/>
              <w:bottom w:w="60" w:type="dxa"/>
              <w:end w:w="60" w:type="dxa"/>
            </w:tcMar>
            <w:vAlign w:val="top"/>
          </w:tcPr>
          <w:p>
            <w:r/>
            <w:r>
              <w:rPr>
                <w:rFonts w:ascii="Aptos" w:hAnsi="Aptos"/>
                <w:sz w:val="12"/>
              </w:rPr>
              <w:t>SEC Weekly/Monthly + rapports/factsheets de l’année</w:t>
            </w:r>
          </w:p>
        </w:tc>
        <w:tc>
          <w:tcPr>
            <w:tcW w:type="dxa" w:w="2324"/>
            <w:tcMar>
              <w:top w:w="60" w:type="dxa"/>
              <w:start w:w="60" w:type="dxa"/>
              <w:bottom w:w="60" w:type="dxa"/>
              <w:end w:w="60" w:type="dxa"/>
            </w:tcMar>
            <w:vAlign w:val="top"/>
          </w:tcPr>
          <w:p>
            <w:r/>
            <w:r>
              <w:rPr>
                <w:rFonts w:ascii="Aptos" w:hAnsi="Aptos"/>
                <w:sz w:val="12"/>
              </w:rPr>
              <w:t>Conserver chaque sous-mesure et sa source ; ne pas résumer une absence par zéro. Si le classeur sépare plusieurs colonnes annuelles, appliquer ce mini-dossier à chacune.</w:t>
            </w:r>
          </w:p>
        </w:tc>
      </w:tr>
      <w:tr>
        <w:tc>
          <w:tcPr>
            <w:tcW w:type="dxa" w:w="397"/>
            <w:tcMar>
              <w:top w:w="60" w:type="dxa"/>
              <w:start w:w="60" w:type="dxa"/>
              <w:bottom w:w="60" w:type="dxa"/>
              <w:end w:w="60" w:type="dxa"/>
            </w:tcMar>
            <w:vAlign w:val="top"/>
          </w:tcPr>
          <w:p>
            <w:r/>
            <w:r>
              <w:rPr>
                <w:rFonts w:ascii="Aptos" w:hAnsi="Aptos"/>
                <w:sz w:val="12"/>
              </w:rPr>
              <w:t>81</w:t>
            </w:r>
          </w:p>
        </w:tc>
        <w:tc>
          <w:tcPr>
            <w:tcW w:type="dxa" w:w="1474"/>
            <w:tcMar>
              <w:top w:w="60" w:type="dxa"/>
              <w:start w:w="60" w:type="dxa"/>
              <w:bottom w:w="60" w:type="dxa"/>
              <w:end w:w="60" w:type="dxa"/>
            </w:tcMar>
            <w:vAlign w:val="top"/>
          </w:tcPr>
          <w:p>
            <w:r/>
            <w:r>
              <w:rPr>
                <w:rFonts w:ascii="Aptos" w:hAnsi="Aptos"/>
                <w:sz w:val="12"/>
              </w:rPr>
              <w:t>Chronologie annuelle</w:t>
            </w:r>
          </w:p>
        </w:tc>
        <w:tc>
          <w:tcPr>
            <w:tcW w:type="dxa" w:w="1757"/>
            <w:tcMar>
              <w:top w:w="60" w:type="dxa"/>
              <w:start w:w="60" w:type="dxa"/>
              <w:bottom w:w="60" w:type="dxa"/>
              <w:end w:w="60" w:type="dxa"/>
            </w:tcMar>
            <w:vAlign w:val="top"/>
          </w:tcPr>
          <w:p>
            <w:r/>
            <w:r>
              <w:rPr>
                <w:rFonts w:ascii="Aptos" w:hAnsi="Aptos"/>
                <w:sz w:val="12"/>
              </w:rPr>
              <w:t>Année 2017</w:t>
            </w:r>
          </w:p>
        </w:tc>
        <w:tc>
          <w:tcPr>
            <w:tcW w:type="dxa" w:w="2551"/>
            <w:tcMar>
              <w:top w:w="60" w:type="dxa"/>
              <w:start w:w="60" w:type="dxa"/>
              <w:bottom w:w="60" w:type="dxa"/>
              <w:end w:w="60" w:type="dxa"/>
            </w:tcMar>
            <w:vAlign w:val="top"/>
          </w:tcPr>
          <w:p>
            <w:r/>
            <w:r>
              <w:rPr>
                <w:rFonts w:ascii="Aptos" w:hAnsi="Aptos"/>
                <w:sz w:val="12"/>
              </w:rPr>
              <w:t>Mini-dossier annuel : dernière date de valeur disponible, Unit Price explicite, Bid/Offer, actif net, devise, gestionnaire, catégorie, dividende/distribution, événements et documents.</w:t>
            </w:r>
          </w:p>
        </w:tc>
        <w:tc>
          <w:tcPr>
            <w:tcW w:type="dxa" w:w="1757"/>
            <w:tcMar>
              <w:top w:w="60" w:type="dxa"/>
              <w:start w:w="60" w:type="dxa"/>
              <w:bottom w:w="60" w:type="dxa"/>
              <w:end w:w="60" w:type="dxa"/>
            </w:tcMar>
            <w:vAlign w:val="top"/>
          </w:tcPr>
          <w:p>
            <w:r/>
            <w:r>
              <w:rPr>
                <w:rFonts w:ascii="Aptos" w:hAnsi="Aptos"/>
                <w:sz w:val="12"/>
              </w:rPr>
              <w:t>SEC Weekly/Monthly + rapports/factsheets de l’année</w:t>
            </w:r>
          </w:p>
        </w:tc>
        <w:tc>
          <w:tcPr>
            <w:tcW w:type="dxa" w:w="2324"/>
            <w:tcMar>
              <w:top w:w="60" w:type="dxa"/>
              <w:start w:w="60" w:type="dxa"/>
              <w:bottom w:w="60" w:type="dxa"/>
              <w:end w:w="60" w:type="dxa"/>
            </w:tcMar>
            <w:vAlign w:val="top"/>
          </w:tcPr>
          <w:p>
            <w:r/>
            <w:r>
              <w:rPr>
                <w:rFonts w:ascii="Aptos" w:hAnsi="Aptos"/>
                <w:sz w:val="12"/>
              </w:rPr>
              <w:t>Conserver chaque sous-mesure et sa source ; ne pas résumer une absence par zéro. Si le classeur sépare plusieurs colonnes annuelles, appliquer ce mini-dossier à chacune.</w:t>
            </w:r>
          </w:p>
        </w:tc>
      </w:tr>
      <w:tr>
        <w:tc>
          <w:tcPr>
            <w:tcW w:type="dxa" w:w="397"/>
            <w:tcMar>
              <w:top w:w="60" w:type="dxa"/>
              <w:start w:w="60" w:type="dxa"/>
              <w:bottom w:w="60" w:type="dxa"/>
              <w:end w:w="60" w:type="dxa"/>
            </w:tcMar>
            <w:vAlign w:val="top"/>
          </w:tcPr>
          <w:p>
            <w:r/>
            <w:r>
              <w:rPr>
                <w:rFonts w:ascii="Aptos" w:hAnsi="Aptos"/>
                <w:sz w:val="12"/>
              </w:rPr>
              <w:t>82</w:t>
            </w:r>
          </w:p>
        </w:tc>
        <w:tc>
          <w:tcPr>
            <w:tcW w:type="dxa" w:w="1474"/>
            <w:tcMar>
              <w:top w:w="60" w:type="dxa"/>
              <w:start w:w="60" w:type="dxa"/>
              <w:bottom w:w="60" w:type="dxa"/>
              <w:end w:w="60" w:type="dxa"/>
            </w:tcMar>
            <w:vAlign w:val="top"/>
          </w:tcPr>
          <w:p>
            <w:r/>
            <w:r>
              <w:rPr>
                <w:rFonts w:ascii="Aptos" w:hAnsi="Aptos"/>
                <w:sz w:val="12"/>
              </w:rPr>
              <w:t>Chronologie annuelle</w:t>
            </w:r>
          </w:p>
        </w:tc>
        <w:tc>
          <w:tcPr>
            <w:tcW w:type="dxa" w:w="1757"/>
            <w:tcMar>
              <w:top w:w="60" w:type="dxa"/>
              <w:start w:w="60" w:type="dxa"/>
              <w:bottom w:w="60" w:type="dxa"/>
              <w:end w:w="60" w:type="dxa"/>
            </w:tcMar>
            <w:vAlign w:val="top"/>
          </w:tcPr>
          <w:p>
            <w:r/>
            <w:r>
              <w:rPr>
                <w:rFonts w:ascii="Aptos" w:hAnsi="Aptos"/>
                <w:sz w:val="12"/>
              </w:rPr>
              <w:t>Année 2018</w:t>
            </w:r>
          </w:p>
        </w:tc>
        <w:tc>
          <w:tcPr>
            <w:tcW w:type="dxa" w:w="2551"/>
            <w:tcMar>
              <w:top w:w="60" w:type="dxa"/>
              <w:start w:w="60" w:type="dxa"/>
              <w:bottom w:w="60" w:type="dxa"/>
              <w:end w:w="60" w:type="dxa"/>
            </w:tcMar>
            <w:vAlign w:val="top"/>
          </w:tcPr>
          <w:p>
            <w:r/>
            <w:r>
              <w:rPr>
                <w:rFonts w:ascii="Aptos" w:hAnsi="Aptos"/>
                <w:sz w:val="12"/>
              </w:rPr>
              <w:t>Mini-dossier annuel : dernière date de valeur disponible, Unit Price explicite, Bid/Offer, actif net, devise, gestionnaire, catégorie, dividende/distribution, événements et documents.</w:t>
            </w:r>
          </w:p>
        </w:tc>
        <w:tc>
          <w:tcPr>
            <w:tcW w:type="dxa" w:w="1757"/>
            <w:tcMar>
              <w:top w:w="60" w:type="dxa"/>
              <w:start w:w="60" w:type="dxa"/>
              <w:bottom w:w="60" w:type="dxa"/>
              <w:end w:w="60" w:type="dxa"/>
            </w:tcMar>
            <w:vAlign w:val="top"/>
          </w:tcPr>
          <w:p>
            <w:r/>
            <w:r>
              <w:rPr>
                <w:rFonts w:ascii="Aptos" w:hAnsi="Aptos"/>
                <w:sz w:val="12"/>
              </w:rPr>
              <w:t>SEC Weekly/Monthly + rapports/factsheets de l’année</w:t>
            </w:r>
          </w:p>
        </w:tc>
        <w:tc>
          <w:tcPr>
            <w:tcW w:type="dxa" w:w="2324"/>
            <w:tcMar>
              <w:top w:w="60" w:type="dxa"/>
              <w:start w:w="60" w:type="dxa"/>
              <w:bottom w:w="60" w:type="dxa"/>
              <w:end w:w="60" w:type="dxa"/>
            </w:tcMar>
            <w:vAlign w:val="top"/>
          </w:tcPr>
          <w:p>
            <w:r/>
            <w:r>
              <w:rPr>
                <w:rFonts w:ascii="Aptos" w:hAnsi="Aptos"/>
                <w:sz w:val="12"/>
              </w:rPr>
              <w:t>Conserver chaque sous-mesure et sa source ; ne pas résumer une absence par zéro. Si le classeur sépare plusieurs colonnes annuelles, appliquer ce mini-dossier à chacune.</w:t>
            </w:r>
          </w:p>
        </w:tc>
      </w:tr>
      <w:tr>
        <w:tc>
          <w:tcPr>
            <w:tcW w:type="dxa" w:w="397"/>
            <w:tcMar>
              <w:top w:w="60" w:type="dxa"/>
              <w:start w:w="60" w:type="dxa"/>
              <w:bottom w:w="60" w:type="dxa"/>
              <w:end w:w="60" w:type="dxa"/>
            </w:tcMar>
            <w:vAlign w:val="top"/>
          </w:tcPr>
          <w:p>
            <w:r/>
            <w:r>
              <w:rPr>
                <w:rFonts w:ascii="Aptos" w:hAnsi="Aptos"/>
                <w:sz w:val="12"/>
              </w:rPr>
              <w:t>83</w:t>
            </w:r>
          </w:p>
        </w:tc>
        <w:tc>
          <w:tcPr>
            <w:tcW w:type="dxa" w:w="1474"/>
            <w:tcMar>
              <w:top w:w="60" w:type="dxa"/>
              <w:start w:w="60" w:type="dxa"/>
              <w:bottom w:w="60" w:type="dxa"/>
              <w:end w:w="60" w:type="dxa"/>
            </w:tcMar>
            <w:vAlign w:val="top"/>
          </w:tcPr>
          <w:p>
            <w:r/>
            <w:r>
              <w:rPr>
                <w:rFonts w:ascii="Aptos" w:hAnsi="Aptos"/>
                <w:sz w:val="12"/>
              </w:rPr>
              <w:t>Chronologie annuelle</w:t>
            </w:r>
          </w:p>
        </w:tc>
        <w:tc>
          <w:tcPr>
            <w:tcW w:type="dxa" w:w="1757"/>
            <w:tcMar>
              <w:top w:w="60" w:type="dxa"/>
              <w:start w:w="60" w:type="dxa"/>
              <w:bottom w:w="60" w:type="dxa"/>
              <w:end w:w="60" w:type="dxa"/>
            </w:tcMar>
            <w:vAlign w:val="top"/>
          </w:tcPr>
          <w:p>
            <w:r/>
            <w:r>
              <w:rPr>
                <w:rFonts w:ascii="Aptos" w:hAnsi="Aptos"/>
                <w:sz w:val="12"/>
              </w:rPr>
              <w:t>Année 2019</w:t>
            </w:r>
          </w:p>
        </w:tc>
        <w:tc>
          <w:tcPr>
            <w:tcW w:type="dxa" w:w="2551"/>
            <w:tcMar>
              <w:top w:w="60" w:type="dxa"/>
              <w:start w:w="60" w:type="dxa"/>
              <w:bottom w:w="60" w:type="dxa"/>
              <w:end w:w="60" w:type="dxa"/>
            </w:tcMar>
            <w:vAlign w:val="top"/>
          </w:tcPr>
          <w:p>
            <w:r/>
            <w:r>
              <w:rPr>
                <w:rFonts w:ascii="Aptos" w:hAnsi="Aptos"/>
                <w:sz w:val="12"/>
              </w:rPr>
              <w:t>Mini-dossier annuel : dernière date de valeur disponible, Unit Price explicite, Bid/Offer, actif net, devise, gestionnaire, catégorie, dividende/distribution, événements et documents.</w:t>
            </w:r>
          </w:p>
        </w:tc>
        <w:tc>
          <w:tcPr>
            <w:tcW w:type="dxa" w:w="1757"/>
            <w:tcMar>
              <w:top w:w="60" w:type="dxa"/>
              <w:start w:w="60" w:type="dxa"/>
              <w:bottom w:w="60" w:type="dxa"/>
              <w:end w:w="60" w:type="dxa"/>
            </w:tcMar>
            <w:vAlign w:val="top"/>
          </w:tcPr>
          <w:p>
            <w:r/>
            <w:r>
              <w:rPr>
                <w:rFonts w:ascii="Aptos" w:hAnsi="Aptos"/>
                <w:sz w:val="12"/>
              </w:rPr>
              <w:t>SEC Weekly/Monthly + rapports/factsheets de l’année</w:t>
            </w:r>
          </w:p>
        </w:tc>
        <w:tc>
          <w:tcPr>
            <w:tcW w:type="dxa" w:w="2324"/>
            <w:tcMar>
              <w:top w:w="60" w:type="dxa"/>
              <w:start w:w="60" w:type="dxa"/>
              <w:bottom w:w="60" w:type="dxa"/>
              <w:end w:w="60" w:type="dxa"/>
            </w:tcMar>
            <w:vAlign w:val="top"/>
          </w:tcPr>
          <w:p>
            <w:r/>
            <w:r>
              <w:rPr>
                <w:rFonts w:ascii="Aptos" w:hAnsi="Aptos"/>
                <w:sz w:val="12"/>
              </w:rPr>
              <w:t>Conserver chaque sous-mesure et sa source ; ne pas résumer une absence par zéro. Si le classeur sépare plusieurs colonnes annuelles, appliquer ce mini-dossier à chacune.</w:t>
            </w:r>
          </w:p>
        </w:tc>
      </w:tr>
      <w:tr>
        <w:tc>
          <w:tcPr>
            <w:tcW w:type="dxa" w:w="397"/>
            <w:tcMar>
              <w:top w:w="60" w:type="dxa"/>
              <w:start w:w="60" w:type="dxa"/>
              <w:bottom w:w="60" w:type="dxa"/>
              <w:end w:w="60" w:type="dxa"/>
            </w:tcMar>
            <w:vAlign w:val="top"/>
          </w:tcPr>
          <w:p>
            <w:r/>
            <w:r>
              <w:rPr>
                <w:rFonts w:ascii="Aptos" w:hAnsi="Aptos"/>
                <w:sz w:val="12"/>
              </w:rPr>
              <w:t>84</w:t>
            </w:r>
          </w:p>
        </w:tc>
        <w:tc>
          <w:tcPr>
            <w:tcW w:type="dxa" w:w="1474"/>
            <w:tcMar>
              <w:top w:w="60" w:type="dxa"/>
              <w:start w:w="60" w:type="dxa"/>
              <w:bottom w:w="60" w:type="dxa"/>
              <w:end w:w="60" w:type="dxa"/>
            </w:tcMar>
            <w:vAlign w:val="top"/>
          </w:tcPr>
          <w:p>
            <w:r/>
            <w:r>
              <w:rPr>
                <w:rFonts w:ascii="Aptos" w:hAnsi="Aptos"/>
                <w:sz w:val="12"/>
              </w:rPr>
              <w:t>Chronologie annuelle</w:t>
            </w:r>
          </w:p>
        </w:tc>
        <w:tc>
          <w:tcPr>
            <w:tcW w:type="dxa" w:w="1757"/>
            <w:tcMar>
              <w:top w:w="60" w:type="dxa"/>
              <w:start w:w="60" w:type="dxa"/>
              <w:bottom w:w="60" w:type="dxa"/>
              <w:end w:w="60" w:type="dxa"/>
            </w:tcMar>
            <w:vAlign w:val="top"/>
          </w:tcPr>
          <w:p>
            <w:r/>
            <w:r>
              <w:rPr>
                <w:rFonts w:ascii="Aptos" w:hAnsi="Aptos"/>
                <w:sz w:val="12"/>
              </w:rPr>
              <w:t>Année 2020</w:t>
            </w:r>
          </w:p>
        </w:tc>
        <w:tc>
          <w:tcPr>
            <w:tcW w:type="dxa" w:w="2551"/>
            <w:tcMar>
              <w:top w:w="60" w:type="dxa"/>
              <w:start w:w="60" w:type="dxa"/>
              <w:bottom w:w="60" w:type="dxa"/>
              <w:end w:w="60" w:type="dxa"/>
            </w:tcMar>
            <w:vAlign w:val="top"/>
          </w:tcPr>
          <w:p>
            <w:r/>
            <w:r>
              <w:rPr>
                <w:rFonts w:ascii="Aptos" w:hAnsi="Aptos"/>
                <w:sz w:val="12"/>
              </w:rPr>
              <w:t>Mini-dossier annuel : dernière date de valeur disponible, Unit Price explicite, Bid/Offer, actif net, devise, gestionnaire, catégorie, dividende/distribution, événements et documents.</w:t>
            </w:r>
          </w:p>
        </w:tc>
        <w:tc>
          <w:tcPr>
            <w:tcW w:type="dxa" w:w="1757"/>
            <w:tcMar>
              <w:top w:w="60" w:type="dxa"/>
              <w:start w:w="60" w:type="dxa"/>
              <w:bottom w:w="60" w:type="dxa"/>
              <w:end w:w="60" w:type="dxa"/>
            </w:tcMar>
            <w:vAlign w:val="top"/>
          </w:tcPr>
          <w:p>
            <w:r/>
            <w:r>
              <w:rPr>
                <w:rFonts w:ascii="Aptos" w:hAnsi="Aptos"/>
                <w:sz w:val="12"/>
              </w:rPr>
              <w:t>SEC Weekly/Monthly + rapports/factsheets de l’année</w:t>
            </w:r>
          </w:p>
        </w:tc>
        <w:tc>
          <w:tcPr>
            <w:tcW w:type="dxa" w:w="2324"/>
            <w:tcMar>
              <w:top w:w="60" w:type="dxa"/>
              <w:start w:w="60" w:type="dxa"/>
              <w:bottom w:w="60" w:type="dxa"/>
              <w:end w:w="60" w:type="dxa"/>
            </w:tcMar>
            <w:vAlign w:val="top"/>
          </w:tcPr>
          <w:p>
            <w:r/>
            <w:r>
              <w:rPr>
                <w:rFonts w:ascii="Aptos" w:hAnsi="Aptos"/>
                <w:sz w:val="12"/>
              </w:rPr>
              <w:t>Conserver chaque sous-mesure et sa source ; ne pas résumer une absence par zéro. Si le classeur sépare plusieurs colonnes annuelles, appliquer ce mini-dossier à chacune.</w:t>
            </w:r>
          </w:p>
        </w:tc>
      </w:tr>
      <w:tr>
        <w:tc>
          <w:tcPr>
            <w:tcW w:type="dxa" w:w="397"/>
            <w:tcMar>
              <w:top w:w="60" w:type="dxa"/>
              <w:start w:w="60" w:type="dxa"/>
              <w:bottom w:w="60" w:type="dxa"/>
              <w:end w:w="60" w:type="dxa"/>
            </w:tcMar>
            <w:vAlign w:val="top"/>
          </w:tcPr>
          <w:p>
            <w:r/>
            <w:r>
              <w:rPr>
                <w:rFonts w:ascii="Aptos" w:hAnsi="Aptos"/>
                <w:sz w:val="12"/>
              </w:rPr>
              <w:t>85</w:t>
            </w:r>
          </w:p>
        </w:tc>
        <w:tc>
          <w:tcPr>
            <w:tcW w:type="dxa" w:w="1474"/>
            <w:tcMar>
              <w:top w:w="60" w:type="dxa"/>
              <w:start w:w="60" w:type="dxa"/>
              <w:bottom w:w="60" w:type="dxa"/>
              <w:end w:w="60" w:type="dxa"/>
            </w:tcMar>
            <w:vAlign w:val="top"/>
          </w:tcPr>
          <w:p>
            <w:r/>
            <w:r>
              <w:rPr>
                <w:rFonts w:ascii="Aptos" w:hAnsi="Aptos"/>
                <w:sz w:val="12"/>
              </w:rPr>
              <w:t>Chronologie annuelle</w:t>
            </w:r>
          </w:p>
        </w:tc>
        <w:tc>
          <w:tcPr>
            <w:tcW w:type="dxa" w:w="1757"/>
            <w:tcMar>
              <w:top w:w="60" w:type="dxa"/>
              <w:start w:w="60" w:type="dxa"/>
              <w:bottom w:w="60" w:type="dxa"/>
              <w:end w:w="60" w:type="dxa"/>
            </w:tcMar>
            <w:vAlign w:val="top"/>
          </w:tcPr>
          <w:p>
            <w:r/>
            <w:r>
              <w:rPr>
                <w:rFonts w:ascii="Aptos" w:hAnsi="Aptos"/>
                <w:sz w:val="12"/>
              </w:rPr>
              <w:t>Année 2021</w:t>
            </w:r>
          </w:p>
        </w:tc>
        <w:tc>
          <w:tcPr>
            <w:tcW w:type="dxa" w:w="2551"/>
            <w:tcMar>
              <w:top w:w="60" w:type="dxa"/>
              <w:start w:w="60" w:type="dxa"/>
              <w:bottom w:w="60" w:type="dxa"/>
              <w:end w:w="60" w:type="dxa"/>
            </w:tcMar>
            <w:vAlign w:val="top"/>
          </w:tcPr>
          <w:p>
            <w:r/>
            <w:r>
              <w:rPr>
                <w:rFonts w:ascii="Aptos" w:hAnsi="Aptos"/>
                <w:sz w:val="12"/>
              </w:rPr>
              <w:t>Mini-dossier annuel : dernière date de valeur disponible, Unit Price explicite, Bid/Offer, actif net, devise, gestionnaire, catégorie, dividende/distribution, événements et documents.</w:t>
            </w:r>
          </w:p>
        </w:tc>
        <w:tc>
          <w:tcPr>
            <w:tcW w:type="dxa" w:w="1757"/>
            <w:tcMar>
              <w:top w:w="60" w:type="dxa"/>
              <w:start w:w="60" w:type="dxa"/>
              <w:bottom w:w="60" w:type="dxa"/>
              <w:end w:w="60" w:type="dxa"/>
            </w:tcMar>
            <w:vAlign w:val="top"/>
          </w:tcPr>
          <w:p>
            <w:r/>
            <w:r>
              <w:rPr>
                <w:rFonts w:ascii="Aptos" w:hAnsi="Aptos"/>
                <w:sz w:val="12"/>
              </w:rPr>
              <w:t>SEC Weekly/Monthly + rapports/factsheets de l’année</w:t>
            </w:r>
          </w:p>
        </w:tc>
        <w:tc>
          <w:tcPr>
            <w:tcW w:type="dxa" w:w="2324"/>
            <w:tcMar>
              <w:top w:w="60" w:type="dxa"/>
              <w:start w:w="60" w:type="dxa"/>
              <w:bottom w:w="60" w:type="dxa"/>
              <w:end w:w="60" w:type="dxa"/>
            </w:tcMar>
            <w:vAlign w:val="top"/>
          </w:tcPr>
          <w:p>
            <w:r/>
            <w:r>
              <w:rPr>
                <w:rFonts w:ascii="Aptos" w:hAnsi="Aptos"/>
                <w:sz w:val="12"/>
              </w:rPr>
              <w:t>Conserver chaque sous-mesure et sa source ; ne pas résumer une absence par zéro. Si le classeur sépare plusieurs colonnes annuelles, appliquer ce mini-dossier à chacune.</w:t>
            </w:r>
          </w:p>
        </w:tc>
      </w:tr>
      <w:tr>
        <w:tc>
          <w:tcPr>
            <w:tcW w:type="dxa" w:w="397"/>
            <w:tcMar>
              <w:top w:w="60" w:type="dxa"/>
              <w:start w:w="60" w:type="dxa"/>
              <w:bottom w:w="60" w:type="dxa"/>
              <w:end w:w="60" w:type="dxa"/>
            </w:tcMar>
            <w:vAlign w:val="top"/>
          </w:tcPr>
          <w:p>
            <w:r/>
            <w:r>
              <w:rPr>
                <w:rFonts w:ascii="Aptos" w:hAnsi="Aptos"/>
                <w:sz w:val="12"/>
              </w:rPr>
              <w:t>86</w:t>
            </w:r>
          </w:p>
        </w:tc>
        <w:tc>
          <w:tcPr>
            <w:tcW w:type="dxa" w:w="1474"/>
            <w:tcMar>
              <w:top w:w="60" w:type="dxa"/>
              <w:start w:w="60" w:type="dxa"/>
              <w:bottom w:w="60" w:type="dxa"/>
              <w:end w:w="60" w:type="dxa"/>
            </w:tcMar>
            <w:vAlign w:val="top"/>
          </w:tcPr>
          <w:p>
            <w:r/>
            <w:r>
              <w:rPr>
                <w:rFonts w:ascii="Aptos" w:hAnsi="Aptos"/>
                <w:sz w:val="12"/>
              </w:rPr>
              <w:t>Chronologie annuelle</w:t>
            </w:r>
          </w:p>
        </w:tc>
        <w:tc>
          <w:tcPr>
            <w:tcW w:type="dxa" w:w="1757"/>
            <w:tcMar>
              <w:top w:w="60" w:type="dxa"/>
              <w:start w:w="60" w:type="dxa"/>
              <w:bottom w:w="60" w:type="dxa"/>
              <w:end w:w="60" w:type="dxa"/>
            </w:tcMar>
            <w:vAlign w:val="top"/>
          </w:tcPr>
          <w:p>
            <w:r/>
            <w:r>
              <w:rPr>
                <w:rFonts w:ascii="Aptos" w:hAnsi="Aptos"/>
                <w:sz w:val="12"/>
              </w:rPr>
              <w:t>Année 2022</w:t>
            </w:r>
          </w:p>
        </w:tc>
        <w:tc>
          <w:tcPr>
            <w:tcW w:type="dxa" w:w="2551"/>
            <w:tcMar>
              <w:top w:w="60" w:type="dxa"/>
              <w:start w:w="60" w:type="dxa"/>
              <w:bottom w:w="60" w:type="dxa"/>
              <w:end w:w="60" w:type="dxa"/>
            </w:tcMar>
            <w:vAlign w:val="top"/>
          </w:tcPr>
          <w:p>
            <w:r/>
            <w:r>
              <w:rPr>
                <w:rFonts w:ascii="Aptos" w:hAnsi="Aptos"/>
                <w:sz w:val="12"/>
              </w:rPr>
              <w:t>Mini-dossier annuel : dernière date de valeur disponible, Unit Price explicite, Bid/Offer, actif net, devise, gestionnaire, catégorie, dividende/distribution, événements et documents.</w:t>
            </w:r>
          </w:p>
        </w:tc>
        <w:tc>
          <w:tcPr>
            <w:tcW w:type="dxa" w:w="1757"/>
            <w:tcMar>
              <w:top w:w="60" w:type="dxa"/>
              <w:start w:w="60" w:type="dxa"/>
              <w:bottom w:w="60" w:type="dxa"/>
              <w:end w:w="60" w:type="dxa"/>
            </w:tcMar>
            <w:vAlign w:val="top"/>
          </w:tcPr>
          <w:p>
            <w:r/>
            <w:r>
              <w:rPr>
                <w:rFonts w:ascii="Aptos" w:hAnsi="Aptos"/>
                <w:sz w:val="12"/>
              </w:rPr>
              <w:t>SEC Weekly/Monthly + rapports/factsheets de l’année</w:t>
            </w:r>
          </w:p>
        </w:tc>
        <w:tc>
          <w:tcPr>
            <w:tcW w:type="dxa" w:w="2324"/>
            <w:tcMar>
              <w:top w:w="60" w:type="dxa"/>
              <w:start w:w="60" w:type="dxa"/>
              <w:bottom w:w="60" w:type="dxa"/>
              <w:end w:w="60" w:type="dxa"/>
            </w:tcMar>
            <w:vAlign w:val="top"/>
          </w:tcPr>
          <w:p>
            <w:r/>
            <w:r>
              <w:rPr>
                <w:rFonts w:ascii="Aptos" w:hAnsi="Aptos"/>
                <w:sz w:val="12"/>
              </w:rPr>
              <w:t>Conserver chaque sous-mesure et sa source ; ne pas résumer une absence par zéro. Si le classeur sépare plusieurs colonnes annuelles, appliquer ce mini-dossier à chacune.</w:t>
            </w:r>
          </w:p>
        </w:tc>
      </w:tr>
      <w:tr>
        <w:tc>
          <w:tcPr>
            <w:tcW w:type="dxa" w:w="397"/>
            <w:tcMar>
              <w:top w:w="60" w:type="dxa"/>
              <w:start w:w="60" w:type="dxa"/>
              <w:bottom w:w="60" w:type="dxa"/>
              <w:end w:w="60" w:type="dxa"/>
            </w:tcMar>
            <w:vAlign w:val="top"/>
          </w:tcPr>
          <w:p>
            <w:r/>
            <w:r>
              <w:rPr>
                <w:rFonts w:ascii="Aptos" w:hAnsi="Aptos"/>
                <w:sz w:val="12"/>
              </w:rPr>
              <w:t>87</w:t>
            </w:r>
          </w:p>
        </w:tc>
        <w:tc>
          <w:tcPr>
            <w:tcW w:type="dxa" w:w="1474"/>
            <w:tcMar>
              <w:top w:w="60" w:type="dxa"/>
              <w:start w:w="60" w:type="dxa"/>
              <w:bottom w:w="60" w:type="dxa"/>
              <w:end w:w="60" w:type="dxa"/>
            </w:tcMar>
            <w:vAlign w:val="top"/>
          </w:tcPr>
          <w:p>
            <w:r/>
            <w:r>
              <w:rPr>
                <w:rFonts w:ascii="Aptos" w:hAnsi="Aptos"/>
                <w:sz w:val="12"/>
              </w:rPr>
              <w:t>Chronologie annuelle</w:t>
            </w:r>
          </w:p>
        </w:tc>
        <w:tc>
          <w:tcPr>
            <w:tcW w:type="dxa" w:w="1757"/>
            <w:tcMar>
              <w:top w:w="60" w:type="dxa"/>
              <w:start w:w="60" w:type="dxa"/>
              <w:bottom w:w="60" w:type="dxa"/>
              <w:end w:w="60" w:type="dxa"/>
            </w:tcMar>
            <w:vAlign w:val="top"/>
          </w:tcPr>
          <w:p>
            <w:r/>
            <w:r>
              <w:rPr>
                <w:rFonts w:ascii="Aptos" w:hAnsi="Aptos"/>
                <w:sz w:val="12"/>
              </w:rPr>
              <w:t>Année 2023</w:t>
            </w:r>
          </w:p>
        </w:tc>
        <w:tc>
          <w:tcPr>
            <w:tcW w:type="dxa" w:w="2551"/>
            <w:tcMar>
              <w:top w:w="60" w:type="dxa"/>
              <w:start w:w="60" w:type="dxa"/>
              <w:bottom w:w="60" w:type="dxa"/>
              <w:end w:w="60" w:type="dxa"/>
            </w:tcMar>
            <w:vAlign w:val="top"/>
          </w:tcPr>
          <w:p>
            <w:r/>
            <w:r>
              <w:rPr>
                <w:rFonts w:ascii="Aptos" w:hAnsi="Aptos"/>
                <w:sz w:val="12"/>
              </w:rPr>
              <w:t>Mini-dossier annuel : dernière date de valeur disponible, Unit Price explicite, Bid/Offer, actif net, devise, gestionnaire, catégorie, dividende/distribution, événements et documents.</w:t>
            </w:r>
          </w:p>
        </w:tc>
        <w:tc>
          <w:tcPr>
            <w:tcW w:type="dxa" w:w="1757"/>
            <w:tcMar>
              <w:top w:w="60" w:type="dxa"/>
              <w:start w:w="60" w:type="dxa"/>
              <w:bottom w:w="60" w:type="dxa"/>
              <w:end w:w="60" w:type="dxa"/>
            </w:tcMar>
            <w:vAlign w:val="top"/>
          </w:tcPr>
          <w:p>
            <w:r/>
            <w:r>
              <w:rPr>
                <w:rFonts w:ascii="Aptos" w:hAnsi="Aptos"/>
                <w:sz w:val="12"/>
              </w:rPr>
              <w:t>SEC Weekly/Monthly + rapports/factsheets de l’année</w:t>
            </w:r>
          </w:p>
        </w:tc>
        <w:tc>
          <w:tcPr>
            <w:tcW w:type="dxa" w:w="2324"/>
            <w:tcMar>
              <w:top w:w="60" w:type="dxa"/>
              <w:start w:w="60" w:type="dxa"/>
              <w:bottom w:w="60" w:type="dxa"/>
              <w:end w:w="60" w:type="dxa"/>
            </w:tcMar>
            <w:vAlign w:val="top"/>
          </w:tcPr>
          <w:p>
            <w:r/>
            <w:r>
              <w:rPr>
                <w:rFonts w:ascii="Aptos" w:hAnsi="Aptos"/>
                <w:sz w:val="12"/>
              </w:rPr>
              <w:t>Conserver chaque sous-mesure et sa source ; ne pas résumer une absence par zéro. Si le classeur sépare plusieurs colonnes annuelles, appliquer ce mini-dossier à chacune.</w:t>
            </w:r>
          </w:p>
        </w:tc>
      </w:tr>
      <w:tr>
        <w:tc>
          <w:tcPr>
            <w:tcW w:type="dxa" w:w="397"/>
            <w:tcMar>
              <w:top w:w="60" w:type="dxa"/>
              <w:start w:w="60" w:type="dxa"/>
              <w:bottom w:w="60" w:type="dxa"/>
              <w:end w:w="60" w:type="dxa"/>
            </w:tcMar>
            <w:vAlign w:val="top"/>
          </w:tcPr>
          <w:p>
            <w:r/>
            <w:r>
              <w:rPr>
                <w:rFonts w:ascii="Aptos" w:hAnsi="Aptos"/>
                <w:sz w:val="12"/>
              </w:rPr>
              <w:t>88</w:t>
            </w:r>
          </w:p>
        </w:tc>
        <w:tc>
          <w:tcPr>
            <w:tcW w:type="dxa" w:w="1474"/>
            <w:tcMar>
              <w:top w:w="60" w:type="dxa"/>
              <w:start w:w="60" w:type="dxa"/>
              <w:bottom w:w="60" w:type="dxa"/>
              <w:end w:w="60" w:type="dxa"/>
            </w:tcMar>
            <w:vAlign w:val="top"/>
          </w:tcPr>
          <w:p>
            <w:r/>
            <w:r>
              <w:rPr>
                <w:rFonts w:ascii="Aptos" w:hAnsi="Aptos"/>
                <w:sz w:val="12"/>
              </w:rPr>
              <w:t>Chronologie annuelle</w:t>
            </w:r>
          </w:p>
        </w:tc>
        <w:tc>
          <w:tcPr>
            <w:tcW w:type="dxa" w:w="1757"/>
            <w:tcMar>
              <w:top w:w="60" w:type="dxa"/>
              <w:start w:w="60" w:type="dxa"/>
              <w:bottom w:w="60" w:type="dxa"/>
              <w:end w:w="60" w:type="dxa"/>
            </w:tcMar>
            <w:vAlign w:val="top"/>
          </w:tcPr>
          <w:p>
            <w:r/>
            <w:r>
              <w:rPr>
                <w:rFonts w:ascii="Aptos" w:hAnsi="Aptos"/>
                <w:sz w:val="12"/>
              </w:rPr>
              <w:t>Année 2024</w:t>
            </w:r>
          </w:p>
        </w:tc>
        <w:tc>
          <w:tcPr>
            <w:tcW w:type="dxa" w:w="2551"/>
            <w:tcMar>
              <w:top w:w="60" w:type="dxa"/>
              <w:start w:w="60" w:type="dxa"/>
              <w:bottom w:w="60" w:type="dxa"/>
              <w:end w:w="60" w:type="dxa"/>
            </w:tcMar>
            <w:vAlign w:val="top"/>
          </w:tcPr>
          <w:p>
            <w:r/>
            <w:r>
              <w:rPr>
                <w:rFonts w:ascii="Aptos" w:hAnsi="Aptos"/>
                <w:sz w:val="12"/>
              </w:rPr>
              <w:t>Mini-dossier annuel : dernière date de valeur disponible, Unit Price explicite, Bid/Offer, actif net, devise, gestionnaire, catégorie, dividende/distribution, événements et documents.</w:t>
            </w:r>
          </w:p>
        </w:tc>
        <w:tc>
          <w:tcPr>
            <w:tcW w:type="dxa" w:w="1757"/>
            <w:tcMar>
              <w:top w:w="60" w:type="dxa"/>
              <w:start w:w="60" w:type="dxa"/>
              <w:bottom w:w="60" w:type="dxa"/>
              <w:end w:w="60" w:type="dxa"/>
            </w:tcMar>
            <w:vAlign w:val="top"/>
          </w:tcPr>
          <w:p>
            <w:r/>
            <w:r>
              <w:rPr>
                <w:rFonts w:ascii="Aptos" w:hAnsi="Aptos"/>
                <w:sz w:val="12"/>
              </w:rPr>
              <w:t>SEC Weekly/Monthly + rapports/factsheets de l’année</w:t>
            </w:r>
          </w:p>
        </w:tc>
        <w:tc>
          <w:tcPr>
            <w:tcW w:type="dxa" w:w="2324"/>
            <w:tcMar>
              <w:top w:w="60" w:type="dxa"/>
              <w:start w:w="60" w:type="dxa"/>
              <w:bottom w:w="60" w:type="dxa"/>
              <w:end w:w="60" w:type="dxa"/>
            </w:tcMar>
            <w:vAlign w:val="top"/>
          </w:tcPr>
          <w:p>
            <w:r/>
            <w:r>
              <w:rPr>
                <w:rFonts w:ascii="Aptos" w:hAnsi="Aptos"/>
                <w:sz w:val="12"/>
              </w:rPr>
              <w:t>Conserver chaque sous-mesure et sa source ; ne pas résumer une absence par zéro. Si le classeur sépare plusieurs colonnes annuelles, appliquer ce mini-dossier à chacune.</w:t>
            </w:r>
          </w:p>
        </w:tc>
      </w:tr>
      <w:tr>
        <w:tc>
          <w:tcPr>
            <w:tcW w:type="dxa" w:w="397"/>
            <w:tcMar>
              <w:top w:w="60" w:type="dxa"/>
              <w:start w:w="60" w:type="dxa"/>
              <w:bottom w:w="60" w:type="dxa"/>
              <w:end w:w="60" w:type="dxa"/>
            </w:tcMar>
            <w:vAlign w:val="top"/>
          </w:tcPr>
          <w:p>
            <w:r/>
            <w:r>
              <w:rPr>
                <w:rFonts w:ascii="Aptos" w:hAnsi="Aptos"/>
                <w:sz w:val="12"/>
              </w:rPr>
              <w:t>89</w:t>
            </w:r>
          </w:p>
        </w:tc>
        <w:tc>
          <w:tcPr>
            <w:tcW w:type="dxa" w:w="1474"/>
            <w:tcMar>
              <w:top w:w="60" w:type="dxa"/>
              <w:start w:w="60" w:type="dxa"/>
              <w:bottom w:w="60" w:type="dxa"/>
              <w:end w:w="60" w:type="dxa"/>
            </w:tcMar>
            <w:vAlign w:val="top"/>
          </w:tcPr>
          <w:p>
            <w:r/>
            <w:r>
              <w:rPr>
                <w:rFonts w:ascii="Aptos" w:hAnsi="Aptos"/>
                <w:sz w:val="12"/>
              </w:rPr>
              <w:t>Chronologie annuelle</w:t>
            </w:r>
          </w:p>
        </w:tc>
        <w:tc>
          <w:tcPr>
            <w:tcW w:type="dxa" w:w="1757"/>
            <w:tcMar>
              <w:top w:w="60" w:type="dxa"/>
              <w:start w:w="60" w:type="dxa"/>
              <w:bottom w:w="60" w:type="dxa"/>
              <w:end w:w="60" w:type="dxa"/>
            </w:tcMar>
            <w:vAlign w:val="top"/>
          </w:tcPr>
          <w:p>
            <w:r/>
            <w:r>
              <w:rPr>
                <w:rFonts w:ascii="Aptos" w:hAnsi="Aptos"/>
                <w:sz w:val="12"/>
              </w:rPr>
              <w:t>Année 2025</w:t>
            </w:r>
          </w:p>
        </w:tc>
        <w:tc>
          <w:tcPr>
            <w:tcW w:type="dxa" w:w="2551"/>
            <w:tcMar>
              <w:top w:w="60" w:type="dxa"/>
              <w:start w:w="60" w:type="dxa"/>
              <w:bottom w:w="60" w:type="dxa"/>
              <w:end w:w="60" w:type="dxa"/>
            </w:tcMar>
            <w:vAlign w:val="top"/>
          </w:tcPr>
          <w:p>
            <w:r/>
            <w:r>
              <w:rPr>
                <w:rFonts w:ascii="Aptos" w:hAnsi="Aptos"/>
                <w:sz w:val="12"/>
              </w:rPr>
              <w:t>Mini-dossier annuel : dernière date de valeur disponible, Unit Price explicite, Bid/Offer, actif net, devise, gestionnaire, catégorie, dividende/distribution, événements et documents.</w:t>
            </w:r>
          </w:p>
        </w:tc>
        <w:tc>
          <w:tcPr>
            <w:tcW w:type="dxa" w:w="1757"/>
            <w:tcMar>
              <w:top w:w="60" w:type="dxa"/>
              <w:start w:w="60" w:type="dxa"/>
              <w:bottom w:w="60" w:type="dxa"/>
              <w:end w:w="60" w:type="dxa"/>
            </w:tcMar>
            <w:vAlign w:val="top"/>
          </w:tcPr>
          <w:p>
            <w:r/>
            <w:r>
              <w:rPr>
                <w:rFonts w:ascii="Aptos" w:hAnsi="Aptos"/>
                <w:sz w:val="12"/>
              </w:rPr>
              <w:t>SEC Weekly/Monthly + rapports/factsheets de l’année</w:t>
            </w:r>
          </w:p>
        </w:tc>
        <w:tc>
          <w:tcPr>
            <w:tcW w:type="dxa" w:w="2324"/>
            <w:tcMar>
              <w:top w:w="60" w:type="dxa"/>
              <w:start w:w="60" w:type="dxa"/>
              <w:bottom w:w="60" w:type="dxa"/>
              <w:end w:w="60" w:type="dxa"/>
            </w:tcMar>
            <w:vAlign w:val="top"/>
          </w:tcPr>
          <w:p>
            <w:r/>
            <w:r>
              <w:rPr>
                <w:rFonts w:ascii="Aptos" w:hAnsi="Aptos"/>
                <w:sz w:val="12"/>
              </w:rPr>
              <w:t>Conserver chaque sous-mesure et sa source ; ne pas résumer une absence par zéro. Si le classeur sépare plusieurs colonnes annuelles, appliquer ce mini-dossier à chacune.</w:t>
            </w:r>
          </w:p>
        </w:tc>
      </w:tr>
      <w:tr>
        <w:tc>
          <w:tcPr>
            <w:tcW w:type="dxa" w:w="397"/>
            <w:tcMar>
              <w:top w:w="60" w:type="dxa"/>
              <w:start w:w="60" w:type="dxa"/>
              <w:bottom w:w="60" w:type="dxa"/>
              <w:end w:w="60" w:type="dxa"/>
            </w:tcMar>
            <w:vAlign w:val="top"/>
          </w:tcPr>
          <w:p>
            <w:r/>
            <w:r>
              <w:rPr>
                <w:rFonts w:ascii="Aptos" w:hAnsi="Aptos"/>
                <w:sz w:val="12"/>
              </w:rPr>
              <w:t>90</w:t>
            </w:r>
          </w:p>
        </w:tc>
        <w:tc>
          <w:tcPr>
            <w:tcW w:type="dxa" w:w="1474"/>
            <w:tcMar>
              <w:top w:w="60" w:type="dxa"/>
              <w:start w:w="60" w:type="dxa"/>
              <w:bottom w:w="60" w:type="dxa"/>
              <w:end w:w="60" w:type="dxa"/>
            </w:tcMar>
            <w:vAlign w:val="top"/>
          </w:tcPr>
          <w:p>
            <w:r/>
            <w:r>
              <w:rPr>
                <w:rFonts w:ascii="Aptos" w:hAnsi="Aptos"/>
                <w:sz w:val="12"/>
              </w:rPr>
              <w:t>Synthèse</w:t>
            </w:r>
          </w:p>
        </w:tc>
        <w:tc>
          <w:tcPr>
            <w:tcW w:type="dxa" w:w="1757"/>
            <w:tcMar>
              <w:top w:w="60" w:type="dxa"/>
              <w:start w:w="60" w:type="dxa"/>
              <w:bottom w:w="60" w:type="dxa"/>
              <w:end w:w="60" w:type="dxa"/>
            </w:tcMar>
            <w:vAlign w:val="top"/>
          </w:tcPr>
          <w:p>
            <w:r/>
            <w:r>
              <w:rPr>
                <w:rFonts w:ascii="Aptos" w:hAnsi="Aptos"/>
                <w:sz w:val="12"/>
              </w:rPr>
              <w:t>Synthèse chronologique et points ouverts</w:t>
            </w:r>
          </w:p>
        </w:tc>
        <w:tc>
          <w:tcPr>
            <w:tcW w:type="dxa" w:w="2551"/>
            <w:tcMar>
              <w:top w:w="60" w:type="dxa"/>
              <w:start w:w="60" w:type="dxa"/>
              <w:bottom w:w="60" w:type="dxa"/>
              <w:end w:w="60" w:type="dxa"/>
            </w:tcMar>
            <w:vAlign w:val="top"/>
          </w:tcPr>
          <w:p>
            <w:r/>
            <w:r>
              <w:rPr>
                <w:rFonts w:ascii="Aptos" w:hAnsi="Aptos"/>
                <w:sz w:val="12"/>
              </w:rPr>
              <w:t>Conclusion consolidée de la trajectoire et liste des incertitudes.</w:t>
            </w:r>
          </w:p>
        </w:tc>
        <w:tc>
          <w:tcPr>
            <w:tcW w:type="dxa" w:w="1757"/>
            <w:tcMar>
              <w:top w:w="60" w:type="dxa"/>
              <w:start w:w="60" w:type="dxa"/>
              <w:bottom w:w="60" w:type="dxa"/>
              <w:end w:w="60" w:type="dxa"/>
            </w:tcMar>
            <w:vAlign w:val="top"/>
          </w:tcPr>
          <w:p>
            <w:r/>
            <w:r>
              <w:rPr>
                <w:rFonts w:ascii="Aptos" w:hAnsi="Aptos"/>
                <w:sz w:val="12"/>
              </w:rPr>
              <w:t>Toutes preuves</w:t>
            </w:r>
          </w:p>
        </w:tc>
        <w:tc>
          <w:tcPr>
            <w:tcW w:type="dxa" w:w="2324"/>
            <w:tcMar>
              <w:top w:w="60" w:type="dxa"/>
              <w:start w:w="60" w:type="dxa"/>
              <w:bottom w:w="60" w:type="dxa"/>
              <w:end w:w="60" w:type="dxa"/>
            </w:tcMar>
            <w:vAlign w:val="top"/>
          </w:tcPr>
          <w:p>
            <w:r/>
            <w:r>
              <w:rPr>
                <w:rFonts w:ascii="Aptos" w:hAnsi="Aptos"/>
                <w:sz w:val="12"/>
              </w:rPr>
              <w:t>Ne jamais masquer les conflits ; indiquer ce qui est prouvé, probable ou non trouvé.</w:t>
            </w:r>
          </w:p>
        </w:tc>
      </w:tr>
    </w:tbl>
    <w:p>
      <w:pPr>
        <w:widowControl/>
        <w:spacing w:after="0"/>
      </w:pPr>
    </w:p>
    <w:p>
      <w:pPr>
        <w:pStyle w:val="Heading2"/>
        <w:widowControl/>
      </w:pPr>
      <w:r>
        <w:t>11.1 Mini-dictionnaire annuel</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3402"/>
            <w:shd w:fill="D9EAF2"/>
            <w:tcMar>
              <w:top w:w="70" w:type="dxa"/>
              <w:start w:w="70" w:type="dxa"/>
              <w:bottom w:w="70" w:type="dxa"/>
              <w:end w:w="70" w:type="dxa"/>
            </w:tcMar>
            <w:vAlign w:val="center"/>
          </w:tcPr>
          <w:p>
            <w:r/>
            <w:r>
              <w:rPr>
                <w:rFonts w:ascii="Aptos" w:hAnsi="Aptos"/>
                <w:b/>
                <w:color w:val="123E5E"/>
                <w:sz w:val="15"/>
              </w:rPr>
              <w:t>Sous-champ annuel</w:t>
            </w:r>
          </w:p>
        </w:tc>
        <w:tc>
          <w:tcPr>
            <w:tcW w:type="dxa" w:w="5896"/>
            <w:shd w:fill="D9EAF2"/>
            <w:tcMar>
              <w:top w:w="70" w:type="dxa"/>
              <w:start w:w="70" w:type="dxa"/>
              <w:bottom w:w="70" w:type="dxa"/>
              <w:end w:w="70" w:type="dxa"/>
            </w:tcMar>
            <w:vAlign w:val="center"/>
          </w:tcPr>
          <w:p>
            <w:r/>
            <w:r>
              <w:rPr>
                <w:rFonts w:ascii="Aptos" w:hAnsi="Aptos"/>
                <w:b/>
                <w:color w:val="123E5E"/>
                <w:sz w:val="15"/>
              </w:rPr>
              <w:t>Définition</w:t>
            </w:r>
          </w:p>
        </w:tc>
      </w:tr>
      <w:tr>
        <w:tc>
          <w:tcPr>
            <w:tcW w:type="dxa" w:w="3402"/>
            <w:tcMar>
              <w:top w:w="60" w:type="dxa"/>
              <w:start w:w="60" w:type="dxa"/>
              <w:bottom w:w="60" w:type="dxa"/>
              <w:end w:w="60" w:type="dxa"/>
            </w:tcMar>
            <w:vAlign w:val="top"/>
          </w:tcPr>
          <w:p>
            <w:r/>
            <w:r>
              <w:rPr>
                <w:rFonts w:ascii="Aptos" w:hAnsi="Aptos"/>
                <w:sz w:val="15"/>
              </w:rPr>
              <w:t>annual_last_valuation_date</w:t>
            </w:r>
          </w:p>
        </w:tc>
        <w:tc>
          <w:tcPr>
            <w:tcW w:type="dxa" w:w="5896"/>
            <w:tcMar>
              <w:top w:w="60" w:type="dxa"/>
              <w:start w:w="60" w:type="dxa"/>
              <w:bottom w:w="60" w:type="dxa"/>
              <w:end w:w="60" w:type="dxa"/>
            </w:tcMar>
            <w:vAlign w:val="top"/>
          </w:tcPr>
          <w:p>
            <w:r/>
            <w:r>
              <w:rPr>
                <w:rFonts w:ascii="Aptos" w:hAnsi="Aptos"/>
                <w:sz w:val="15"/>
              </w:rPr>
              <w:t>Dernière date de valeur de l’année</w:t>
            </w:r>
          </w:p>
        </w:tc>
      </w:tr>
      <w:tr>
        <w:tc>
          <w:tcPr>
            <w:tcW w:type="dxa" w:w="3402"/>
            <w:tcMar>
              <w:top w:w="60" w:type="dxa"/>
              <w:start w:w="60" w:type="dxa"/>
              <w:bottom w:w="60" w:type="dxa"/>
              <w:end w:w="60" w:type="dxa"/>
            </w:tcMar>
            <w:vAlign w:val="top"/>
          </w:tcPr>
          <w:p>
            <w:r/>
            <w:r>
              <w:rPr>
                <w:rFonts w:ascii="Aptos" w:hAnsi="Aptos"/>
                <w:sz w:val="15"/>
              </w:rPr>
              <w:t>annual_unit_price</w:t>
            </w:r>
          </w:p>
        </w:tc>
        <w:tc>
          <w:tcPr>
            <w:tcW w:type="dxa" w:w="5896"/>
            <w:tcMar>
              <w:top w:w="60" w:type="dxa"/>
              <w:start w:w="60" w:type="dxa"/>
              <w:bottom w:w="60" w:type="dxa"/>
              <w:end w:w="60" w:type="dxa"/>
            </w:tcMar>
            <w:vAlign w:val="top"/>
          </w:tcPr>
          <w:p>
            <w:r/>
            <w:r>
              <w:rPr>
                <w:rFonts w:ascii="Aptos" w:hAnsi="Aptos"/>
                <w:sz w:val="15"/>
              </w:rPr>
              <w:t>Unit Price explicite</w:t>
            </w:r>
          </w:p>
        </w:tc>
      </w:tr>
      <w:tr>
        <w:tc>
          <w:tcPr>
            <w:tcW w:type="dxa" w:w="3402"/>
            <w:tcMar>
              <w:top w:w="60" w:type="dxa"/>
              <w:start w:w="60" w:type="dxa"/>
              <w:bottom w:w="60" w:type="dxa"/>
              <w:end w:w="60" w:type="dxa"/>
            </w:tcMar>
            <w:vAlign w:val="top"/>
          </w:tcPr>
          <w:p>
            <w:r/>
            <w:r>
              <w:rPr>
                <w:rFonts w:ascii="Aptos" w:hAnsi="Aptos"/>
                <w:sz w:val="15"/>
              </w:rPr>
              <w:t>annual_bid_price</w:t>
            </w:r>
          </w:p>
        </w:tc>
        <w:tc>
          <w:tcPr>
            <w:tcW w:type="dxa" w:w="5896"/>
            <w:tcMar>
              <w:top w:w="60" w:type="dxa"/>
              <w:start w:w="60" w:type="dxa"/>
              <w:bottom w:w="60" w:type="dxa"/>
              <w:end w:w="60" w:type="dxa"/>
            </w:tcMar>
            <w:vAlign w:val="top"/>
          </w:tcPr>
          <w:p>
            <w:r/>
            <w:r>
              <w:rPr>
                <w:rFonts w:ascii="Aptos" w:hAnsi="Aptos"/>
                <w:sz w:val="15"/>
              </w:rPr>
              <w:t>Bid Price</w:t>
            </w:r>
          </w:p>
        </w:tc>
      </w:tr>
      <w:tr>
        <w:tc>
          <w:tcPr>
            <w:tcW w:type="dxa" w:w="3402"/>
            <w:tcMar>
              <w:top w:w="60" w:type="dxa"/>
              <w:start w:w="60" w:type="dxa"/>
              <w:bottom w:w="60" w:type="dxa"/>
              <w:end w:w="60" w:type="dxa"/>
            </w:tcMar>
            <w:vAlign w:val="top"/>
          </w:tcPr>
          <w:p>
            <w:r/>
            <w:r>
              <w:rPr>
                <w:rFonts w:ascii="Aptos" w:hAnsi="Aptos"/>
                <w:sz w:val="15"/>
              </w:rPr>
              <w:t>annual_offer_price</w:t>
            </w:r>
          </w:p>
        </w:tc>
        <w:tc>
          <w:tcPr>
            <w:tcW w:type="dxa" w:w="5896"/>
            <w:tcMar>
              <w:top w:w="60" w:type="dxa"/>
              <w:start w:w="60" w:type="dxa"/>
              <w:bottom w:w="60" w:type="dxa"/>
              <w:end w:w="60" w:type="dxa"/>
            </w:tcMar>
            <w:vAlign w:val="top"/>
          </w:tcPr>
          <w:p>
            <w:r/>
            <w:r>
              <w:rPr>
                <w:rFonts w:ascii="Aptos" w:hAnsi="Aptos"/>
                <w:sz w:val="15"/>
              </w:rPr>
              <w:t>Offer Price</w:t>
            </w:r>
          </w:p>
        </w:tc>
      </w:tr>
      <w:tr>
        <w:tc>
          <w:tcPr>
            <w:tcW w:type="dxa" w:w="3402"/>
            <w:tcMar>
              <w:top w:w="60" w:type="dxa"/>
              <w:start w:w="60" w:type="dxa"/>
              <w:bottom w:w="60" w:type="dxa"/>
              <w:end w:w="60" w:type="dxa"/>
            </w:tcMar>
            <w:vAlign w:val="top"/>
          </w:tcPr>
          <w:p>
            <w:r/>
            <w:r>
              <w:rPr>
                <w:rFonts w:ascii="Aptos" w:hAnsi="Aptos"/>
                <w:sz w:val="15"/>
              </w:rPr>
              <w:t>annual_net_assets_total</w:t>
            </w:r>
          </w:p>
        </w:tc>
        <w:tc>
          <w:tcPr>
            <w:tcW w:type="dxa" w:w="5896"/>
            <w:tcMar>
              <w:top w:w="60" w:type="dxa"/>
              <w:start w:w="60" w:type="dxa"/>
              <w:bottom w:w="60" w:type="dxa"/>
              <w:end w:w="60" w:type="dxa"/>
            </w:tcMar>
            <w:vAlign w:val="top"/>
          </w:tcPr>
          <w:p>
            <w:r/>
            <w:r>
              <w:rPr>
                <w:rFonts w:ascii="Aptos" w:hAnsi="Aptos"/>
                <w:sz w:val="15"/>
              </w:rPr>
              <w:t>Actif net total</w:t>
            </w:r>
          </w:p>
        </w:tc>
      </w:tr>
      <w:tr>
        <w:tc>
          <w:tcPr>
            <w:tcW w:type="dxa" w:w="3402"/>
            <w:tcMar>
              <w:top w:w="60" w:type="dxa"/>
              <w:start w:w="60" w:type="dxa"/>
              <w:bottom w:w="60" w:type="dxa"/>
              <w:end w:w="60" w:type="dxa"/>
            </w:tcMar>
            <w:vAlign w:val="top"/>
          </w:tcPr>
          <w:p>
            <w:r/>
            <w:r>
              <w:rPr>
                <w:rFonts w:ascii="Aptos" w:hAnsi="Aptos"/>
                <w:sz w:val="15"/>
              </w:rPr>
              <w:t>annual_currency</w:t>
            </w:r>
          </w:p>
        </w:tc>
        <w:tc>
          <w:tcPr>
            <w:tcW w:type="dxa" w:w="5896"/>
            <w:tcMar>
              <w:top w:w="60" w:type="dxa"/>
              <w:start w:w="60" w:type="dxa"/>
              <w:bottom w:w="60" w:type="dxa"/>
              <w:end w:w="60" w:type="dxa"/>
            </w:tcMar>
            <w:vAlign w:val="top"/>
          </w:tcPr>
          <w:p>
            <w:r/>
            <w:r>
              <w:rPr>
                <w:rFonts w:ascii="Aptos" w:hAnsi="Aptos"/>
                <w:sz w:val="15"/>
              </w:rPr>
              <w:t>Devise de chaque mesure</w:t>
            </w:r>
          </w:p>
        </w:tc>
      </w:tr>
      <w:tr>
        <w:tc>
          <w:tcPr>
            <w:tcW w:type="dxa" w:w="3402"/>
            <w:tcMar>
              <w:top w:w="60" w:type="dxa"/>
              <w:start w:w="60" w:type="dxa"/>
              <w:bottom w:w="60" w:type="dxa"/>
              <w:end w:w="60" w:type="dxa"/>
            </w:tcMar>
            <w:vAlign w:val="top"/>
          </w:tcPr>
          <w:p>
            <w:r/>
            <w:r>
              <w:rPr>
                <w:rFonts w:ascii="Aptos" w:hAnsi="Aptos"/>
                <w:sz w:val="15"/>
              </w:rPr>
              <w:t>annual_manager</w:t>
            </w:r>
          </w:p>
        </w:tc>
        <w:tc>
          <w:tcPr>
            <w:tcW w:type="dxa" w:w="5896"/>
            <w:tcMar>
              <w:top w:w="60" w:type="dxa"/>
              <w:start w:w="60" w:type="dxa"/>
              <w:bottom w:w="60" w:type="dxa"/>
              <w:end w:w="60" w:type="dxa"/>
            </w:tcMar>
            <w:vAlign w:val="top"/>
          </w:tcPr>
          <w:p>
            <w:r/>
            <w:r>
              <w:rPr>
                <w:rFonts w:ascii="Aptos" w:hAnsi="Aptos"/>
                <w:sz w:val="15"/>
              </w:rPr>
              <w:t>Gestionnaire publié à la date</w:t>
            </w:r>
          </w:p>
        </w:tc>
      </w:tr>
      <w:tr>
        <w:tc>
          <w:tcPr>
            <w:tcW w:type="dxa" w:w="3402"/>
            <w:tcMar>
              <w:top w:w="60" w:type="dxa"/>
              <w:start w:w="60" w:type="dxa"/>
              <w:bottom w:w="60" w:type="dxa"/>
              <w:end w:w="60" w:type="dxa"/>
            </w:tcMar>
            <w:vAlign w:val="top"/>
          </w:tcPr>
          <w:p>
            <w:r/>
            <w:r>
              <w:rPr>
                <w:rFonts w:ascii="Aptos" w:hAnsi="Aptos"/>
                <w:sz w:val="15"/>
              </w:rPr>
              <w:t>annual_category</w:t>
            </w:r>
          </w:p>
        </w:tc>
        <w:tc>
          <w:tcPr>
            <w:tcW w:type="dxa" w:w="5896"/>
            <w:tcMar>
              <w:top w:w="60" w:type="dxa"/>
              <w:start w:w="60" w:type="dxa"/>
              <w:bottom w:w="60" w:type="dxa"/>
              <w:end w:w="60" w:type="dxa"/>
            </w:tcMar>
            <w:vAlign w:val="top"/>
          </w:tcPr>
          <w:p>
            <w:r/>
            <w:r>
              <w:rPr>
                <w:rFonts w:ascii="Aptos" w:hAnsi="Aptos"/>
                <w:sz w:val="15"/>
              </w:rPr>
              <w:t>Catégorie publiée et normalisée</w:t>
            </w:r>
          </w:p>
        </w:tc>
      </w:tr>
      <w:tr>
        <w:tc>
          <w:tcPr>
            <w:tcW w:type="dxa" w:w="3402"/>
            <w:tcMar>
              <w:top w:w="60" w:type="dxa"/>
              <w:start w:w="60" w:type="dxa"/>
              <w:bottom w:w="60" w:type="dxa"/>
              <w:end w:w="60" w:type="dxa"/>
            </w:tcMar>
            <w:vAlign w:val="top"/>
          </w:tcPr>
          <w:p>
            <w:r/>
            <w:r>
              <w:rPr>
                <w:rFonts w:ascii="Aptos" w:hAnsi="Aptos"/>
                <w:sz w:val="15"/>
              </w:rPr>
              <w:t>annual_distribution</w:t>
            </w:r>
          </w:p>
        </w:tc>
        <w:tc>
          <w:tcPr>
            <w:tcW w:type="dxa" w:w="5896"/>
            <w:tcMar>
              <w:top w:w="60" w:type="dxa"/>
              <w:start w:w="60" w:type="dxa"/>
              <w:bottom w:w="60" w:type="dxa"/>
              <w:end w:w="60" w:type="dxa"/>
            </w:tcMar>
            <w:vAlign w:val="top"/>
          </w:tcPr>
          <w:p>
            <w:r/>
            <w:r>
              <w:rPr>
                <w:rFonts w:ascii="Aptos" w:hAnsi="Aptos"/>
                <w:sz w:val="15"/>
              </w:rPr>
              <w:t>Dividende/distribution par part</w:t>
            </w:r>
          </w:p>
        </w:tc>
      </w:tr>
      <w:tr>
        <w:tc>
          <w:tcPr>
            <w:tcW w:type="dxa" w:w="3402"/>
            <w:tcMar>
              <w:top w:w="60" w:type="dxa"/>
              <w:start w:w="60" w:type="dxa"/>
              <w:bottom w:w="60" w:type="dxa"/>
              <w:end w:w="60" w:type="dxa"/>
            </w:tcMar>
            <w:vAlign w:val="top"/>
          </w:tcPr>
          <w:p>
            <w:r/>
            <w:r>
              <w:rPr>
                <w:rFonts w:ascii="Aptos" w:hAnsi="Aptos"/>
                <w:sz w:val="15"/>
              </w:rPr>
              <w:t>annual_event_summary</w:t>
            </w:r>
          </w:p>
        </w:tc>
        <w:tc>
          <w:tcPr>
            <w:tcW w:type="dxa" w:w="5896"/>
            <w:tcMar>
              <w:top w:w="60" w:type="dxa"/>
              <w:start w:w="60" w:type="dxa"/>
              <w:bottom w:w="60" w:type="dxa"/>
              <w:end w:w="60" w:type="dxa"/>
            </w:tcMar>
            <w:vAlign w:val="top"/>
          </w:tcPr>
          <w:p>
            <w:r/>
            <w:r>
              <w:rPr>
                <w:rFonts w:ascii="Aptos" w:hAnsi="Aptos"/>
                <w:sz w:val="15"/>
              </w:rPr>
              <w:t>Événements effectifs ou annoncés</w:t>
            </w:r>
          </w:p>
        </w:tc>
      </w:tr>
      <w:tr>
        <w:tc>
          <w:tcPr>
            <w:tcW w:type="dxa" w:w="3402"/>
            <w:tcMar>
              <w:top w:w="60" w:type="dxa"/>
              <w:start w:w="60" w:type="dxa"/>
              <w:bottom w:w="60" w:type="dxa"/>
              <w:end w:w="60" w:type="dxa"/>
            </w:tcMar>
            <w:vAlign w:val="top"/>
          </w:tcPr>
          <w:p>
            <w:r/>
            <w:r>
              <w:rPr>
                <w:rFonts w:ascii="Aptos" w:hAnsi="Aptos"/>
                <w:sz w:val="15"/>
              </w:rPr>
              <w:t>annual_document_ids</w:t>
            </w:r>
          </w:p>
        </w:tc>
        <w:tc>
          <w:tcPr>
            <w:tcW w:type="dxa" w:w="5896"/>
            <w:tcMar>
              <w:top w:w="60" w:type="dxa"/>
              <w:start w:w="60" w:type="dxa"/>
              <w:bottom w:w="60" w:type="dxa"/>
              <w:end w:w="60" w:type="dxa"/>
            </w:tcMar>
            <w:vAlign w:val="top"/>
          </w:tcPr>
          <w:p>
            <w:r/>
            <w:r>
              <w:rPr>
                <w:rFonts w:ascii="Aptos" w:hAnsi="Aptos"/>
                <w:sz w:val="15"/>
              </w:rPr>
              <w:t>Sources de l’année</w:t>
            </w:r>
          </w:p>
        </w:tc>
      </w:tr>
      <w:tr>
        <w:tc>
          <w:tcPr>
            <w:tcW w:type="dxa" w:w="3402"/>
            <w:tcMar>
              <w:top w:w="60" w:type="dxa"/>
              <w:start w:w="60" w:type="dxa"/>
              <w:bottom w:w="60" w:type="dxa"/>
              <w:end w:w="60" w:type="dxa"/>
            </w:tcMar>
            <w:vAlign w:val="top"/>
          </w:tcPr>
          <w:p>
            <w:r/>
            <w:r>
              <w:rPr>
                <w:rFonts w:ascii="Aptos" w:hAnsi="Aptos"/>
                <w:sz w:val="15"/>
              </w:rPr>
              <w:t>annual_quality_status</w:t>
            </w:r>
          </w:p>
        </w:tc>
        <w:tc>
          <w:tcPr>
            <w:tcW w:type="dxa" w:w="5896"/>
            <w:tcMar>
              <w:top w:w="60" w:type="dxa"/>
              <w:start w:w="60" w:type="dxa"/>
              <w:bottom w:w="60" w:type="dxa"/>
              <w:end w:w="60" w:type="dxa"/>
            </w:tcMar>
            <w:vAlign w:val="top"/>
          </w:tcPr>
          <w:p>
            <w:r/>
            <w:r>
              <w:rPr>
                <w:rFonts w:ascii="Aptos" w:hAnsi="Aptos"/>
                <w:sz w:val="15"/>
              </w:rPr>
              <w:t>Qualité et conflits</w:t>
            </w:r>
          </w:p>
        </w:tc>
      </w:tr>
    </w:tbl>
    <w:p>
      <w:pPr>
        <w:widowControl/>
        <w:spacing w:after="0"/>
      </w:pPr>
    </w:p>
    <w:p>
      <w:pPr>
        <w:pStyle w:val="Heading2"/>
        <w:widowControl/>
      </w:pPr>
      <w:r>
        <w:t>11.2 Ordre de complétion d’une ligne</w:t>
      </w:r>
    </w:p>
    <w:p>
      <w:pPr>
        <w:pStyle w:val="ListBullet"/>
        <w:widowControl/>
        <w:ind w:left="397" w:hanging="142"/>
      </w:pPr>
      <w:r>
        <w:rPr>
          <w:rFonts w:ascii="Aptos" w:hAnsi="Aptos"/>
          <w:sz w:val="18"/>
        </w:rPr>
        <w:t>Verrouiller les cellules d’ancrage déjà validées ; ne pas les écraser.</w:t>
      </w:r>
    </w:p>
    <w:p>
      <w:pPr>
        <w:pStyle w:val="ListBullet"/>
        <w:widowControl/>
        <w:ind w:left="397" w:hanging="142"/>
      </w:pPr>
      <w:r>
        <w:rPr>
          <w:rFonts w:ascii="Aptos" w:hAnsi="Aptos"/>
          <w:sz w:val="18"/>
        </w:rPr>
        <w:t>Compléter identité, dates et statut avant les caractéristiques commerciales.</w:t>
      </w:r>
    </w:p>
    <w:p>
      <w:pPr>
        <w:pStyle w:val="ListBullet"/>
        <w:widowControl/>
        <w:ind w:left="397" w:hanging="142"/>
      </w:pPr>
      <w:r>
        <w:rPr>
          <w:rFonts w:ascii="Aptos" w:hAnsi="Aptos"/>
          <w:sz w:val="18"/>
        </w:rPr>
        <w:t>Identifier les documents et les enregistrer avant de remplir les champs qu'ils soutiennent.</w:t>
      </w:r>
    </w:p>
    <w:p>
      <w:pPr>
        <w:pStyle w:val="ListBullet"/>
        <w:widowControl/>
        <w:ind w:left="397" w:hanging="142"/>
      </w:pPr>
      <w:r>
        <w:rPr>
          <w:rFonts w:ascii="Aptos" w:hAnsi="Aptos"/>
          <w:sz w:val="18"/>
        </w:rPr>
        <w:t>Reconstituer les événements avant de remplir les colonnes annuelles, afin de savoir quel nom et quel gestionnaire sont valides à chaque année.</w:t>
      </w:r>
    </w:p>
    <w:p>
      <w:pPr>
        <w:pStyle w:val="ListBullet"/>
        <w:widowControl/>
        <w:ind w:left="397" w:hanging="142"/>
      </w:pPr>
      <w:r>
        <w:rPr>
          <w:rFonts w:ascii="Aptos" w:hAnsi="Aptos"/>
          <w:sz w:val="18"/>
        </w:rPr>
        <w:t>Compléter les années dans l'ordre chronologique, mais collecter les preuves en parallèle.</w:t>
      </w:r>
    </w:p>
    <w:p>
      <w:pPr>
        <w:pStyle w:val="ListBullet"/>
        <w:widowControl/>
        <w:ind w:left="397" w:hanging="142"/>
      </w:pPr>
      <w:r>
        <w:rPr>
          <w:rFonts w:ascii="Aptos" w:hAnsi="Aptos"/>
          <w:sz w:val="18"/>
        </w:rPr>
        <w:t>Rédiger la narration après les événements et avant la validation finale.</w:t>
      </w:r>
    </w:p>
    <w:p>
      <w:pPr>
        <w:pStyle w:val="ListBullet"/>
        <w:widowControl/>
        <w:ind w:left="397" w:hanging="142"/>
      </w:pPr>
      <w:r>
        <w:rPr>
          <w:rFonts w:ascii="Aptos" w:hAnsi="Aptos"/>
          <w:sz w:val="18"/>
        </w:rPr>
        <w:t>Produire un rapport des cellules non renseignées avec motif : non trouvé, non applicable, contradiction, source inaccessible ou revue requise.</w:t>
      </w:r>
    </w:p>
    <w:p>
      <w:pPr>
        <w:widowControl/>
      </w:pPr>
      <w:r>
        <w:br w:type="page"/>
      </w:r>
    </w:p>
    <w:p>
      <w:pPr>
        <w:widowControl/>
        <w:jc w:val="center"/>
      </w:pPr>
      <w:r>
        <w:rPr>
          <w:rFonts w:ascii="Aptos Display" w:hAnsi="Aptos Display"/>
          <w:b/>
          <w:color w:val="123E5E"/>
          <w:sz w:val="44"/>
        </w:rPr>
        <w:t>PARTIE XII — SCORING DE PREUVE, CONFLITS ET REVUE HUMAINE</w:t>
      </w:r>
    </w:p>
    <w:p>
      <w:pPr>
        <w:widowControl/>
        <w:jc w:val="center"/>
      </w:pPr>
      <w:r>
        <w:rPr>
          <w:rFonts w:ascii="Aptos" w:hAnsi="Aptos"/>
          <w:i/>
          <w:color w:val="505050"/>
          <w:sz w:val="22"/>
        </w:rPr>
        <w:t>Mesurer ce qui est connu, sans transformer l’incertitude en fait</w:t>
      </w:r>
    </w:p>
    <w:p>
      <w:pPr>
        <w:widowControl/>
      </w:pPr>
    </w:p>
    <w:p>
      <w:pPr>
        <w:pStyle w:val="Heading1"/>
        <w:widowControl/>
      </w:pPr>
      <w:r>
        <w:t>12. Statuts épistémiques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814"/>
            <w:shd w:fill="D9EAF2"/>
            <w:tcMar>
              <w:top w:w="70" w:type="dxa"/>
              <w:start w:w="70" w:type="dxa"/>
              <w:bottom w:w="70" w:type="dxa"/>
              <w:end w:w="70" w:type="dxa"/>
            </w:tcMar>
            <w:vAlign w:val="center"/>
          </w:tcPr>
          <w:p>
            <w:r/>
            <w:r>
              <w:rPr>
                <w:rFonts w:ascii="Aptos" w:hAnsi="Aptos"/>
                <w:b/>
                <w:color w:val="123E5E"/>
                <w:sz w:val="16"/>
              </w:rPr>
              <w:t>Statut</w:t>
            </w:r>
          </w:p>
        </w:tc>
        <w:tc>
          <w:tcPr>
            <w:tcW w:type="dxa" w:w="4365"/>
            <w:shd w:fill="D9EAF2"/>
            <w:tcMar>
              <w:top w:w="70" w:type="dxa"/>
              <w:start w:w="70" w:type="dxa"/>
              <w:bottom w:w="70" w:type="dxa"/>
              <w:end w:w="70" w:type="dxa"/>
            </w:tcMar>
            <w:vAlign w:val="center"/>
          </w:tcPr>
          <w:p>
            <w:r/>
            <w:r>
              <w:rPr>
                <w:rFonts w:ascii="Aptos" w:hAnsi="Aptos"/>
                <w:b/>
                <w:color w:val="123E5E"/>
                <w:sz w:val="16"/>
              </w:rPr>
              <w:t>Définition</w:t>
            </w:r>
          </w:p>
        </w:tc>
        <w:tc>
          <w:tcPr>
            <w:tcW w:type="dxa" w:w="3118"/>
            <w:shd w:fill="D9EAF2"/>
            <w:tcMar>
              <w:top w:w="70" w:type="dxa"/>
              <w:start w:w="70" w:type="dxa"/>
              <w:bottom w:w="70" w:type="dxa"/>
              <w:end w:w="70" w:type="dxa"/>
            </w:tcMar>
            <w:vAlign w:val="center"/>
          </w:tcPr>
          <w:p>
            <w:r/>
            <w:r>
              <w:rPr>
                <w:rFonts w:ascii="Aptos" w:hAnsi="Aptos"/>
                <w:b/>
                <w:color w:val="123E5E"/>
                <w:sz w:val="16"/>
              </w:rPr>
              <w:t>Action</w:t>
            </w:r>
          </w:p>
        </w:tc>
      </w:tr>
      <w:tr>
        <w:tc>
          <w:tcPr>
            <w:tcW w:type="dxa" w:w="1814"/>
            <w:tcMar>
              <w:top w:w="60" w:type="dxa"/>
              <w:start w:w="60" w:type="dxa"/>
              <w:bottom w:w="60" w:type="dxa"/>
              <w:end w:w="60" w:type="dxa"/>
            </w:tcMar>
            <w:vAlign w:val="top"/>
          </w:tcPr>
          <w:p>
            <w:r/>
            <w:r>
              <w:rPr>
                <w:rFonts w:ascii="Aptos" w:hAnsi="Aptos"/>
                <w:sz w:val="16"/>
              </w:rPr>
              <w:t>FACT</w:t>
            </w:r>
          </w:p>
        </w:tc>
        <w:tc>
          <w:tcPr>
            <w:tcW w:type="dxa" w:w="4365"/>
            <w:tcMar>
              <w:top w:w="60" w:type="dxa"/>
              <w:start w:w="60" w:type="dxa"/>
              <w:bottom w:w="60" w:type="dxa"/>
              <w:end w:w="60" w:type="dxa"/>
            </w:tcMar>
            <w:vAlign w:val="top"/>
          </w:tcPr>
          <w:p>
            <w:r/>
            <w:r>
              <w:rPr>
                <w:rFonts w:ascii="Aptos" w:hAnsi="Aptos"/>
                <w:sz w:val="16"/>
              </w:rPr>
              <w:t>Affirmation explicitement soutenue par une source de qualité suffisante.</w:t>
            </w:r>
          </w:p>
        </w:tc>
        <w:tc>
          <w:tcPr>
            <w:tcW w:type="dxa" w:w="3118"/>
            <w:tcMar>
              <w:top w:w="60" w:type="dxa"/>
              <w:start w:w="60" w:type="dxa"/>
              <w:bottom w:w="60" w:type="dxa"/>
              <w:end w:w="60" w:type="dxa"/>
            </w:tcMar>
            <w:vAlign w:val="top"/>
          </w:tcPr>
          <w:p>
            <w:r/>
            <w:r>
              <w:rPr>
                <w:rFonts w:ascii="Aptos" w:hAnsi="Aptos"/>
                <w:sz w:val="16"/>
              </w:rPr>
              <w:t>Renseigner le champ et lier la preuve.</w:t>
            </w:r>
          </w:p>
        </w:tc>
      </w:tr>
      <w:tr>
        <w:tc>
          <w:tcPr>
            <w:tcW w:type="dxa" w:w="1814"/>
            <w:tcMar>
              <w:top w:w="60" w:type="dxa"/>
              <w:start w:w="60" w:type="dxa"/>
              <w:bottom w:w="60" w:type="dxa"/>
              <w:end w:w="60" w:type="dxa"/>
            </w:tcMar>
            <w:vAlign w:val="top"/>
          </w:tcPr>
          <w:p>
            <w:r/>
            <w:r>
              <w:rPr>
                <w:rFonts w:ascii="Aptos" w:hAnsi="Aptos"/>
                <w:sz w:val="16"/>
              </w:rPr>
              <w:t>INFERENCE</w:t>
            </w:r>
          </w:p>
        </w:tc>
        <w:tc>
          <w:tcPr>
            <w:tcW w:type="dxa" w:w="4365"/>
            <w:tcMar>
              <w:top w:w="60" w:type="dxa"/>
              <w:start w:w="60" w:type="dxa"/>
              <w:bottom w:w="60" w:type="dxa"/>
              <w:end w:w="60" w:type="dxa"/>
            </w:tcMar>
            <w:vAlign w:val="top"/>
          </w:tcPr>
          <w:p>
            <w:r/>
            <w:r>
              <w:rPr>
                <w:rFonts w:ascii="Aptos" w:hAnsi="Aptos"/>
                <w:sz w:val="16"/>
              </w:rPr>
              <w:t>Conclusion raisonnable mais non explicitement déclarée.</w:t>
            </w:r>
          </w:p>
        </w:tc>
        <w:tc>
          <w:tcPr>
            <w:tcW w:type="dxa" w:w="3118"/>
            <w:tcMar>
              <w:top w:w="60" w:type="dxa"/>
              <w:start w:w="60" w:type="dxa"/>
              <w:bottom w:w="60" w:type="dxa"/>
              <w:end w:w="60" w:type="dxa"/>
            </w:tcMar>
            <w:vAlign w:val="top"/>
          </w:tcPr>
          <w:p>
            <w:r/>
            <w:r>
              <w:rPr>
                <w:rFonts w:ascii="Aptos" w:hAnsi="Aptos"/>
                <w:sz w:val="16"/>
              </w:rPr>
              <w:t>Ne pas présenter comme fait ; conserver raisonnement.</w:t>
            </w:r>
          </w:p>
        </w:tc>
      </w:tr>
      <w:tr>
        <w:tc>
          <w:tcPr>
            <w:tcW w:type="dxa" w:w="1814"/>
            <w:tcMar>
              <w:top w:w="60" w:type="dxa"/>
              <w:start w:w="60" w:type="dxa"/>
              <w:bottom w:w="60" w:type="dxa"/>
              <w:end w:w="60" w:type="dxa"/>
            </w:tcMar>
            <w:vAlign w:val="top"/>
          </w:tcPr>
          <w:p>
            <w:r/>
            <w:r>
              <w:rPr>
                <w:rFonts w:ascii="Aptos" w:hAnsi="Aptos"/>
                <w:sz w:val="16"/>
              </w:rPr>
              <w:t>DECISION</w:t>
            </w:r>
          </w:p>
        </w:tc>
        <w:tc>
          <w:tcPr>
            <w:tcW w:type="dxa" w:w="4365"/>
            <w:tcMar>
              <w:top w:w="60" w:type="dxa"/>
              <w:start w:w="60" w:type="dxa"/>
              <w:bottom w:w="60" w:type="dxa"/>
              <w:end w:w="60" w:type="dxa"/>
            </w:tcMar>
            <w:vAlign w:val="top"/>
          </w:tcPr>
          <w:p>
            <w:r/>
            <w:r>
              <w:rPr>
                <w:rFonts w:ascii="Aptos" w:hAnsi="Aptos"/>
                <w:sz w:val="16"/>
              </w:rPr>
              <w:t>Choix de canonisation ou de compatibilité.</w:t>
            </w:r>
          </w:p>
        </w:tc>
        <w:tc>
          <w:tcPr>
            <w:tcW w:type="dxa" w:w="3118"/>
            <w:tcMar>
              <w:top w:w="60" w:type="dxa"/>
              <w:start w:w="60" w:type="dxa"/>
              <w:bottom w:w="60" w:type="dxa"/>
              <w:end w:w="60" w:type="dxa"/>
            </w:tcMar>
            <w:vAlign w:val="top"/>
          </w:tcPr>
          <w:p>
            <w:r/>
            <w:r>
              <w:rPr>
                <w:rFonts w:ascii="Aptos" w:hAnsi="Aptos"/>
                <w:sz w:val="16"/>
              </w:rPr>
              <w:t>Documenter règle, auteur et date.</w:t>
            </w:r>
          </w:p>
        </w:tc>
      </w:tr>
      <w:tr>
        <w:tc>
          <w:tcPr>
            <w:tcW w:type="dxa" w:w="1814"/>
            <w:tcMar>
              <w:top w:w="60" w:type="dxa"/>
              <w:start w:w="60" w:type="dxa"/>
              <w:bottom w:w="60" w:type="dxa"/>
              <w:end w:w="60" w:type="dxa"/>
            </w:tcMar>
            <w:vAlign w:val="top"/>
          </w:tcPr>
          <w:p>
            <w:r/>
            <w:r>
              <w:rPr>
                <w:rFonts w:ascii="Aptos" w:hAnsi="Aptos"/>
                <w:sz w:val="16"/>
              </w:rPr>
              <w:t>OPEN_ISSUE</w:t>
            </w:r>
          </w:p>
        </w:tc>
        <w:tc>
          <w:tcPr>
            <w:tcW w:type="dxa" w:w="4365"/>
            <w:tcMar>
              <w:top w:w="60" w:type="dxa"/>
              <w:start w:w="60" w:type="dxa"/>
              <w:bottom w:w="60" w:type="dxa"/>
              <w:end w:w="60" w:type="dxa"/>
            </w:tcMar>
            <w:vAlign w:val="top"/>
          </w:tcPr>
          <w:p>
            <w:r/>
            <w:r>
              <w:rPr>
                <w:rFonts w:ascii="Aptos" w:hAnsi="Aptos"/>
                <w:sz w:val="16"/>
              </w:rPr>
              <w:t>Information absente, contradictoire ou non résolue.</w:t>
            </w:r>
          </w:p>
        </w:tc>
        <w:tc>
          <w:tcPr>
            <w:tcW w:type="dxa" w:w="3118"/>
            <w:tcMar>
              <w:top w:w="60" w:type="dxa"/>
              <w:start w:w="60" w:type="dxa"/>
              <w:bottom w:w="60" w:type="dxa"/>
              <w:end w:w="60" w:type="dxa"/>
            </w:tcMar>
            <w:vAlign w:val="top"/>
          </w:tcPr>
          <w:p>
            <w:r/>
            <w:r>
              <w:rPr>
                <w:rFonts w:ascii="Aptos" w:hAnsi="Aptos"/>
                <w:sz w:val="16"/>
              </w:rPr>
              <w:t>Créer tâche de revue ; laisser champ vide si nécessaire.</w:t>
            </w:r>
          </w:p>
        </w:tc>
      </w:tr>
    </w:tbl>
    <w:p>
      <w:pPr>
        <w:widowControl/>
        <w:spacing w:after="0"/>
      </w:pPr>
    </w:p>
    <w:p>
      <w:pPr>
        <w:pStyle w:val="Heading2"/>
        <w:widowControl/>
      </w:pPr>
      <w:r>
        <w:t>12.1 Score de confiance proposé</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1814"/>
            <w:shd w:fill="D9EAF2"/>
            <w:tcMar>
              <w:top w:w="70" w:type="dxa"/>
              <w:start w:w="70" w:type="dxa"/>
              <w:bottom w:w="70" w:type="dxa"/>
              <w:end w:w="70" w:type="dxa"/>
            </w:tcMar>
            <w:vAlign w:val="center"/>
          </w:tcPr>
          <w:p>
            <w:r/>
            <w:r>
              <w:rPr>
                <w:rFonts w:ascii="Aptos" w:hAnsi="Aptos"/>
                <w:b/>
                <w:color w:val="123E5E"/>
                <w:sz w:val="16"/>
              </w:rPr>
              <w:t>Score</w:t>
            </w:r>
          </w:p>
        </w:tc>
        <w:tc>
          <w:tcPr>
            <w:tcW w:type="dxa" w:w="7483"/>
            <w:shd w:fill="D9EAF2"/>
            <w:tcMar>
              <w:top w:w="70" w:type="dxa"/>
              <w:start w:w="70" w:type="dxa"/>
              <w:bottom w:w="70" w:type="dxa"/>
              <w:end w:w="70" w:type="dxa"/>
            </w:tcMar>
            <w:vAlign w:val="center"/>
          </w:tcPr>
          <w:p>
            <w:r/>
            <w:r>
              <w:rPr>
                <w:rFonts w:ascii="Aptos" w:hAnsi="Aptos"/>
                <w:b/>
                <w:color w:val="123E5E"/>
                <w:sz w:val="16"/>
              </w:rPr>
              <w:t>Interprétation</w:t>
            </w:r>
          </w:p>
        </w:tc>
      </w:tr>
      <w:tr>
        <w:tc>
          <w:tcPr>
            <w:tcW w:type="dxa" w:w="1814"/>
            <w:tcMar>
              <w:top w:w="60" w:type="dxa"/>
              <w:start w:w="60" w:type="dxa"/>
              <w:bottom w:w="60" w:type="dxa"/>
              <w:end w:w="60" w:type="dxa"/>
            </w:tcMar>
            <w:vAlign w:val="top"/>
          </w:tcPr>
          <w:p>
            <w:r/>
            <w:r>
              <w:rPr>
                <w:rFonts w:ascii="Aptos" w:hAnsi="Aptos"/>
                <w:sz w:val="16"/>
              </w:rPr>
              <w:t>95–100</w:t>
            </w:r>
          </w:p>
        </w:tc>
        <w:tc>
          <w:tcPr>
            <w:tcW w:type="dxa" w:w="7483"/>
            <w:tcMar>
              <w:top w:w="60" w:type="dxa"/>
              <w:start w:w="60" w:type="dxa"/>
              <w:bottom w:w="60" w:type="dxa"/>
              <w:end w:w="60" w:type="dxa"/>
            </w:tcMar>
            <w:vAlign w:val="top"/>
          </w:tcPr>
          <w:p>
            <w:r/>
            <w:r>
              <w:rPr>
                <w:rFonts w:ascii="Aptos" w:hAnsi="Aptos"/>
                <w:sz w:val="16"/>
              </w:rPr>
              <w:t>Preuve réglementaire directe et cohérente, date précise.</w:t>
            </w:r>
          </w:p>
        </w:tc>
      </w:tr>
      <w:tr>
        <w:tc>
          <w:tcPr>
            <w:tcW w:type="dxa" w:w="1814"/>
            <w:tcMar>
              <w:top w:w="60" w:type="dxa"/>
              <w:start w:w="60" w:type="dxa"/>
              <w:bottom w:w="60" w:type="dxa"/>
              <w:end w:w="60" w:type="dxa"/>
            </w:tcMar>
            <w:vAlign w:val="top"/>
          </w:tcPr>
          <w:p>
            <w:r/>
            <w:r>
              <w:rPr>
                <w:rFonts w:ascii="Aptos" w:hAnsi="Aptos"/>
                <w:sz w:val="16"/>
              </w:rPr>
              <w:t>85–94</w:t>
            </w:r>
          </w:p>
        </w:tc>
        <w:tc>
          <w:tcPr>
            <w:tcW w:type="dxa" w:w="7483"/>
            <w:tcMar>
              <w:top w:w="60" w:type="dxa"/>
              <w:start w:w="60" w:type="dxa"/>
              <w:bottom w:w="60" w:type="dxa"/>
              <w:end w:w="60" w:type="dxa"/>
            </w:tcMar>
            <w:vAlign w:val="top"/>
          </w:tcPr>
          <w:p>
            <w:r/>
            <w:r>
              <w:rPr>
                <w:rFonts w:ascii="Aptos" w:hAnsi="Aptos"/>
                <w:sz w:val="16"/>
              </w:rPr>
              <w:t>Document officiel du fonds + corroboration indépendante.</w:t>
            </w:r>
          </w:p>
        </w:tc>
      </w:tr>
      <w:tr>
        <w:tc>
          <w:tcPr>
            <w:tcW w:type="dxa" w:w="1814"/>
            <w:tcMar>
              <w:top w:w="60" w:type="dxa"/>
              <w:start w:w="60" w:type="dxa"/>
              <w:bottom w:w="60" w:type="dxa"/>
              <w:end w:w="60" w:type="dxa"/>
            </w:tcMar>
            <w:vAlign w:val="top"/>
          </w:tcPr>
          <w:p>
            <w:r/>
            <w:r>
              <w:rPr>
                <w:rFonts w:ascii="Aptos" w:hAnsi="Aptos"/>
                <w:sz w:val="16"/>
              </w:rPr>
              <w:t>70–84</w:t>
            </w:r>
          </w:p>
        </w:tc>
        <w:tc>
          <w:tcPr>
            <w:tcW w:type="dxa" w:w="7483"/>
            <w:tcMar>
              <w:top w:w="60" w:type="dxa"/>
              <w:start w:w="60" w:type="dxa"/>
              <w:bottom w:w="60" w:type="dxa"/>
              <w:end w:w="60" w:type="dxa"/>
            </w:tcMar>
            <w:vAlign w:val="top"/>
          </w:tcPr>
          <w:p>
            <w:r/>
            <w:r>
              <w:rPr>
                <w:rFonts w:ascii="Aptos" w:hAnsi="Aptos"/>
                <w:sz w:val="16"/>
              </w:rPr>
              <w:t>Plusieurs sources officielles indirectes, aucune contradiction.</w:t>
            </w:r>
          </w:p>
        </w:tc>
      </w:tr>
      <w:tr>
        <w:tc>
          <w:tcPr>
            <w:tcW w:type="dxa" w:w="1814"/>
            <w:tcMar>
              <w:top w:w="60" w:type="dxa"/>
              <w:start w:w="60" w:type="dxa"/>
              <w:bottom w:w="60" w:type="dxa"/>
              <w:end w:w="60" w:type="dxa"/>
            </w:tcMar>
            <w:vAlign w:val="top"/>
          </w:tcPr>
          <w:p>
            <w:r/>
            <w:r>
              <w:rPr>
                <w:rFonts w:ascii="Aptos" w:hAnsi="Aptos"/>
                <w:sz w:val="16"/>
              </w:rPr>
              <w:t>50–69</w:t>
            </w:r>
          </w:p>
        </w:tc>
        <w:tc>
          <w:tcPr>
            <w:tcW w:type="dxa" w:w="7483"/>
            <w:tcMar>
              <w:top w:w="60" w:type="dxa"/>
              <w:start w:w="60" w:type="dxa"/>
              <w:bottom w:w="60" w:type="dxa"/>
              <w:end w:w="60" w:type="dxa"/>
            </w:tcMar>
            <w:vAlign w:val="top"/>
          </w:tcPr>
          <w:p>
            <w:r/>
            <w:r>
              <w:rPr>
                <w:rFonts w:ascii="Aptos" w:hAnsi="Aptos"/>
                <w:sz w:val="16"/>
              </w:rPr>
              <w:t>Source secondaire fiable ou inférence forte ; revue requise.</w:t>
            </w:r>
          </w:p>
        </w:tc>
      </w:tr>
      <w:tr>
        <w:tc>
          <w:tcPr>
            <w:tcW w:type="dxa" w:w="1814"/>
            <w:tcMar>
              <w:top w:w="60" w:type="dxa"/>
              <w:start w:w="60" w:type="dxa"/>
              <w:bottom w:w="60" w:type="dxa"/>
              <w:end w:w="60" w:type="dxa"/>
            </w:tcMar>
            <w:vAlign w:val="top"/>
          </w:tcPr>
          <w:p>
            <w:r/>
            <w:r>
              <w:rPr>
                <w:rFonts w:ascii="Aptos" w:hAnsi="Aptos"/>
                <w:sz w:val="16"/>
              </w:rPr>
              <w:t>25–49</w:t>
            </w:r>
          </w:p>
        </w:tc>
        <w:tc>
          <w:tcPr>
            <w:tcW w:type="dxa" w:w="7483"/>
            <w:tcMar>
              <w:top w:w="60" w:type="dxa"/>
              <w:start w:w="60" w:type="dxa"/>
              <w:bottom w:w="60" w:type="dxa"/>
              <w:end w:w="60" w:type="dxa"/>
            </w:tcMar>
            <w:vAlign w:val="top"/>
          </w:tcPr>
          <w:p>
            <w:r/>
            <w:r>
              <w:rPr>
                <w:rFonts w:ascii="Aptos" w:hAnsi="Aptos"/>
                <w:sz w:val="16"/>
              </w:rPr>
              <w:t>Piste plausible, données partielles ou contradiction.</w:t>
            </w:r>
          </w:p>
        </w:tc>
      </w:tr>
      <w:tr>
        <w:tc>
          <w:tcPr>
            <w:tcW w:type="dxa" w:w="1814"/>
            <w:tcMar>
              <w:top w:w="60" w:type="dxa"/>
              <w:start w:w="60" w:type="dxa"/>
              <w:bottom w:w="60" w:type="dxa"/>
              <w:end w:w="60" w:type="dxa"/>
            </w:tcMar>
            <w:vAlign w:val="top"/>
          </w:tcPr>
          <w:p>
            <w:r/>
            <w:r>
              <w:rPr>
                <w:rFonts w:ascii="Aptos" w:hAnsi="Aptos"/>
                <w:sz w:val="16"/>
              </w:rPr>
              <w:t>0–24</w:t>
            </w:r>
          </w:p>
        </w:tc>
        <w:tc>
          <w:tcPr>
            <w:tcW w:type="dxa" w:w="7483"/>
            <w:tcMar>
              <w:top w:w="60" w:type="dxa"/>
              <w:start w:w="60" w:type="dxa"/>
              <w:bottom w:w="60" w:type="dxa"/>
              <w:end w:w="60" w:type="dxa"/>
            </w:tcMar>
            <w:vAlign w:val="top"/>
          </w:tcPr>
          <w:p>
            <w:r/>
            <w:r>
              <w:rPr>
                <w:rFonts w:ascii="Aptos" w:hAnsi="Aptos"/>
                <w:sz w:val="16"/>
              </w:rPr>
              <w:t>Non démontré, source faible ou identité ambiguë.</w:t>
            </w:r>
          </w:p>
        </w:tc>
      </w:tr>
    </w:tbl>
    <w:p>
      <w:pPr>
        <w:widowControl/>
        <w:spacing w:after="0"/>
      </w:pPr>
    </w:p>
    <w:p>
      <w:pPr>
        <w:widowControl/>
      </w:pPr>
      <w:r>
        <w:rPr>
          <w:rFonts w:ascii="Aptos" w:hAnsi="Aptos"/>
          <w:sz w:val="19"/>
        </w:rPr>
        <w:t>Le score doit être calculé par champ ou claim. Un score global du fonds ne doit pas donner une fausse impression de certitude sur toutes les cellules.</w:t>
      </w:r>
    </w:p>
    <w:p>
      <w:pPr>
        <w:pStyle w:val="Heading2"/>
        <w:widowControl/>
      </w:pPr>
      <w:r>
        <w:t>12.2 Carte de preuve</w:t>
      </w:r>
    </w:p>
    <w:p>
      <w:pPr>
        <w:pStyle w:val="CodeNigeria"/>
        <w:widowControl/>
        <w:shd w:fill="F4F6F7"/>
      </w:pPr>
      <w:r>
        <w:rPr>
          <w:rFonts w:ascii="Liberation Mono" w:hAnsi="Liberation Mono"/>
          <w:color w:val="1E1E1E"/>
          <w:sz w:val="15"/>
        </w:rPr>
        <w:t>claim_id</w:t>
        <w:br/>
        <w:t>claim_type</w:t>
        <w:br/>
        <w:t>claim_value</w:t>
        <w:br/>
        <w:t>supporting_sources[]</w:t>
        <w:br/>
        <w:t>contradicting_sources[]</w:t>
        <w:br/>
        <w:t>what_is_proven</w:t>
        <w:br/>
        <w:t>what_is_not_proven</w:t>
        <w:br/>
        <w:t>confidence_score</w:t>
        <w:br/>
        <w:t>evidence_level</w:t>
        <w:br/>
        <w:t>review_status</w:t>
        <w:br/>
        <w:t>reviewer</w:t>
        <w:br/>
        <w:t>reviewed_at</w:t>
      </w:r>
    </w:p>
    <w:p>
      <w:pPr>
        <w:pStyle w:val="Heading2"/>
        <w:widowControl/>
      </w:pPr>
      <w:r>
        <w:t>12.3 Gestion des conflits</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3685"/>
            <w:shd w:fill="D9EAF2"/>
            <w:tcMar>
              <w:top w:w="70" w:type="dxa"/>
              <w:start w:w="70" w:type="dxa"/>
              <w:bottom w:w="70" w:type="dxa"/>
              <w:end w:w="70" w:type="dxa"/>
            </w:tcMar>
            <w:vAlign w:val="center"/>
          </w:tcPr>
          <w:p>
            <w:r/>
            <w:r>
              <w:rPr>
                <w:rFonts w:ascii="Aptos" w:hAnsi="Aptos"/>
                <w:b/>
                <w:color w:val="123E5E"/>
                <w:sz w:val="15"/>
              </w:rPr>
              <w:t>Conflit</w:t>
            </w:r>
          </w:p>
        </w:tc>
        <w:tc>
          <w:tcPr>
            <w:tcW w:type="dxa" w:w="5613"/>
            <w:shd w:fill="D9EAF2"/>
            <w:tcMar>
              <w:top w:w="70" w:type="dxa"/>
              <w:start w:w="70" w:type="dxa"/>
              <w:bottom w:w="70" w:type="dxa"/>
              <w:end w:w="70" w:type="dxa"/>
            </w:tcMar>
            <w:vAlign w:val="center"/>
          </w:tcPr>
          <w:p>
            <w:r/>
            <w:r>
              <w:rPr>
                <w:rFonts w:ascii="Aptos" w:hAnsi="Aptos"/>
                <w:b/>
                <w:color w:val="123E5E"/>
                <w:sz w:val="15"/>
              </w:rPr>
              <w:t>Traitement</w:t>
            </w:r>
          </w:p>
        </w:tc>
      </w:tr>
      <w:tr>
        <w:tc>
          <w:tcPr>
            <w:tcW w:type="dxa" w:w="3685"/>
            <w:tcMar>
              <w:top w:w="60" w:type="dxa"/>
              <w:start w:w="60" w:type="dxa"/>
              <w:bottom w:w="60" w:type="dxa"/>
              <w:end w:w="60" w:type="dxa"/>
            </w:tcMar>
            <w:vAlign w:val="top"/>
          </w:tcPr>
          <w:p>
            <w:r/>
            <w:r>
              <w:rPr>
                <w:rFonts w:ascii="Aptos" w:hAnsi="Aptos"/>
                <w:sz w:val="15"/>
              </w:rPr>
              <w:t>Même fonds/date/mesure, valeurs différentes</w:t>
            </w:r>
          </w:p>
        </w:tc>
        <w:tc>
          <w:tcPr>
            <w:tcW w:type="dxa" w:w="5613"/>
            <w:tcMar>
              <w:top w:w="60" w:type="dxa"/>
              <w:start w:w="60" w:type="dxa"/>
              <w:bottom w:w="60" w:type="dxa"/>
              <w:end w:w="60" w:type="dxa"/>
            </w:tcMar>
            <w:vAlign w:val="top"/>
          </w:tcPr>
          <w:p>
            <w:r/>
            <w:r>
              <w:rPr>
                <w:rFonts w:ascii="Aptos" w:hAnsi="Aptos"/>
                <w:sz w:val="15"/>
              </w:rPr>
              <w:t>Conserver toutes les sources, choisir selon priorité si règle valide, sinon REVIEW.</w:t>
            </w:r>
          </w:p>
        </w:tc>
      </w:tr>
      <w:tr>
        <w:tc>
          <w:tcPr>
            <w:tcW w:type="dxa" w:w="3685"/>
            <w:tcMar>
              <w:top w:w="60" w:type="dxa"/>
              <w:start w:w="60" w:type="dxa"/>
              <w:bottom w:w="60" w:type="dxa"/>
              <w:end w:w="60" w:type="dxa"/>
            </w:tcMar>
            <w:vAlign w:val="top"/>
          </w:tcPr>
          <w:p>
            <w:r/>
            <w:r>
              <w:rPr>
                <w:rFonts w:ascii="Aptos" w:hAnsi="Aptos"/>
                <w:sz w:val="15"/>
              </w:rPr>
              <w:t>Deux dates de lancement</w:t>
            </w:r>
          </w:p>
        </w:tc>
        <w:tc>
          <w:tcPr>
            <w:tcW w:type="dxa" w:w="5613"/>
            <w:tcMar>
              <w:top w:w="60" w:type="dxa"/>
              <w:start w:w="60" w:type="dxa"/>
              <w:bottom w:w="60" w:type="dxa"/>
              <w:end w:w="60" w:type="dxa"/>
            </w:tcMar>
            <w:vAlign w:val="top"/>
          </w:tcPr>
          <w:p>
            <w:r/>
            <w:r>
              <w:rPr>
                <w:rFonts w:ascii="Aptos" w:hAnsi="Aptos"/>
                <w:sz w:val="15"/>
              </w:rPr>
              <w:t>Distinguer approval, launch, commencement et first valuation.</w:t>
            </w:r>
          </w:p>
        </w:tc>
      </w:tr>
      <w:tr>
        <w:tc>
          <w:tcPr>
            <w:tcW w:type="dxa" w:w="3685"/>
            <w:tcMar>
              <w:top w:w="60" w:type="dxa"/>
              <w:start w:w="60" w:type="dxa"/>
              <w:bottom w:w="60" w:type="dxa"/>
              <w:end w:w="60" w:type="dxa"/>
            </w:tcMar>
            <w:vAlign w:val="top"/>
          </w:tcPr>
          <w:p>
            <w:r/>
            <w:r>
              <w:rPr>
                <w:rFonts w:ascii="Aptos" w:hAnsi="Aptos"/>
                <w:sz w:val="15"/>
              </w:rPr>
              <w:t>Deux gestionnaires à la même date</w:t>
            </w:r>
          </w:p>
        </w:tc>
        <w:tc>
          <w:tcPr>
            <w:tcW w:type="dxa" w:w="5613"/>
            <w:tcMar>
              <w:top w:w="60" w:type="dxa"/>
              <w:start w:w="60" w:type="dxa"/>
              <w:bottom w:w="60" w:type="dxa"/>
              <w:end w:w="60" w:type="dxa"/>
            </w:tcMar>
            <w:vAlign w:val="top"/>
          </w:tcPr>
          <w:p>
            <w:r/>
            <w:r>
              <w:rPr>
                <w:rFonts w:ascii="Aptos" w:hAnsi="Aptos"/>
                <w:sz w:val="15"/>
              </w:rPr>
              <w:t>Vérifier rôle, correction de publication, co-management ou erreur.</w:t>
            </w:r>
          </w:p>
        </w:tc>
      </w:tr>
      <w:tr>
        <w:tc>
          <w:tcPr>
            <w:tcW w:type="dxa" w:w="3685"/>
            <w:tcMar>
              <w:top w:w="60" w:type="dxa"/>
              <w:start w:w="60" w:type="dxa"/>
              <w:bottom w:w="60" w:type="dxa"/>
              <w:end w:w="60" w:type="dxa"/>
            </w:tcMar>
            <w:vAlign w:val="top"/>
          </w:tcPr>
          <w:p>
            <w:r/>
            <w:r>
              <w:rPr>
                <w:rFonts w:ascii="Aptos" w:hAnsi="Aptos"/>
                <w:sz w:val="15"/>
              </w:rPr>
              <w:t>Nom actuel différent selon source</w:t>
            </w:r>
          </w:p>
        </w:tc>
        <w:tc>
          <w:tcPr>
            <w:tcW w:type="dxa" w:w="5613"/>
            <w:tcMar>
              <w:top w:w="60" w:type="dxa"/>
              <w:start w:w="60" w:type="dxa"/>
              <w:bottom w:w="60" w:type="dxa"/>
              <w:end w:w="60" w:type="dxa"/>
            </w:tcMar>
            <w:vAlign w:val="top"/>
          </w:tcPr>
          <w:p>
            <w:r/>
            <w:r>
              <w:rPr>
                <w:rFonts w:ascii="Aptos" w:hAnsi="Aptos"/>
                <w:sz w:val="15"/>
              </w:rPr>
              <w:t>Identifier la date de chaque source et l’événement de renommage.</w:t>
            </w:r>
          </w:p>
        </w:tc>
      </w:tr>
      <w:tr>
        <w:tc>
          <w:tcPr>
            <w:tcW w:type="dxa" w:w="3685"/>
            <w:tcMar>
              <w:top w:w="60" w:type="dxa"/>
              <w:start w:w="60" w:type="dxa"/>
              <w:bottom w:w="60" w:type="dxa"/>
              <w:end w:w="60" w:type="dxa"/>
            </w:tcMar>
            <w:vAlign w:val="top"/>
          </w:tcPr>
          <w:p>
            <w:r/>
            <w:r>
              <w:rPr>
                <w:rFonts w:ascii="Aptos" w:hAnsi="Aptos"/>
                <w:sz w:val="15"/>
              </w:rPr>
              <w:t>Catégorie contradictoire</w:t>
            </w:r>
          </w:p>
        </w:tc>
        <w:tc>
          <w:tcPr>
            <w:tcW w:type="dxa" w:w="5613"/>
            <w:tcMar>
              <w:top w:w="60" w:type="dxa"/>
              <w:start w:w="60" w:type="dxa"/>
              <w:bottom w:w="60" w:type="dxa"/>
              <w:end w:w="60" w:type="dxa"/>
            </w:tcMar>
            <w:vAlign w:val="top"/>
          </w:tcPr>
          <w:p>
            <w:r/>
            <w:r>
              <w:rPr>
                <w:rFonts w:ascii="Aptos" w:hAnsi="Aptos"/>
                <w:sz w:val="15"/>
              </w:rPr>
              <w:t>Historiser ou mettre en revue ; ne pas réécrire l’histoire.</w:t>
            </w:r>
          </w:p>
        </w:tc>
      </w:tr>
      <w:tr>
        <w:tc>
          <w:tcPr>
            <w:tcW w:type="dxa" w:w="3685"/>
            <w:tcMar>
              <w:top w:w="60" w:type="dxa"/>
              <w:start w:w="60" w:type="dxa"/>
              <w:bottom w:w="60" w:type="dxa"/>
              <w:end w:w="60" w:type="dxa"/>
            </w:tcMar>
            <w:vAlign w:val="top"/>
          </w:tcPr>
          <w:p>
            <w:r/>
            <w:r>
              <w:rPr>
                <w:rFonts w:ascii="Aptos" w:hAnsi="Aptos"/>
                <w:sz w:val="15"/>
              </w:rPr>
              <w:t>Statut actif vs fonds absent</w:t>
            </w:r>
          </w:p>
        </w:tc>
        <w:tc>
          <w:tcPr>
            <w:tcW w:type="dxa" w:w="5613"/>
            <w:tcMar>
              <w:top w:w="60" w:type="dxa"/>
              <w:start w:w="60" w:type="dxa"/>
              <w:bottom w:w="60" w:type="dxa"/>
              <w:end w:w="60" w:type="dxa"/>
            </w:tcMar>
            <w:vAlign w:val="top"/>
          </w:tcPr>
          <w:p>
            <w:r/>
            <w:r>
              <w:rPr>
                <w:rFonts w:ascii="Aptos" w:hAnsi="Aptos"/>
                <w:sz w:val="15"/>
              </w:rPr>
              <w:t>Rechercher avis, monthly list, manager page et last valuation ; ne pas conclure seul.</w:t>
            </w:r>
          </w:p>
        </w:tc>
      </w:tr>
    </w:tbl>
    <w:p>
      <w:pPr>
        <w:widowControl/>
        <w:spacing w:after="0"/>
      </w:pPr>
    </w:p>
    <w:p>
      <w:pPr>
        <w:pStyle w:val="Heading2"/>
        <w:widowControl/>
      </w:pPr>
      <w:r>
        <w:t>12.4 Revue humaine</w:t>
      </w:r>
    </w:p>
    <w:p>
      <w:pPr>
        <w:pStyle w:val="ListBullet"/>
        <w:widowControl/>
        <w:ind w:left="397" w:hanging="142"/>
      </w:pPr>
      <w:r>
        <w:rPr>
          <w:rFonts w:ascii="Aptos" w:hAnsi="Aptos"/>
          <w:sz w:val="18"/>
        </w:rPr>
        <w:t>Toute fusion d'identités avec score inférieur à 95 doit être validée par un reviewer.</w:t>
      </w:r>
    </w:p>
    <w:p>
      <w:pPr>
        <w:pStyle w:val="ListBullet"/>
        <w:widowControl/>
        <w:ind w:left="397" w:hanging="142"/>
      </w:pPr>
      <w:r>
        <w:rPr>
          <w:rFonts w:ascii="Aptos" w:hAnsi="Aptos"/>
          <w:sz w:val="18"/>
        </w:rPr>
        <w:t>Tout événement juridique sans source A ou B doit rester probable ou ouvert.</w:t>
      </w:r>
    </w:p>
    <w:p>
      <w:pPr>
        <w:pStyle w:val="ListBullet"/>
        <w:widowControl/>
        <w:ind w:left="397" w:hanging="142"/>
      </w:pPr>
      <w:r>
        <w:rPr>
          <w:rFonts w:ascii="Aptos" w:hAnsi="Aptos"/>
          <w:sz w:val="18"/>
        </w:rPr>
        <w:t>Toute correction de valeur en production doit fournir les coordonnées de cellules source.</w:t>
      </w:r>
    </w:p>
    <w:p>
      <w:pPr>
        <w:pStyle w:val="ListBullet"/>
        <w:widowControl/>
        <w:ind w:left="397" w:hanging="142"/>
      </w:pPr>
      <w:r>
        <w:rPr>
          <w:rFonts w:ascii="Aptos" w:hAnsi="Aptos"/>
          <w:sz w:val="18"/>
        </w:rPr>
        <w:t>Toute règle nouvelle de parsing doit être testée sur plusieurs années et familles de feuilles.</w:t>
      </w:r>
    </w:p>
    <w:p>
      <w:pPr>
        <w:pStyle w:val="ListBullet"/>
        <w:widowControl/>
        <w:ind w:left="397" w:hanging="142"/>
      </w:pPr>
      <w:r>
        <w:rPr>
          <w:rFonts w:ascii="Aptos" w:hAnsi="Aptos"/>
          <w:sz w:val="18"/>
        </w:rPr>
        <w:t>La décision de selected_valuation_value doit être approuvée comme politique produit, indépendamment de la conservation des mesures source.</w:t>
      </w:r>
    </w:p>
    <w:p>
      <w:pPr>
        <w:pStyle w:val="ListBullet"/>
        <w:widowControl/>
        <w:ind w:left="397" w:hanging="142"/>
      </w:pPr>
      <w:r>
        <w:rPr>
          <w:rFonts w:ascii="Aptos" w:hAnsi="Aptos"/>
          <w:sz w:val="18"/>
        </w:rPr>
        <w:t>Les cas non résolus doivent rester visibles dans un backlog, avec priorité et impact.</w:t>
      </w:r>
    </w:p>
    <w:p>
      <w:pPr>
        <w:widowControl/>
      </w:pPr>
      <w:r>
        <w:br w:type="page"/>
      </w:r>
    </w:p>
    <w:p>
      <w:pPr>
        <w:widowControl/>
        <w:jc w:val="center"/>
      </w:pPr>
      <w:r>
        <w:rPr>
          <w:rFonts w:ascii="Aptos Display" w:hAnsi="Aptos Display"/>
          <w:b/>
          <w:color w:val="123E5E"/>
          <w:sz w:val="44"/>
        </w:rPr>
        <w:t>PARTIE XIII — CONTRÔLES QUALITÉ ET TESTS DE NON-RÉGRESSION</w:t>
      </w:r>
    </w:p>
    <w:p>
      <w:pPr>
        <w:widowControl/>
        <w:jc w:val="center"/>
      </w:pPr>
      <w:r>
        <w:rPr>
          <w:rFonts w:ascii="Aptos" w:hAnsi="Aptos"/>
          <w:i/>
          <w:color w:val="505050"/>
          <w:sz w:val="22"/>
        </w:rPr>
        <w:t>Détecter les erreurs avant qu’elles deviennent des données</w:t>
      </w:r>
    </w:p>
    <w:p>
      <w:pPr>
        <w:widowControl/>
      </w:pPr>
    </w:p>
    <w:p>
      <w:pPr>
        <w:pStyle w:val="Heading1"/>
        <w:widowControl/>
      </w:pPr>
      <w:r>
        <w:t>13. Contrôles de source et de structure</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1701"/>
            <w:shd w:fill="D9EAF2"/>
            <w:tcMar>
              <w:top w:w="70" w:type="dxa"/>
              <w:start w:w="70" w:type="dxa"/>
              <w:bottom w:w="70" w:type="dxa"/>
              <w:end w:w="70" w:type="dxa"/>
            </w:tcMar>
            <w:vAlign w:val="center"/>
          </w:tcPr>
          <w:p>
            <w:r/>
            <w:r>
              <w:rPr>
                <w:rFonts w:ascii="Aptos" w:hAnsi="Aptos"/>
                <w:b/>
                <w:color w:val="123E5E"/>
                <w:sz w:val="15"/>
              </w:rPr>
              <w:t>Code</w:t>
            </w:r>
          </w:p>
        </w:tc>
        <w:tc>
          <w:tcPr>
            <w:tcW w:type="dxa" w:w="7597"/>
            <w:shd w:fill="D9EAF2"/>
            <w:tcMar>
              <w:top w:w="70" w:type="dxa"/>
              <w:start w:w="70" w:type="dxa"/>
              <w:bottom w:w="70" w:type="dxa"/>
              <w:end w:w="70" w:type="dxa"/>
            </w:tcMar>
            <w:vAlign w:val="center"/>
          </w:tcPr>
          <w:p>
            <w:r/>
            <w:r>
              <w:rPr>
                <w:rFonts w:ascii="Aptos" w:hAnsi="Aptos"/>
                <w:b/>
                <w:color w:val="123E5E"/>
                <w:sz w:val="15"/>
              </w:rPr>
              <w:t>Contrôle</w:t>
            </w:r>
          </w:p>
        </w:tc>
      </w:tr>
      <w:tr>
        <w:tc>
          <w:tcPr>
            <w:tcW w:type="dxa" w:w="1701"/>
            <w:tcMar>
              <w:top w:w="60" w:type="dxa"/>
              <w:start w:w="60" w:type="dxa"/>
              <w:bottom w:w="60" w:type="dxa"/>
              <w:end w:w="60" w:type="dxa"/>
            </w:tcMar>
            <w:vAlign w:val="top"/>
          </w:tcPr>
          <w:p>
            <w:r/>
            <w:r>
              <w:rPr>
                <w:rFonts w:ascii="Aptos" w:hAnsi="Aptos"/>
                <w:sz w:val="15"/>
              </w:rPr>
              <w:t>SRC-001</w:t>
            </w:r>
          </w:p>
        </w:tc>
        <w:tc>
          <w:tcPr>
            <w:tcW w:type="dxa" w:w="7597"/>
            <w:tcMar>
              <w:top w:w="60" w:type="dxa"/>
              <w:start w:w="60" w:type="dxa"/>
              <w:bottom w:w="60" w:type="dxa"/>
              <w:end w:w="60" w:type="dxa"/>
            </w:tcMar>
            <w:vAlign w:val="top"/>
          </w:tcPr>
          <w:p>
            <w:r/>
            <w:r>
              <w:rPr>
                <w:rFonts w:ascii="Aptos" w:hAnsi="Aptos"/>
                <w:sz w:val="15"/>
              </w:rPr>
              <w:t>URL officielle accessible ou statut archivé</w:t>
            </w:r>
          </w:p>
        </w:tc>
      </w:tr>
      <w:tr>
        <w:tc>
          <w:tcPr>
            <w:tcW w:type="dxa" w:w="1701"/>
            <w:tcMar>
              <w:top w:w="60" w:type="dxa"/>
              <w:start w:w="60" w:type="dxa"/>
              <w:bottom w:w="60" w:type="dxa"/>
              <w:end w:w="60" w:type="dxa"/>
            </w:tcMar>
            <w:vAlign w:val="top"/>
          </w:tcPr>
          <w:p>
            <w:r/>
            <w:r>
              <w:rPr>
                <w:rFonts w:ascii="Aptos" w:hAnsi="Aptos"/>
                <w:sz w:val="15"/>
              </w:rPr>
              <w:t>SRC-002</w:t>
            </w:r>
          </w:p>
        </w:tc>
        <w:tc>
          <w:tcPr>
            <w:tcW w:type="dxa" w:w="7597"/>
            <w:tcMar>
              <w:top w:w="60" w:type="dxa"/>
              <w:start w:w="60" w:type="dxa"/>
              <w:bottom w:w="60" w:type="dxa"/>
              <w:end w:w="60" w:type="dxa"/>
            </w:tcMar>
            <w:vAlign w:val="top"/>
          </w:tcPr>
          <w:p>
            <w:r/>
            <w:r>
              <w:rPr>
                <w:rFonts w:ascii="Aptos" w:hAnsi="Aptos"/>
                <w:sz w:val="15"/>
              </w:rPr>
              <w:t>SHA-256 présent</w:t>
            </w:r>
          </w:p>
        </w:tc>
      </w:tr>
      <w:tr>
        <w:tc>
          <w:tcPr>
            <w:tcW w:type="dxa" w:w="1701"/>
            <w:tcMar>
              <w:top w:w="60" w:type="dxa"/>
              <w:start w:w="60" w:type="dxa"/>
              <w:bottom w:w="60" w:type="dxa"/>
              <w:end w:w="60" w:type="dxa"/>
            </w:tcMar>
            <w:vAlign w:val="top"/>
          </w:tcPr>
          <w:p>
            <w:r/>
            <w:r>
              <w:rPr>
                <w:rFonts w:ascii="Aptos" w:hAnsi="Aptos"/>
                <w:sz w:val="15"/>
              </w:rPr>
              <w:t>SRC-003</w:t>
            </w:r>
          </w:p>
        </w:tc>
        <w:tc>
          <w:tcPr>
            <w:tcW w:type="dxa" w:w="7597"/>
            <w:tcMar>
              <w:top w:w="60" w:type="dxa"/>
              <w:start w:w="60" w:type="dxa"/>
              <w:bottom w:w="60" w:type="dxa"/>
              <w:end w:w="60" w:type="dxa"/>
            </w:tcMar>
            <w:vAlign w:val="top"/>
          </w:tcPr>
          <w:p>
            <w:r/>
            <w:r>
              <w:rPr>
                <w:rFonts w:ascii="Aptos" w:hAnsi="Aptos"/>
                <w:sz w:val="15"/>
              </w:rPr>
              <w:t>Format réel cohérent avec extension</w:t>
            </w:r>
          </w:p>
        </w:tc>
      </w:tr>
      <w:tr>
        <w:tc>
          <w:tcPr>
            <w:tcW w:type="dxa" w:w="1701"/>
            <w:tcMar>
              <w:top w:w="60" w:type="dxa"/>
              <w:start w:w="60" w:type="dxa"/>
              <w:bottom w:w="60" w:type="dxa"/>
              <w:end w:w="60" w:type="dxa"/>
            </w:tcMar>
            <w:vAlign w:val="top"/>
          </w:tcPr>
          <w:p>
            <w:r/>
            <w:r>
              <w:rPr>
                <w:rFonts w:ascii="Aptos" w:hAnsi="Aptos"/>
                <w:sz w:val="15"/>
              </w:rPr>
              <w:t>SRC-004</w:t>
            </w:r>
          </w:p>
        </w:tc>
        <w:tc>
          <w:tcPr>
            <w:tcW w:type="dxa" w:w="7597"/>
            <w:tcMar>
              <w:top w:w="60" w:type="dxa"/>
              <w:start w:w="60" w:type="dxa"/>
              <w:bottom w:w="60" w:type="dxa"/>
              <w:end w:w="60" w:type="dxa"/>
            </w:tcMar>
            <w:vAlign w:val="top"/>
          </w:tcPr>
          <w:p>
            <w:r/>
            <w:r>
              <w:rPr>
                <w:rFonts w:ascii="Aptos" w:hAnsi="Aptos"/>
                <w:sz w:val="15"/>
              </w:rPr>
              <w:t>Fichier ouvrable</w:t>
            </w:r>
          </w:p>
        </w:tc>
      </w:tr>
      <w:tr>
        <w:tc>
          <w:tcPr>
            <w:tcW w:type="dxa" w:w="1701"/>
            <w:tcMar>
              <w:top w:w="60" w:type="dxa"/>
              <w:start w:w="60" w:type="dxa"/>
              <w:bottom w:w="60" w:type="dxa"/>
              <w:end w:w="60" w:type="dxa"/>
            </w:tcMar>
            <w:vAlign w:val="top"/>
          </w:tcPr>
          <w:p>
            <w:r/>
            <w:r>
              <w:rPr>
                <w:rFonts w:ascii="Aptos" w:hAnsi="Aptos"/>
                <w:sz w:val="15"/>
              </w:rPr>
              <w:t>SRC-005</w:t>
            </w:r>
          </w:p>
        </w:tc>
        <w:tc>
          <w:tcPr>
            <w:tcW w:type="dxa" w:w="7597"/>
            <w:tcMar>
              <w:top w:w="60" w:type="dxa"/>
              <w:start w:w="60" w:type="dxa"/>
              <w:bottom w:w="60" w:type="dxa"/>
              <w:end w:w="60" w:type="dxa"/>
            </w:tcMar>
            <w:vAlign w:val="top"/>
          </w:tcPr>
          <w:p>
            <w:r/>
            <w:r>
              <w:rPr>
                <w:rFonts w:ascii="Aptos" w:hAnsi="Aptos"/>
                <w:sz w:val="15"/>
              </w:rPr>
              <w:t>Toutes feuilles inventoriées</w:t>
            </w:r>
          </w:p>
        </w:tc>
      </w:tr>
      <w:tr>
        <w:tc>
          <w:tcPr>
            <w:tcW w:type="dxa" w:w="1701"/>
            <w:tcMar>
              <w:top w:w="60" w:type="dxa"/>
              <w:start w:w="60" w:type="dxa"/>
              <w:bottom w:w="60" w:type="dxa"/>
              <w:end w:w="60" w:type="dxa"/>
            </w:tcMar>
            <w:vAlign w:val="top"/>
          </w:tcPr>
          <w:p>
            <w:r/>
            <w:r>
              <w:rPr>
                <w:rFonts w:ascii="Aptos" w:hAnsi="Aptos"/>
                <w:sz w:val="15"/>
              </w:rPr>
              <w:t>SRC-006</w:t>
            </w:r>
          </w:p>
        </w:tc>
        <w:tc>
          <w:tcPr>
            <w:tcW w:type="dxa" w:w="7597"/>
            <w:tcMar>
              <w:top w:w="60" w:type="dxa"/>
              <w:start w:w="60" w:type="dxa"/>
              <w:bottom w:w="60" w:type="dxa"/>
              <w:end w:w="60" w:type="dxa"/>
            </w:tcMar>
            <w:vAlign w:val="top"/>
          </w:tcPr>
          <w:p>
            <w:r/>
            <w:r>
              <w:rPr>
                <w:rFonts w:ascii="Aptos" w:hAnsi="Aptos"/>
                <w:sz w:val="15"/>
              </w:rPr>
              <w:t>Famille de feuille déterminée</w:t>
            </w:r>
          </w:p>
        </w:tc>
      </w:tr>
      <w:tr>
        <w:tc>
          <w:tcPr>
            <w:tcW w:type="dxa" w:w="1701"/>
            <w:tcMar>
              <w:top w:w="60" w:type="dxa"/>
              <w:start w:w="60" w:type="dxa"/>
              <w:bottom w:w="60" w:type="dxa"/>
              <w:end w:w="60" w:type="dxa"/>
            </w:tcMar>
            <w:vAlign w:val="top"/>
          </w:tcPr>
          <w:p>
            <w:r/>
            <w:r>
              <w:rPr>
                <w:rFonts w:ascii="Aptos" w:hAnsi="Aptos"/>
                <w:sz w:val="15"/>
              </w:rPr>
              <w:t>SRC-007</w:t>
            </w:r>
          </w:p>
        </w:tc>
        <w:tc>
          <w:tcPr>
            <w:tcW w:type="dxa" w:w="7597"/>
            <w:tcMar>
              <w:top w:w="60" w:type="dxa"/>
              <w:start w:w="60" w:type="dxa"/>
              <w:bottom w:w="60" w:type="dxa"/>
              <w:end w:w="60" w:type="dxa"/>
            </w:tcMar>
            <w:vAlign w:val="top"/>
          </w:tcPr>
          <w:p>
            <w:r/>
            <w:r>
              <w:rPr>
                <w:rFonts w:ascii="Aptos" w:hAnsi="Aptos"/>
                <w:sz w:val="15"/>
              </w:rPr>
              <w:t>Dates internes détectées</w:t>
            </w:r>
          </w:p>
        </w:tc>
      </w:tr>
      <w:tr>
        <w:tc>
          <w:tcPr>
            <w:tcW w:type="dxa" w:w="1701"/>
            <w:tcMar>
              <w:top w:w="60" w:type="dxa"/>
              <w:start w:w="60" w:type="dxa"/>
              <w:bottom w:w="60" w:type="dxa"/>
              <w:end w:w="60" w:type="dxa"/>
            </w:tcMar>
            <w:vAlign w:val="top"/>
          </w:tcPr>
          <w:p>
            <w:r/>
            <w:r>
              <w:rPr>
                <w:rFonts w:ascii="Aptos" w:hAnsi="Aptos"/>
                <w:sz w:val="15"/>
              </w:rPr>
              <w:t>SRC-008</w:t>
            </w:r>
          </w:p>
        </w:tc>
        <w:tc>
          <w:tcPr>
            <w:tcW w:type="dxa" w:w="7597"/>
            <w:tcMar>
              <w:top w:w="60" w:type="dxa"/>
              <w:start w:w="60" w:type="dxa"/>
              <w:bottom w:w="60" w:type="dxa"/>
              <w:end w:w="60" w:type="dxa"/>
            </w:tcMar>
            <w:vAlign w:val="top"/>
          </w:tcPr>
          <w:p>
            <w:r/>
            <w:r>
              <w:rPr>
                <w:rFonts w:ascii="Aptos" w:hAnsi="Aptos"/>
                <w:sz w:val="15"/>
              </w:rPr>
              <w:t>Cellules fusionnées cartographiées</w:t>
            </w:r>
          </w:p>
        </w:tc>
      </w:tr>
      <w:tr>
        <w:tc>
          <w:tcPr>
            <w:tcW w:type="dxa" w:w="1701"/>
            <w:tcMar>
              <w:top w:w="60" w:type="dxa"/>
              <w:start w:w="60" w:type="dxa"/>
              <w:bottom w:w="60" w:type="dxa"/>
              <w:end w:w="60" w:type="dxa"/>
            </w:tcMar>
            <w:vAlign w:val="top"/>
          </w:tcPr>
          <w:p>
            <w:r/>
            <w:r>
              <w:rPr>
                <w:rFonts w:ascii="Aptos" w:hAnsi="Aptos"/>
                <w:sz w:val="15"/>
              </w:rPr>
              <w:t>SRC-009</w:t>
            </w:r>
          </w:p>
        </w:tc>
        <w:tc>
          <w:tcPr>
            <w:tcW w:type="dxa" w:w="7597"/>
            <w:tcMar>
              <w:top w:w="60" w:type="dxa"/>
              <w:start w:w="60" w:type="dxa"/>
              <w:bottom w:w="60" w:type="dxa"/>
              <w:end w:w="60" w:type="dxa"/>
            </w:tcMar>
            <w:vAlign w:val="top"/>
          </w:tcPr>
          <w:p>
            <w:r/>
            <w:r>
              <w:rPr>
                <w:rFonts w:ascii="Aptos" w:hAnsi="Aptos"/>
                <w:sz w:val="15"/>
              </w:rPr>
              <w:t>Lignes catégories/totaux identifiées</w:t>
            </w:r>
          </w:p>
        </w:tc>
      </w:tr>
      <w:tr>
        <w:tc>
          <w:tcPr>
            <w:tcW w:type="dxa" w:w="1701"/>
            <w:tcMar>
              <w:top w:w="60" w:type="dxa"/>
              <w:start w:w="60" w:type="dxa"/>
              <w:bottom w:w="60" w:type="dxa"/>
              <w:end w:w="60" w:type="dxa"/>
            </w:tcMar>
            <w:vAlign w:val="top"/>
          </w:tcPr>
          <w:p>
            <w:r/>
            <w:r>
              <w:rPr>
                <w:rFonts w:ascii="Aptos" w:hAnsi="Aptos"/>
                <w:sz w:val="15"/>
              </w:rPr>
              <w:t>SRC-010</w:t>
            </w:r>
          </w:p>
        </w:tc>
        <w:tc>
          <w:tcPr>
            <w:tcW w:type="dxa" w:w="7597"/>
            <w:tcMar>
              <w:top w:w="60" w:type="dxa"/>
              <w:start w:w="60" w:type="dxa"/>
              <w:bottom w:w="60" w:type="dxa"/>
              <w:end w:w="60" w:type="dxa"/>
            </w:tcMar>
            <w:vAlign w:val="top"/>
          </w:tcPr>
          <w:p>
            <w:r/>
            <w:r>
              <w:rPr>
                <w:rFonts w:ascii="Aptos" w:hAnsi="Aptos"/>
                <w:sz w:val="15"/>
              </w:rPr>
              <w:t>Formules et valeurs cachées conservées</w:t>
            </w:r>
          </w:p>
        </w:tc>
      </w:tr>
    </w:tbl>
    <w:p>
      <w:pPr>
        <w:widowControl/>
        <w:spacing w:after="0"/>
      </w:pPr>
    </w:p>
    <w:p>
      <w:pPr>
        <w:pStyle w:val="Heading2"/>
        <w:widowControl/>
      </w:pPr>
      <w:r>
        <w:t>13.1 Contrôles d’observation</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1701"/>
            <w:shd w:fill="D9EAF2"/>
            <w:tcMar>
              <w:top w:w="70" w:type="dxa"/>
              <w:start w:w="70" w:type="dxa"/>
              <w:bottom w:w="70" w:type="dxa"/>
              <w:end w:w="70" w:type="dxa"/>
            </w:tcMar>
            <w:vAlign w:val="center"/>
          </w:tcPr>
          <w:p>
            <w:r/>
            <w:r>
              <w:rPr>
                <w:rFonts w:ascii="Aptos" w:hAnsi="Aptos"/>
                <w:b/>
                <w:color w:val="123E5E"/>
                <w:sz w:val="15"/>
              </w:rPr>
              <w:t>Code</w:t>
            </w:r>
          </w:p>
        </w:tc>
        <w:tc>
          <w:tcPr>
            <w:tcW w:type="dxa" w:w="7597"/>
            <w:shd w:fill="D9EAF2"/>
            <w:tcMar>
              <w:top w:w="70" w:type="dxa"/>
              <w:start w:w="70" w:type="dxa"/>
              <w:bottom w:w="70" w:type="dxa"/>
              <w:end w:w="70" w:type="dxa"/>
            </w:tcMar>
            <w:vAlign w:val="center"/>
          </w:tcPr>
          <w:p>
            <w:r/>
            <w:r>
              <w:rPr>
                <w:rFonts w:ascii="Aptos" w:hAnsi="Aptos"/>
                <w:b/>
                <w:color w:val="123E5E"/>
                <w:sz w:val="15"/>
              </w:rPr>
              <w:t>Contrôle</w:t>
            </w:r>
          </w:p>
        </w:tc>
      </w:tr>
      <w:tr>
        <w:tc>
          <w:tcPr>
            <w:tcW w:type="dxa" w:w="1701"/>
            <w:tcMar>
              <w:top w:w="60" w:type="dxa"/>
              <w:start w:w="60" w:type="dxa"/>
              <w:bottom w:w="60" w:type="dxa"/>
              <w:end w:w="60" w:type="dxa"/>
            </w:tcMar>
            <w:vAlign w:val="top"/>
          </w:tcPr>
          <w:p>
            <w:r/>
            <w:r>
              <w:rPr>
                <w:rFonts w:ascii="Aptos" w:hAnsi="Aptos"/>
                <w:sz w:val="15"/>
              </w:rPr>
              <w:t>OBS-001</w:t>
            </w:r>
          </w:p>
        </w:tc>
        <w:tc>
          <w:tcPr>
            <w:tcW w:type="dxa" w:w="7597"/>
            <w:tcMar>
              <w:top w:w="60" w:type="dxa"/>
              <w:start w:w="60" w:type="dxa"/>
              <w:bottom w:w="60" w:type="dxa"/>
              <w:end w:w="60" w:type="dxa"/>
            </w:tcMar>
            <w:vAlign w:val="top"/>
          </w:tcPr>
          <w:p>
            <w:r/>
            <w:r>
              <w:rPr>
                <w:rFonts w:ascii="Aptos" w:hAnsi="Aptos"/>
                <w:sz w:val="15"/>
              </w:rPr>
              <w:t>Date de valeur non future par rapport à la logique du document, sauf anomalie signalée.</w:t>
            </w:r>
          </w:p>
        </w:tc>
      </w:tr>
      <w:tr>
        <w:tc>
          <w:tcPr>
            <w:tcW w:type="dxa" w:w="1701"/>
            <w:tcMar>
              <w:top w:w="60" w:type="dxa"/>
              <w:start w:w="60" w:type="dxa"/>
              <w:bottom w:w="60" w:type="dxa"/>
              <w:end w:w="60" w:type="dxa"/>
            </w:tcMar>
            <w:vAlign w:val="top"/>
          </w:tcPr>
          <w:p>
            <w:r/>
            <w:r>
              <w:rPr>
                <w:rFonts w:ascii="Aptos" w:hAnsi="Aptos"/>
                <w:sz w:val="15"/>
              </w:rPr>
              <w:t>OBS-002</w:t>
            </w:r>
          </w:p>
        </w:tc>
        <w:tc>
          <w:tcPr>
            <w:tcW w:type="dxa" w:w="7597"/>
            <w:tcMar>
              <w:top w:w="60" w:type="dxa"/>
              <w:start w:w="60" w:type="dxa"/>
              <w:bottom w:w="60" w:type="dxa"/>
              <w:end w:w="60" w:type="dxa"/>
            </w:tcMar>
            <w:vAlign w:val="top"/>
          </w:tcPr>
          <w:p>
            <w:r/>
            <w:r>
              <w:rPr>
                <w:rFonts w:ascii="Aptos" w:hAnsi="Aptos"/>
                <w:sz w:val="15"/>
              </w:rPr>
              <w:t>Measure type explicite ou règle documentée.</w:t>
            </w:r>
          </w:p>
        </w:tc>
      </w:tr>
      <w:tr>
        <w:tc>
          <w:tcPr>
            <w:tcW w:type="dxa" w:w="1701"/>
            <w:tcMar>
              <w:top w:w="60" w:type="dxa"/>
              <w:start w:w="60" w:type="dxa"/>
              <w:bottom w:w="60" w:type="dxa"/>
              <w:end w:w="60" w:type="dxa"/>
            </w:tcMar>
            <w:vAlign w:val="top"/>
          </w:tcPr>
          <w:p>
            <w:r/>
            <w:r>
              <w:rPr>
                <w:rFonts w:ascii="Aptos" w:hAnsi="Aptos"/>
                <w:sz w:val="15"/>
              </w:rPr>
              <w:t>OBS-003</w:t>
            </w:r>
          </w:p>
        </w:tc>
        <w:tc>
          <w:tcPr>
            <w:tcW w:type="dxa" w:w="7597"/>
            <w:tcMar>
              <w:top w:w="60" w:type="dxa"/>
              <w:start w:w="60" w:type="dxa"/>
              <w:bottom w:w="60" w:type="dxa"/>
              <w:end w:w="60" w:type="dxa"/>
            </w:tcMar>
            <w:vAlign w:val="top"/>
          </w:tcPr>
          <w:p>
            <w:r/>
            <w:r>
              <w:rPr>
                <w:rFonts w:ascii="Aptos" w:hAnsi="Aptos"/>
                <w:sz w:val="15"/>
              </w:rPr>
              <w:t>Devise attachée à la mesure.</w:t>
            </w:r>
          </w:p>
        </w:tc>
      </w:tr>
      <w:tr>
        <w:tc>
          <w:tcPr>
            <w:tcW w:type="dxa" w:w="1701"/>
            <w:tcMar>
              <w:top w:w="60" w:type="dxa"/>
              <w:start w:w="60" w:type="dxa"/>
              <w:bottom w:w="60" w:type="dxa"/>
              <w:end w:w="60" w:type="dxa"/>
            </w:tcMar>
            <w:vAlign w:val="top"/>
          </w:tcPr>
          <w:p>
            <w:r/>
            <w:r>
              <w:rPr>
                <w:rFonts w:ascii="Aptos" w:hAnsi="Aptos"/>
                <w:sz w:val="15"/>
              </w:rPr>
              <w:t>OBS-004</w:t>
            </w:r>
          </w:p>
        </w:tc>
        <w:tc>
          <w:tcPr>
            <w:tcW w:type="dxa" w:w="7597"/>
            <w:tcMar>
              <w:top w:w="60" w:type="dxa"/>
              <w:start w:w="60" w:type="dxa"/>
              <w:bottom w:w="60" w:type="dxa"/>
              <w:end w:w="60" w:type="dxa"/>
            </w:tcMar>
            <w:vAlign w:val="top"/>
          </w:tcPr>
          <w:p>
            <w:r/>
            <w:r>
              <w:rPr>
                <w:rFonts w:ascii="Aptos" w:hAnsi="Aptos"/>
                <w:sz w:val="15"/>
              </w:rPr>
              <w:t>Raw value et parsed value conservés.</w:t>
            </w:r>
          </w:p>
        </w:tc>
      </w:tr>
      <w:tr>
        <w:tc>
          <w:tcPr>
            <w:tcW w:type="dxa" w:w="1701"/>
            <w:tcMar>
              <w:top w:w="60" w:type="dxa"/>
              <w:start w:w="60" w:type="dxa"/>
              <w:bottom w:w="60" w:type="dxa"/>
              <w:end w:w="60" w:type="dxa"/>
            </w:tcMar>
            <w:vAlign w:val="top"/>
          </w:tcPr>
          <w:p>
            <w:r/>
            <w:r>
              <w:rPr>
                <w:rFonts w:ascii="Aptos" w:hAnsi="Aptos"/>
                <w:sz w:val="15"/>
              </w:rPr>
              <w:t>OBS-005</w:t>
            </w:r>
          </w:p>
        </w:tc>
        <w:tc>
          <w:tcPr>
            <w:tcW w:type="dxa" w:w="7597"/>
            <w:tcMar>
              <w:top w:w="60" w:type="dxa"/>
              <w:start w:w="60" w:type="dxa"/>
              <w:bottom w:w="60" w:type="dxa"/>
              <w:end w:w="60" w:type="dxa"/>
            </w:tcMar>
            <w:vAlign w:val="top"/>
          </w:tcPr>
          <w:p>
            <w:r/>
            <w:r>
              <w:rPr>
                <w:rFonts w:ascii="Aptos" w:hAnsi="Aptos"/>
                <w:sz w:val="15"/>
              </w:rPr>
              <w:t>Net assets non utilisé comme Unit Price.</w:t>
            </w:r>
          </w:p>
        </w:tc>
      </w:tr>
      <w:tr>
        <w:tc>
          <w:tcPr>
            <w:tcW w:type="dxa" w:w="1701"/>
            <w:tcMar>
              <w:top w:w="60" w:type="dxa"/>
              <w:start w:w="60" w:type="dxa"/>
              <w:bottom w:w="60" w:type="dxa"/>
              <w:end w:w="60" w:type="dxa"/>
            </w:tcMar>
            <w:vAlign w:val="top"/>
          </w:tcPr>
          <w:p>
            <w:r/>
            <w:r>
              <w:rPr>
                <w:rFonts w:ascii="Aptos" w:hAnsi="Aptos"/>
                <w:sz w:val="15"/>
              </w:rPr>
              <w:t>OBS-006</w:t>
            </w:r>
          </w:p>
        </w:tc>
        <w:tc>
          <w:tcPr>
            <w:tcW w:type="dxa" w:w="7597"/>
            <w:tcMar>
              <w:top w:w="60" w:type="dxa"/>
              <w:start w:w="60" w:type="dxa"/>
              <w:bottom w:w="60" w:type="dxa"/>
              <w:end w:w="60" w:type="dxa"/>
            </w:tcMar>
            <w:vAlign w:val="top"/>
          </w:tcPr>
          <w:p>
            <w:r/>
            <w:r>
              <w:rPr>
                <w:rFonts w:ascii="Aptos" w:hAnsi="Aptos"/>
                <w:sz w:val="15"/>
              </w:rPr>
              <w:t>Bid et Offer non écrasés.</w:t>
            </w:r>
          </w:p>
        </w:tc>
      </w:tr>
      <w:tr>
        <w:tc>
          <w:tcPr>
            <w:tcW w:type="dxa" w:w="1701"/>
            <w:tcMar>
              <w:top w:w="60" w:type="dxa"/>
              <w:start w:w="60" w:type="dxa"/>
              <w:bottom w:w="60" w:type="dxa"/>
              <w:end w:w="60" w:type="dxa"/>
            </w:tcMar>
            <w:vAlign w:val="top"/>
          </w:tcPr>
          <w:p>
            <w:r/>
            <w:r>
              <w:rPr>
                <w:rFonts w:ascii="Aptos" w:hAnsi="Aptos"/>
                <w:sz w:val="15"/>
              </w:rPr>
              <w:t>OBS-007</w:t>
            </w:r>
          </w:p>
        </w:tc>
        <w:tc>
          <w:tcPr>
            <w:tcW w:type="dxa" w:w="7597"/>
            <w:tcMar>
              <w:top w:w="60" w:type="dxa"/>
              <w:start w:w="60" w:type="dxa"/>
              <w:bottom w:w="60" w:type="dxa"/>
              <w:end w:w="60" w:type="dxa"/>
            </w:tcMar>
            <w:vAlign w:val="top"/>
          </w:tcPr>
          <w:p>
            <w:r/>
            <w:r>
              <w:rPr>
                <w:rFonts w:ascii="Aptos" w:hAnsi="Aptos"/>
                <w:sz w:val="15"/>
              </w:rPr>
              <w:t>Zéro source distingué du manque.</w:t>
            </w:r>
          </w:p>
        </w:tc>
      </w:tr>
      <w:tr>
        <w:tc>
          <w:tcPr>
            <w:tcW w:type="dxa" w:w="1701"/>
            <w:tcMar>
              <w:top w:w="60" w:type="dxa"/>
              <w:start w:w="60" w:type="dxa"/>
              <w:bottom w:w="60" w:type="dxa"/>
              <w:end w:w="60" w:type="dxa"/>
            </w:tcMar>
            <w:vAlign w:val="top"/>
          </w:tcPr>
          <w:p>
            <w:r/>
            <w:r>
              <w:rPr>
                <w:rFonts w:ascii="Aptos" w:hAnsi="Aptos"/>
                <w:sz w:val="15"/>
              </w:rPr>
              <w:t>OBS-008</w:t>
            </w:r>
          </w:p>
        </w:tc>
        <w:tc>
          <w:tcPr>
            <w:tcW w:type="dxa" w:w="7597"/>
            <w:tcMar>
              <w:top w:w="60" w:type="dxa"/>
              <w:start w:w="60" w:type="dxa"/>
              <w:bottom w:w="60" w:type="dxa"/>
              <w:end w:w="60" w:type="dxa"/>
            </w:tcMar>
            <w:vAlign w:val="top"/>
          </w:tcPr>
          <w:p>
            <w:r/>
            <w:r>
              <w:rPr>
                <w:rFonts w:ascii="Aptos" w:hAnsi="Aptos"/>
                <w:sz w:val="15"/>
              </w:rPr>
              <w:t>Aucune catégorie ou total traité comme fonds.</w:t>
            </w:r>
          </w:p>
        </w:tc>
      </w:tr>
      <w:tr>
        <w:tc>
          <w:tcPr>
            <w:tcW w:type="dxa" w:w="1701"/>
            <w:tcMar>
              <w:top w:w="60" w:type="dxa"/>
              <w:start w:w="60" w:type="dxa"/>
              <w:bottom w:w="60" w:type="dxa"/>
              <w:end w:w="60" w:type="dxa"/>
            </w:tcMar>
            <w:vAlign w:val="top"/>
          </w:tcPr>
          <w:p>
            <w:r/>
            <w:r>
              <w:rPr>
                <w:rFonts w:ascii="Aptos" w:hAnsi="Aptos"/>
                <w:sz w:val="15"/>
              </w:rPr>
              <w:t>OBS-009</w:t>
            </w:r>
          </w:p>
        </w:tc>
        <w:tc>
          <w:tcPr>
            <w:tcW w:type="dxa" w:w="7597"/>
            <w:tcMar>
              <w:top w:w="60" w:type="dxa"/>
              <w:start w:w="60" w:type="dxa"/>
              <w:bottom w:w="60" w:type="dxa"/>
              <w:end w:w="60" w:type="dxa"/>
            </w:tcMar>
            <w:vAlign w:val="top"/>
          </w:tcPr>
          <w:p>
            <w:r/>
            <w:r>
              <w:rPr>
                <w:rFonts w:ascii="Aptos" w:hAnsi="Aptos"/>
                <w:sz w:val="15"/>
              </w:rPr>
              <w:t>Coordonnée cellule présente.</w:t>
            </w:r>
          </w:p>
        </w:tc>
      </w:tr>
      <w:tr>
        <w:tc>
          <w:tcPr>
            <w:tcW w:type="dxa" w:w="1701"/>
            <w:tcMar>
              <w:top w:w="60" w:type="dxa"/>
              <w:start w:w="60" w:type="dxa"/>
              <w:bottom w:w="60" w:type="dxa"/>
              <w:end w:w="60" w:type="dxa"/>
            </w:tcMar>
            <w:vAlign w:val="top"/>
          </w:tcPr>
          <w:p>
            <w:r/>
            <w:r>
              <w:rPr>
                <w:rFonts w:ascii="Aptos" w:hAnsi="Aptos"/>
                <w:sz w:val="15"/>
              </w:rPr>
              <w:t>OBS-010</w:t>
            </w:r>
          </w:p>
        </w:tc>
        <w:tc>
          <w:tcPr>
            <w:tcW w:type="dxa" w:w="7597"/>
            <w:tcMar>
              <w:top w:w="60" w:type="dxa"/>
              <w:start w:w="60" w:type="dxa"/>
              <w:bottom w:w="60" w:type="dxa"/>
              <w:end w:w="60" w:type="dxa"/>
            </w:tcMar>
            <w:vAlign w:val="top"/>
          </w:tcPr>
          <w:p>
            <w:r/>
            <w:r>
              <w:rPr>
                <w:rFonts w:ascii="Aptos" w:hAnsi="Aptos"/>
                <w:sz w:val="15"/>
              </w:rPr>
              <w:t>Conflit détecté pour doublon divergent.</w:t>
            </w:r>
          </w:p>
        </w:tc>
      </w:tr>
      <w:tr>
        <w:tc>
          <w:tcPr>
            <w:tcW w:type="dxa" w:w="1701"/>
            <w:tcMar>
              <w:top w:w="60" w:type="dxa"/>
              <w:start w:w="60" w:type="dxa"/>
              <w:bottom w:w="60" w:type="dxa"/>
              <w:end w:w="60" w:type="dxa"/>
            </w:tcMar>
            <w:vAlign w:val="top"/>
          </w:tcPr>
          <w:p>
            <w:r/>
            <w:r>
              <w:rPr>
                <w:rFonts w:ascii="Aptos" w:hAnsi="Aptos"/>
                <w:sz w:val="15"/>
              </w:rPr>
              <w:t>OBS-011</w:t>
            </w:r>
          </w:p>
        </w:tc>
        <w:tc>
          <w:tcPr>
            <w:tcW w:type="dxa" w:w="7597"/>
            <w:tcMar>
              <w:top w:w="60" w:type="dxa"/>
              <w:start w:w="60" w:type="dxa"/>
              <w:bottom w:w="60" w:type="dxa"/>
              <w:end w:w="60" w:type="dxa"/>
            </w:tcMar>
            <w:vAlign w:val="top"/>
          </w:tcPr>
          <w:p>
            <w:r/>
            <w:r>
              <w:rPr>
                <w:rFonts w:ascii="Aptos" w:hAnsi="Aptos"/>
                <w:sz w:val="15"/>
              </w:rPr>
              <w:t>Précision numérique conservée.</w:t>
            </w:r>
          </w:p>
        </w:tc>
      </w:tr>
      <w:tr>
        <w:tc>
          <w:tcPr>
            <w:tcW w:type="dxa" w:w="1701"/>
            <w:tcMar>
              <w:top w:w="60" w:type="dxa"/>
              <w:start w:w="60" w:type="dxa"/>
              <w:bottom w:w="60" w:type="dxa"/>
              <w:end w:w="60" w:type="dxa"/>
            </w:tcMar>
            <w:vAlign w:val="top"/>
          </w:tcPr>
          <w:p>
            <w:r/>
            <w:r>
              <w:rPr>
                <w:rFonts w:ascii="Aptos" w:hAnsi="Aptos"/>
                <w:sz w:val="15"/>
              </w:rPr>
              <w:t>OBS-012</w:t>
            </w:r>
          </w:p>
        </w:tc>
        <w:tc>
          <w:tcPr>
            <w:tcW w:type="dxa" w:w="7597"/>
            <w:tcMar>
              <w:top w:w="60" w:type="dxa"/>
              <w:start w:w="60" w:type="dxa"/>
              <w:bottom w:w="60" w:type="dxa"/>
              <w:end w:w="60" w:type="dxa"/>
            </w:tcMar>
            <w:vAlign w:val="top"/>
          </w:tcPr>
          <w:p>
            <w:r/>
            <w:r>
              <w:rPr>
                <w:rFonts w:ascii="Aptos" w:hAnsi="Aptos"/>
                <w:sz w:val="15"/>
              </w:rPr>
              <w:t>Valeur extrême signalée.</w:t>
            </w:r>
          </w:p>
        </w:tc>
      </w:tr>
    </w:tbl>
    <w:p>
      <w:pPr>
        <w:widowControl/>
        <w:spacing w:after="0"/>
      </w:pPr>
    </w:p>
    <w:p>
      <w:pPr>
        <w:pStyle w:val="Heading2"/>
        <w:widowControl/>
      </w:pPr>
      <w:r>
        <w:t>13.2 Contrôles de couverture</w:t>
      </w:r>
    </w:p>
    <w:p>
      <w:pPr>
        <w:pStyle w:val="ListBullet"/>
        <w:widowControl/>
        <w:ind w:left="397" w:hanging="142"/>
      </w:pPr>
      <w:r>
        <w:rPr>
          <w:rFonts w:ascii="Aptos" w:hAnsi="Aptos"/>
          <w:sz w:val="18"/>
        </w:rPr>
        <w:t>Matrice année × date × fonds × mesure × devise.</w:t>
      </w:r>
    </w:p>
    <w:p>
      <w:pPr>
        <w:pStyle w:val="ListBullet"/>
        <w:widowControl/>
        <w:ind w:left="397" w:hanging="142"/>
      </w:pPr>
      <w:r>
        <w:rPr>
          <w:rFonts w:ascii="Aptos" w:hAnsi="Aptos"/>
          <w:sz w:val="18"/>
        </w:rPr>
        <w:t>Environ 48 à 54 dates par année complète, avec exceptions documentées.</w:t>
      </w:r>
    </w:p>
    <w:p>
      <w:pPr>
        <w:pStyle w:val="ListBullet"/>
        <w:widowControl/>
        <w:ind w:left="397" w:hanging="142"/>
      </w:pPr>
      <w:r>
        <w:rPr>
          <w:rFonts w:ascii="Aptos" w:hAnsi="Aptos"/>
          <w:sz w:val="18"/>
        </w:rPr>
        <w:t>Détection des semaines absentes, doublées ou corrigées.</w:t>
      </w:r>
    </w:p>
    <w:p>
      <w:pPr>
        <w:pStyle w:val="ListBullet"/>
        <w:widowControl/>
        <w:ind w:left="397" w:hanging="142"/>
      </w:pPr>
      <w:r>
        <w:rPr>
          <w:rFonts w:ascii="Aptos" w:hAnsi="Aptos"/>
          <w:sz w:val="18"/>
        </w:rPr>
        <w:t>Nombre de fonds par date et comparaison avec les totaux publiés.</w:t>
      </w:r>
    </w:p>
    <w:p>
      <w:pPr>
        <w:pStyle w:val="ListBullet"/>
        <w:widowControl/>
        <w:ind w:left="397" w:hanging="142"/>
      </w:pPr>
      <w:r>
        <w:rPr>
          <w:rFonts w:ascii="Aptos" w:hAnsi="Aptos"/>
          <w:sz w:val="18"/>
        </w:rPr>
        <w:t>Première et dernière date par fonds ; ruptures anormales.</w:t>
      </w:r>
    </w:p>
    <w:p>
      <w:pPr>
        <w:pStyle w:val="ListBullet"/>
        <w:widowControl/>
        <w:ind w:left="397" w:hanging="142"/>
      </w:pPr>
      <w:r>
        <w:rPr>
          <w:rFonts w:ascii="Aptos" w:hAnsi="Aptos"/>
          <w:sz w:val="18"/>
        </w:rPr>
        <w:t>Passage historique Unit Price → Bid/Offer.</w:t>
      </w:r>
    </w:p>
    <w:p>
      <w:pPr>
        <w:pStyle w:val="ListBullet"/>
        <w:widowControl/>
        <w:ind w:left="397" w:hanging="142"/>
      </w:pPr>
      <w:r>
        <w:rPr>
          <w:rFonts w:ascii="Aptos" w:hAnsi="Aptos"/>
          <w:sz w:val="18"/>
        </w:rPr>
        <w:t>Changement soudain de devise ou d’échelle.</w:t>
      </w:r>
    </w:p>
    <w:p>
      <w:pPr>
        <w:pStyle w:val="ListBullet"/>
        <w:widowControl/>
        <w:ind w:left="397" w:hanging="142"/>
      </w:pPr>
      <w:r>
        <w:rPr>
          <w:rFonts w:ascii="Aptos" w:hAnsi="Aptos"/>
          <w:sz w:val="18"/>
        </w:rPr>
        <w:t>Fonds présents dans Monthly mais absents du Weekly, et inversement.</w:t>
      </w:r>
    </w:p>
    <w:p>
      <w:pPr>
        <w:pStyle w:val="ListBullet"/>
        <w:widowControl/>
        <w:ind w:left="397" w:hanging="142"/>
      </w:pPr>
      <w:r>
        <w:rPr>
          <w:rFonts w:ascii="Aptos" w:hAnsi="Aptos"/>
          <w:sz w:val="18"/>
        </w:rPr>
        <w:t>Comparaison des actifs nets agrégés par catégorie avec les feuilles de contrôle.</w:t>
      </w:r>
    </w:p>
    <w:p>
      <w:pPr>
        <w:pStyle w:val="Heading2"/>
        <w:widowControl/>
      </w:pPr>
      <w:r>
        <w:t>13.3 Contrôles d’identité</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1701"/>
            <w:shd w:fill="D9EAF2"/>
            <w:tcMar>
              <w:top w:w="70" w:type="dxa"/>
              <w:start w:w="70" w:type="dxa"/>
              <w:bottom w:w="70" w:type="dxa"/>
              <w:end w:w="70" w:type="dxa"/>
            </w:tcMar>
            <w:vAlign w:val="center"/>
          </w:tcPr>
          <w:p>
            <w:r/>
            <w:r>
              <w:rPr>
                <w:rFonts w:ascii="Aptos" w:hAnsi="Aptos"/>
                <w:b/>
                <w:color w:val="123E5E"/>
                <w:sz w:val="15"/>
              </w:rPr>
              <w:t>Code</w:t>
            </w:r>
          </w:p>
        </w:tc>
        <w:tc>
          <w:tcPr>
            <w:tcW w:type="dxa" w:w="7597"/>
            <w:shd w:fill="D9EAF2"/>
            <w:tcMar>
              <w:top w:w="70" w:type="dxa"/>
              <w:start w:w="70" w:type="dxa"/>
              <w:bottom w:w="70" w:type="dxa"/>
              <w:end w:w="70" w:type="dxa"/>
            </w:tcMar>
            <w:vAlign w:val="center"/>
          </w:tcPr>
          <w:p>
            <w:r/>
            <w:r>
              <w:rPr>
                <w:rFonts w:ascii="Aptos" w:hAnsi="Aptos"/>
                <w:b/>
                <w:color w:val="123E5E"/>
                <w:sz w:val="15"/>
              </w:rPr>
              <w:t>Contrôle</w:t>
            </w:r>
          </w:p>
        </w:tc>
      </w:tr>
      <w:tr>
        <w:tc>
          <w:tcPr>
            <w:tcW w:type="dxa" w:w="1701"/>
            <w:tcMar>
              <w:top w:w="60" w:type="dxa"/>
              <w:start w:w="60" w:type="dxa"/>
              <w:bottom w:w="60" w:type="dxa"/>
              <w:end w:w="60" w:type="dxa"/>
            </w:tcMar>
            <w:vAlign w:val="top"/>
          </w:tcPr>
          <w:p>
            <w:r/>
            <w:r>
              <w:rPr>
                <w:rFonts w:ascii="Aptos" w:hAnsi="Aptos"/>
                <w:sz w:val="15"/>
              </w:rPr>
              <w:t>ID-001</w:t>
            </w:r>
          </w:p>
        </w:tc>
        <w:tc>
          <w:tcPr>
            <w:tcW w:type="dxa" w:w="7597"/>
            <w:tcMar>
              <w:top w:w="60" w:type="dxa"/>
              <w:start w:w="60" w:type="dxa"/>
              <w:bottom w:w="60" w:type="dxa"/>
              <w:end w:w="60" w:type="dxa"/>
            </w:tcMar>
            <w:vAlign w:val="top"/>
          </w:tcPr>
          <w:p>
            <w:r/>
            <w:r>
              <w:rPr>
                <w:rFonts w:ascii="Aptos" w:hAnsi="Aptos"/>
                <w:sz w:val="15"/>
              </w:rPr>
              <w:t>Chaque raw name lié à zéro ou un candidat canonique actif de revue.</w:t>
            </w:r>
          </w:p>
        </w:tc>
      </w:tr>
      <w:tr>
        <w:tc>
          <w:tcPr>
            <w:tcW w:type="dxa" w:w="1701"/>
            <w:tcMar>
              <w:top w:w="60" w:type="dxa"/>
              <w:start w:w="60" w:type="dxa"/>
              <w:bottom w:w="60" w:type="dxa"/>
              <w:end w:w="60" w:type="dxa"/>
            </w:tcMar>
            <w:vAlign w:val="top"/>
          </w:tcPr>
          <w:p>
            <w:r/>
            <w:r>
              <w:rPr>
                <w:rFonts w:ascii="Aptos" w:hAnsi="Aptos"/>
                <w:sz w:val="15"/>
              </w:rPr>
              <w:t>ID-002</w:t>
            </w:r>
          </w:p>
        </w:tc>
        <w:tc>
          <w:tcPr>
            <w:tcW w:type="dxa" w:w="7597"/>
            <w:tcMar>
              <w:top w:w="60" w:type="dxa"/>
              <w:start w:w="60" w:type="dxa"/>
              <w:bottom w:w="60" w:type="dxa"/>
              <w:end w:w="60" w:type="dxa"/>
            </w:tcMar>
            <w:vAlign w:val="top"/>
          </w:tcPr>
          <w:p>
            <w:r/>
            <w:r>
              <w:rPr>
                <w:rFonts w:ascii="Aptos" w:hAnsi="Aptos"/>
                <w:sz w:val="15"/>
              </w:rPr>
              <w:t>Aucune fusion sur similarité seule.</w:t>
            </w:r>
          </w:p>
        </w:tc>
      </w:tr>
      <w:tr>
        <w:tc>
          <w:tcPr>
            <w:tcW w:type="dxa" w:w="1701"/>
            <w:tcMar>
              <w:top w:w="60" w:type="dxa"/>
              <w:start w:w="60" w:type="dxa"/>
              <w:bottom w:w="60" w:type="dxa"/>
              <w:end w:w="60" w:type="dxa"/>
            </w:tcMar>
            <w:vAlign w:val="top"/>
          </w:tcPr>
          <w:p>
            <w:r/>
            <w:r>
              <w:rPr>
                <w:rFonts w:ascii="Aptos" w:hAnsi="Aptos"/>
                <w:sz w:val="15"/>
              </w:rPr>
              <w:t>ID-003</w:t>
            </w:r>
          </w:p>
        </w:tc>
        <w:tc>
          <w:tcPr>
            <w:tcW w:type="dxa" w:w="7597"/>
            <w:tcMar>
              <w:top w:w="60" w:type="dxa"/>
              <w:start w:w="60" w:type="dxa"/>
              <w:bottom w:w="60" w:type="dxa"/>
              <w:end w:w="60" w:type="dxa"/>
            </w:tcMar>
            <w:vAlign w:val="top"/>
          </w:tcPr>
          <w:p>
            <w:r/>
            <w:r>
              <w:rPr>
                <w:rFonts w:ascii="Aptos" w:hAnsi="Aptos"/>
                <w:sz w:val="15"/>
              </w:rPr>
              <w:t>Alias avec période de validité lorsque possible.</w:t>
            </w:r>
          </w:p>
        </w:tc>
      </w:tr>
      <w:tr>
        <w:tc>
          <w:tcPr>
            <w:tcW w:type="dxa" w:w="1701"/>
            <w:tcMar>
              <w:top w:w="60" w:type="dxa"/>
              <w:start w:w="60" w:type="dxa"/>
              <w:bottom w:w="60" w:type="dxa"/>
              <w:end w:w="60" w:type="dxa"/>
            </w:tcMar>
            <w:vAlign w:val="top"/>
          </w:tcPr>
          <w:p>
            <w:r/>
            <w:r>
              <w:rPr>
                <w:rFonts w:ascii="Aptos" w:hAnsi="Aptos"/>
                <w:sz w:val="15"/>
              </w:rPr>
              <w:t>ID-004</w:t>
            </w:r>
          </w:p>
        </w:tc>
        <w:tc>
          <w:tcPr>
            <w:tcW w:type="dxa" w:w="7597"/>
            <w:tcMar>
              <w:top w:w="60" w:type="dxa"/>
              <w:start w:w="60" w:type="dxa"/>
              <w:bottom w:w="60" w:type="dxa"/>
              <w:end w:w="60" w:type="dxa"/>
            </w:tcMar>
            <w:vAlign w:val="top"/>
          </w:tcPr>
          <w:p>
            <w:r/>
            <w:r>
              <w:rPr>
                <w:rFonts w:ascii="Aptos" w:hAnsi="Aptos"/>
                <w:sz w:val="15"/>
              </w:rPr>
              <w:t>Gestionnaire historisé.</w:t>
            </w:r>
          </w:p>
        </w:tc>
      </w:tr>
      <w:tr>
        <w:tc>
          <w:tcPr>
            <w:tcW w:type="dxa" w:w="1701"/>
            <w:tcMar>
              <w:top w:w="60" w:type="dxa"/>
              <w:start w:w="60" w:type="dxa"/>
              <w:bottom w:w="60" w:type="dxa"/>
              <w:end w:w="60" w:type="dxa"/>
            </w:tcMar>
            <w:vAlign w:val="top"/>
          </w:tcPr>
          <w:p>
            <w:r/>
            <w:r>
              <w:rPr>
                <w:rFonts w:ascii="Aptos" w:hAnsi="Aptos"/>
                <w:sz w:val="15"/>
              </w:rPr>
              <w:t>ID-005</w:t>
            </w:r>
          </w:p>
        </w:tc>
        <w:tc>
          <w:tcPr>
            <w:tcW w:type="dxa" w:w="7597"/>
            <w:tcMar>
              <w:top w:w="60" w:type="dxa"/>
              <w:start w:w="60" w:type="dxa"/>
              <w:bottom w:w="60" w:type="dxa"/>
              <w:end w:w="60" w:type="dxa"/>
            </w:tcMar>
            <w:vAlign w:val="top"/>
          </w:tcPr>
          <w:p>
            <w:r/>
            <w:r>
              <w:rPr>
                <w:rFonts w:ascii="Aptos" w:hAnsi="Aptos"/>
                <w:sz w:val="15"/>
              </w:rPr>
              <w:t>Classes non confondues avec fonds.</w:t>
            </w:r>
          </w:p>
        </w:tc>
      </w:tr>
      <w:tr>
        <w:tc>
          <w:tcPr>
            <w:tcW w:type="dxa" w:w="1701"/>
            <w:tcMar>
              <w:top w:w="60" w:type="dxa"/>
              <w:start w:w="60" w:type="dxa"/>
              <w:bottom w:w="60" w:type="dxa"/>
              <w:end w:w="60" w:type="dxa"/>
            </w:tcMar>
            <w:vAlign w:val="top"/>
          </w:tcPr>
          <w:p>
            <w:r/>
            <w:r>
              <w:rPr>
                <w:rFonts w:ascii="Aptos" w:hAnsi="Aptos"/>
                <w:sz w:val="15"/>
              </w:rPr>
              <w:t>ID-006</w:t>
            </w:r>
          </w:p>
        </w:tc>
        <w:tc>
          <w:tcPr>
            <w:tcW w:type="dxa" w:w="7597"/>
            <w:tcMar>
              <w:top w:w="60" w:type="dxa"/>
              <w:start w:w="60" w:type="dxa"/>
              <w:bottom w:w="60" w:type="dxa"/>
              <w:end w:w="60" w:type="dxa"/>
            </w:tcMar>
            <w:vAlign w:val="top"/>
          </w:tcPr>
          <w:p>
            <w:r/>
            <w:r>
              <w:rPr>
                <w:rFonts w:ascii="Aptos" w:hAnsi="Aptos"/>
                <w:sz w:val="15"/>
              </w:rPr>
              <w:t>Faux noms numériques ou totaux exclus.</w:t>
            </w:r>
          </w:p>
        </w:tc>
      </w:tr>
      <w:tr>
        <w:tc>
          <w:tcPr>
            <w:tcW w:type="dxa" w:w="1701"/>
            <w:tcMar>
              <w:top w:w="60" w:type="dxa"/>
              <w:start w:w="60" w:type="dxa"/>
              <w:bottom w:w="60" w:type="dxa"/>
              <w:end w:w="60" w:type="dxa"/>
            </w:tcMar>
            <w:vAlign w:val="top"/>
          </w:tcPr>
          <w:p>
            <w:r/>
            <w:r>
              <w:rPr>
                <w:rFonts w:ascii="Aptos" w:hAnsi="Aptos"/>
                <w:sz w:val="15"/>
              </w:rPr>
              <w:t>ID-007</w:t>
            </w:r>
          </w:p>
        </w:tc>
        <w:tc>
          <w:tcPr>
            <w:tcW w:type="dxa" w:w="7597"/>
            <w:tcMar>
              <w:top w:w="60" w:type="dxa"/>
              <w:start w:w="60" w:type="dxa"/>
              <w:bottom w:w="60" w:type="dxa"/>
              <w:end w:w="60" w:type="dxa"/>
            </w:tcMar>
            <w:vAlign w:val="top"/>
          </w:tcPr>
          <w:p>
            <w:r/>
            <w:r>
              <w:rPr>
                <w:rFonts w:ascii="Aptos" w:hAnsi="Aptos"/>
                <w:sz w:val="15"/>
              </w:rPr>
              <w:t>Événement justificatif pour rupture d’identité.</w:t>
            </w:r>
          </w:p>
        </w:tc>
      </w:tr>
      <w:tr>
        <w:tc>
          <w:tcPr>
            <w:tcW w:type="dxa" w:w="1701"/>
            <w:tcMar>
              <w:top w:w="60" w:type="dxa"/>
              <w:start w:w="60" w:type="dxa"/>
              <w:bottom w:w="60" w:type="dxa"/>
              <w:end w:w="60" w:type="dxa"/>
            </w:tcMar>
            <w:vAlign w:val="top"/>
          </w:tcPr>
          <w:p>
            <w:r/>
            <w:r>
              <w:rPr>
                <w:rFonts w:ascii="Aptos" w:hAnsi="Aptos"/>
                <w:sz w:val="15"/>
              </w:rPr>
              <w:t>ID-008</w:t>
            </w:r>
          </w:p>
        </w:tc>
        <w:tc>
          <w:tcPr>
            <w:tcW w:type="dxa" w:w="7597"/>
            <w:tcMar>
              <w:top w:w="60" w:type="dxa"/>
              <w:start w:w="60" w:type="dxa"/>
              <w:bottom w:w="60" w:type="dxa"/>
              <w:end w:w="60" w:type="dxa"/>
            </w:tcMar>
            <w:vAlign w:val="top"/>
          </w:tcPr>
          <w:p>
            <w:r/>
            <w:r>
              <w:rPr>
                <w:rFonts w:ascii="Aptos" w:hAnsi="Aptos"/>
                <w:sz w:val="15"/>
              </w:rPr>
              <w:t>Conflits d’entité conservés.</w:t>
            </w:r>
          </w:p>
        </w:tc>
      </w:tr>
    </w:tbl>
    <w:p>
      <w:pPr>
        <w:widowControl/>
        <w:spacing w:after="0"/>
      </w:pPr>
    </w:p>
    <w:p>
      <w:pPr>
        <w:pStyle w:val="Heading2"/>
        <w:widowControl/>
      </w:pPr>
      <w:r>
        <w:t>13.4 Tests de non-régression du parseur</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3628"/>
            <w:shd w:fill="D9EAF2"/>
            <w:tcMar>
              <w:top w:w="70" w:type="dxa"/>
              <w:start w:w="70" w:type="dxa"/>
              <w:bottom w:w="70" w:type="dxa"/>
              <w:end w:w="70" w:type="dxa"/>
            </w:tcMar>
            <w:vAlign w:val="center"/>
          </w:tcPr>
          <w:p>
            <w:r/>
            <w:r>
              <w:rPr>
                <w:rFonts w:ascii="Aptos" w:hAnsi="Aptos"/>
                <w:b/>
                <w:color w:val="123E5E"/>
                <w:sz w:val="15"/>
              </w:rPr>
              <w:t>Test</w:t>
            </w:r>
          </w:p>
        </w:tc>
        <w:tc>
          <w:tcPr>
            <w:tcW w:type="dxa" w:w="5669"/>
            <w:shd w:fill="D9EAF2"/>
            <w:tcMar>
              <w:top w:w="70" w:type="dxa"/>
              <w:start w:w="70" w:type="dxa"/>
              <w:bottom w:w="70" w:type="dxa"/>
              <w:end w:w="70" w:type="dxa"/>
            </w:tcMar>
            <w:vAlign w:val="center"/>
          </w:tcPr>
          <w:p>
            <w:r/>
            <w:r>
              <w:rPr>
                <w:rFonts w:ascii="Aptos" w:hAnsi="Aptos"/>
                <w:b/>
                <w:color w:val="123E5E"/>
                <w:sz w:val="15"/>
              </w:rPr>
              <w:t>Résultat attendu</w:t>
            </w:r>
          </w:p>
        </w:tc>
      </w:tr>
      <w:tr>
        <w:tc>
          <w:tcPr>
            <w:tcW w:type="dxa" w:w="3628"/>
            <w:tcMar>
              <w:top w:w="60" w:type="dxa"/>
              <w:start w:w="60" w:type="dxa"/>
              <w:bottom w:w="60" w:type="dxa"/>
              <w:end w:w="60" w:type="dxa"/>
            </w:tcMar>
            <w:vAlign w:val="top"/>
          </w:tcPr>
          <w:p>
            <w:r/>
            <w:r>
              <w:rPr>
                <w:rFonts w:ascii="Aptos" w:hAnsi="Aptos"/>
                <w:sz w:val="15"/>
              </w:rPr>
              <w:t>Ancien Sheet1 une date</w:t>
            </w:r>
          </w:p>
        </w:tc>
        <w:tc>
          <w:tcPr>
            <w:tcW w:type="dxa" w:w="5669"/>
            <w:tcMar>
              <w:top w:w="60" w:type="dxa"/>
              <w:start w:w="60" w:type="dxa"/>
              <w:bottom w:w="60" w:type="dxa"/>
              <w:end w:w="60" w:type="dxa"/>
            </w:tcMar>
            <w:vAlign w:val="top"/>
          </w:tcPr>
          <w:p>
            <w:r/>
            <w:r>
              <w:rPr>
                <w:rFonts w:ascii="Aptos" w:hAnsi="Aptos"/>
                <w:sz w:val="15"/>
              </w:rPr>
              <w:t>Extraction correcte NAV + Unit Price.</w:t>
            </w:r>
          </w:p>
        </w:tc>
      </w:tr>
      <w:tr>
        <w:tc>
          <w:tcPr>
            <w:tcW w:type="dxa" w:w="3628"/>
            <w:tcMar>
              <w:top w:w="60" w:type="dxa"/>
              <w:start w:w="60" w:type="dxa"/>
              <w:bottom w:w="60" w:type="dxa"/>
              <w:end w:w="60" w:type="dxa"/>
            </w:tcMar>
            <w:vAlign w:val="top"/>
          </w:tcPr>
          <w:p>
            <w:r/>
            <w:r>
              <w:rPr>
                <w:rFonts w:ascii="Aptos" w:hAnsi="Aptos"/>
                <w:sz w:val="15"/>
              </w:rPr>
              <w:t>Sheet1 deux dates</w:t>
            </w:r>
          </w:p>
        </w:tc>
        <w:tc>
          <w:tcPr>
            <w:tcW w:type="dxa" w:w="5669"/>
            <w:tcMar>
              <w:top w:w="60" w:type="dxa"/>
              <w:start w:w="60" w:type="dxa"/>
              <w:bottom w:w="60" w:type="dxa"/>
              <w:end w:w="60" w:type="dxa"/>
            </w:tcMar>
            <w:vAlign w:val="top"/>
          </w:tcPr>
          <w:p>
            <w:r/>
            <w:r>
              <w:rPr>
                <w:rFonts w:ascii="Aptos" w:hAnsi="Aptos"/>
                <w:sz w:val="15"/>
              </w:rPr>
              <w:t>Affectation gauche/droite correcte.</w:t>
            </w:r>
          </w:p>
        </w:tc>
      </w:tr>
      <w:tr>
        <w:tc>
          <w:tcPr>
            <w:tcW w:type="dxa" w:w="3628"/>
            <w:tcMar>
              <w:top w:w="60" w:type="dxa"/>
              <w:start w:w="60" w:type="dxa"/>
              <w:bottom w:w="60" w:type="dxa"/>
              <w:end w:w="60" w:type="dxa"/>
            </w:tcMar>
            <w:vAlign w:val="top"/>
          </w:tcPr>
          <w:p>
            <w:r/>
            <w:r>
              <w:rPr>
                <w:rFonts w:ascii="Aptos" w:hAnsi="Aptos"/>
                <w:sz w:val="15"/>
              </w:rPr>
              <w:t>Data horizontal</w:t>
            </w:r>
          </w:p>
        </w:tc>
        <w:tc>
          <w:tcPr>
            <w:tcW w:type="dxa" w:w="5669"/>
            <w:tcMar>
              <w:top w:w="60" w:type="dxa"/>
              <w:start w:w="60" w:type="dxa"/>
              <w:bottom w:w="60" w:type="dxa"/>
              <w:end w:w="60" w:type="dxa"/>
            </w:tcMar>
            <w:vAlign w:val="top"/>
          </w:tcPr>
          <w:p>
            <w:r/>
            <w:r>
              <w:rPr>
                <w:rFonts w:ascii="Aptos" w:hAnsi="Aptos"/>
                <w:sz w:val="15"/>
              </w:rPr>
              <w:t>Aucune lecture verticale erronée.</w:t>
            </w:r>
          </w:p>
        </w:tc>
      </w:tr>
      <w:tr>
        <w:tc>
          <w:tcPr>
            <w:tcW w:type="dxa" w:w="3628"/>
            <w:tcMar>
              <w:top w:w="60" w:type="dxa"/>
              <w:start w:w="60" w:type="dxa"/>
              <w:bottom w:w="60" w:type="dxa"/>
              <w:end w:w="60" w:type="dxa"/>
            </w:tcMar>
            <w:vAlign w:val="top"/>
          </w:tcPr>
          <w:p>
            <w:r/>
            <w:r>
              <w:rPr>
                <w:rFonts w:ascii="Aptos" w:hAnsi="Aptos"/>
                <w:sz w:val="15"/>
              </w:rPr>
              <w:t>Weekly Valuation deux blocs</w:t>
            </w:r>
          </w:p>
        </w:tc>
        <w:tc>
          <w:tcPr>
            <w:tcW w:type="dxa" w:w="5669"/>
            <w:tcMar>
              <w:top w:w="60" w:type="dxa"/>
              <w:start w:w="60" w:type="dxa"/>
              <w:bottom w:w="60" w:type="dxa"/>
              <w:end w:w="60" w:type="dxa"/>
            </w:tcMar>
            <w:vAlign w:val="top"/>
          </w:tcPr>
          <w:p>
            <w:r/>
            <w:r>
              <w:rPr>
                <w:rFonts w:ascii="Aptos" w:hAnsi="Aptos"/>
                <w:sz w:val="15"/>
              </w:rPr>
              <w:t>Current/previous correctement identifiés.</w:t>
            </w:r>
          </w:p>
        </w:tc>
      </w:tr>
      <w:tr>
        <w:tc>
          <w:tcPr>
            <w:tcW w:type="dxa" w:w="3628"/>
            <w:tcMar>
              <w:top w:w="60" w:type="dxa"/>
              <w:start w:w="60" w:type="dxa"/>
              <w:bottom w:w="60" w:type="dxa"/>
              <w:end w:w="60" w:type="dxa"/>
            </w:tcMar>
            <w:vAlign w:val="top"/>
          </w:tcPr>
          <w:p>
            <w:r/>
            <w:r>
              <w:rPr>
                <w:rFonts w:ascii="Aptos" w:hAnsi="Aptos"/>
                <w:sz w:val="15"/>
              </w:rPr>
              <w:t>Volatility Measure</w:t>
            </w:r>
          </w:p>
        </w:tc>
        <w:tc>
          <w:tcPr>
            <w:tcW w:type="dxa" w:w="5669"/>
            <w:tcMar>
              <w:top w:w="60" w:type="dxa"/>
              <w:start w:w="60" w:type="dxa"/>
              <w:bottom w:w="60" w:type="dxa"/>
              <w:end w:w="60" w:type="dxa"/>
            </w:tcMar>
            <w:vAlign w:val="top"/>
          </w:tcPr>
          <w:p>
            <w:r/>
            <w:r>
              <w:rPr>
                <w:rFonts w:ascii="Aptos" w:hAnsi="Aptos"/>
                <w:sz w:val="15"/>
              </w:rPr>
              <w:t>Colonnes % Change exclues.</w:t>
            </w:r>
          </w:p>
        </w:tc>
      </w:tr>
      <w:tr>
        <w:tc>
          <w:tcPr>
            <w:tcW w:type="dxa" w:w="3628"/>
            <w:tcMar>
              <w:top w:w="60" w:type="dxa"/>
              <w:start w:w="60" w:type="dxa"/>
              <w:bottom w:w="60" w:type="dxa"/>
              <w:end w:w="60" w:type="dxa"/>
            </w:tcMar>
            <w:vAlign w:val="top"/>
          </w:tcPr>
          <w:p>
            <w:r/>
            <w:r>
              <w:rPr>
                <w:rFonts w:ascii="Aptos" w:hAnsi="Aptos"/>
                <w:sz w:val="15"/>
              </w:rPr>
              <w:t>NGN/USD</w:t>
            </w:r>
          </w:p>
        </w:tc>
        <w:tc>
          <w:tcPr>
            <w:tcW w:type="dxa" w:w="5669"/>
            <w:tcMar>
              <w:top w:w="60" w:type="dxa"/>
              <w:start w:w="60" w:type="dxa"/>
              <w:bottom w:w="60" w:type="dxa"/>
              <w:end w:w="60" w:type="dxa"/>
            </w:tcMar>
            <w:vAlign w:val="top"/>
          </w:tcPr>
          <w:p>
            <w:r/>
            <w:r>
              <w:rPr>
                <w:rFonts w:ascii="Aptos" w:hAnsi="Aptos"/>
                <w:sz w:val="15"/>
              </w:rPr>
              <w:t>Six mesures distinctes si présentes.</w:t>
            </w:r>
          </w:p>
        </w:tc>
      </w:tr>
      <w:tr>
        <w:tc>
          <w:tcPr>
            <w:tcW w:type="dxa" w:w="3628"/>
            <w:tcMar>
              <w:top w:w="60" w:type="dxa"/>
              <w:start w:w="60" w:type="dxa"/>
              <w:bottom w:w="60" w:type="dxa"/>
              <w:end w:w="60" w:type="dxa"/>
            </w:tcMar>
            <w:vAlign w:val="top"/>
          </w:tcPr>
          <w:p>
            <w:r/>
            <w:r>
              <w:rPr>
                <w:rFonts w:ascii="Aptos" w:hAnsi="Aptos"/>
                <w:sz w:val="15"/>
              </w:rPr>
              <w:t>Espaces insécables</w:t>
            </w:r>
          </w:p>
        </w:tc>
        <w:tc>
          <w:tcPr>
            <w:tcW w:type="dxa" w:w="5669"/>
            <w:tcMar>
              <w:top w:w="60" w:type="dxa"/>
              <w:start w:w="60" w:type="dxa"/>
              <w:bottom w:w="60" w:type="dxa"/>
              <w:end w:w="60" w:type="dxa"/>
            </w:tcMar>
            <w:vAlign w:val="top"/>
          </w:tcPr>
          <w:p>
            <w:r/>
            <w:r>
              <w:rPr>
                <w:rFonts w:ascii="Aptos" w:hAnsi="Aptos"/>
                <w:sz w:val="15"/>
              </w:rPr>
              <w:t>Nombre parsé sans perte.</w:t>
            </w:r>
          </w:p>
        </w:tc>
      </w:tr>
      <w:tr>
        <w:tc>
          <w:tcPr>
            <w:tcW w:type="dxa" w:w="3628"/>
            <w:tcMar>
              <w:top w:w="60" w:type="dxa"/>
              <w:start w:w="60" w:type="dxa"/>
              <w:bottom w:w="60" w:type="dxa"/>
              <w:end w:w="60" w:type="dxa"/>
            </w:tcMar>
            <w:vAlign w:val="top"/>
          </w:tcPr>
          <w:p>
            <w:r/>
            <w:r>
              <w:rPr>
                <w:rFonts w:ascii="Aptos" w:hAnsi="Aptos"/>
                <w:sz w:val="15"/>
              </w:rPr>
              <w:t>Virgule et point</w:t>
            </w:r>
          </w:p>
        </w:tc>
        <w:tc>
          <w:tcPr>
            <w:tcW w:type="dxa" w:w="5669"/>
            <w:tcMar>
              <w:top w:w="60" w:type="dxa"/>
              <w:start w:w="60" w:type="dxa"/>
              <w:bottom w:w="60" w:type="dxa"/>
              <w:end w:w="60" w:type="dxa"/>
            </w:tcMar>
            <w:vAlign w:val="top"/>
          </w:tcPr>
          <w:p>
            <w:r/>
            <w:r>
              <w:rPr>
                <w:rFonts w:ascii="Aptos" w:hAnsi="Aptos"/>
                <w:sz w:val="15"/>
              </w:rPr>
              <w:t>Décimal correct selon colonne.</w:t>
            </w:r>
          </w:p>
        </w:tc>
      </w:tr>
      <w:tr>
        <w:tc>
          <w:tcPr>
            <w:tcW w:type="dxa" w:w="3628"/>
            <w:tcMar>
              <w:top w:w="60" w:type="dxa"/>
              <w:start w:w="60" w:type="dxa"/>
              <w:bottom w:w="60" w:type="dxa"/>
              <w:end w:w="60" w:type="dxa"/>
            </w:tcMar>
            <w:vAlign w:val="top"/>
          </w:tcPr>
          <w:p>
            <w:r/>
            <w:r>
              <w:rPr>
                <w:rFonts w:ascii="Aptos" w:hAnsi="Aptos"/>
                <w:sz w:val="15"/>
              </w:rPr>
              <w:t>Zéro source</w:t>
            </w:r>
          </w:p>
        </w:tc>
        <w:tc>
          <w:tcPr>
            <w:tcW w:type="dxa" w:w="5669"/>
            <w:tcMar>
              <w:top w:w="60" w:type="dxa"/>
              <w:start w:w="60" w:type="dxa"/>
              <w:bottom w:w="60" w:type="dxa"/>
              <w:end w:w="60" w:type="dxa"/>
            </w:tcMar>
            <w:vAlign w:val="top"/>
          </w:tcPr>
          <w:p>
            <w:r/>
            <w:r>
              <w:rPr>
                <w:rFonts w:ascii="Aptos" w:hAnsi="Aptos"/>
                <w:sz w:val="15"/>
              </w:rPr>
              <w:t>Conservé avec flag.</w:t>
            </w:r>
          </w:p>
        </w:tc>
      </w:tr>
      <w:tr>
        <w:tc>
          <w:tcPr>
            <w:tcW w:type="dxa" w:w="3628"/>
            <w:tcMar>
              <w:top w:w="60" w:type="dxa"/>
              <w:start w:w="60" w:type="dxa"/>
              <w:bottom w:w="60" w:type="dxa"/>
              <w:end w:w="60" w:type="dxa"/>
            </w:tcMar>
            <w:vAlign w:val="top"/>
          </w:tcPr>
          <w:p>
            <w:r/>
            <w:r>
              <w:rPr>
                <w:rFonts w:ascii="Aptos" w:hAnsi="Aptos"/>
                <w:sz w:val="15"/>
              </w:rPr>
              <w:t>Tirets/N/A</w:t>
            </w:r>
          </w:p>
        </w:tc>
        <w:tc>
          <w:tcPr>
            <w:tcW w:type="dxa" w:w="5669"/>
            <w:tcMar>
              <w:top w:w="60" w:type="dxa"/>
              <w:start w:w="60" w:type="dxa"/>
              <w:bottom w:w="60" w:type="dxa"/>
              <w:end w:w="60" w:type="dxa"/>
            </w:tcMar>
            <w:vAlign w:val="top"/>
          </w:tcPr>
          <w:p>
            <w:r/>
            <w:r>
              <w:rPr>
                <w:rFonts w:ascii="Aptos" w:hAnsi="Aptos"/>
                <w:sz w:val="15"/>
              </w:rPr>
              <w:t>Null et statut adapté.</w:t>
            </w:r>
          </w:p>
        </w:tc>
      </w:tr>
      <w:tr>
        <w:tc>
          <w:tcPr>
            <w:tcW w:type="dxa" w:w="3628"/>
            <w:tcMar>
              <w:top w:w="60" w:type="dxa"/>
              <w:start w:w="60" w:type="dxa"/>
              <w:bottom w:w="60" w:type="dxa"/>
              <w:end w:w="60" w:type="dxa"/>
            </w:tcMar>
            <w:vAlign w:val="top"/>
          </w:tcPr>
          <w:p>
            <w:r/>
            <w:r>
              <w:rPr>
                <w:rFonts w:ascii="Aptos" w:hAnsi="Aptos"/>
                <w:sz w:val="15"/>
              </w:rPr>
              <w:t>Catégories/totaux</w:t>
            </w:r>
          </w:p>
        </w:tc>
        <w:tc>
          <w:tcPr>
            <w:tcW w:type="dxa" w:w="5669"/>
            <w:tcMar>
              <w:top w:w="60" w:type="dxa"/>
              <w:start w:w="60" w:type="dxa"/>
              <w:bottom w:w="60" w:type="dxa"/>
              <w:end w:w="60" w:type="dxa"/>
            </w:tcMar>
            <w:vAlign w:val="top"/>
          </w:tcPr>
          <w:p>
            <w:r/>
            <w:r>
              <w:rPr>
                <w:rFonts w:ascii="Aptos" w:hAnsi="Aptos"/>
                <w:sz w:val="15"/>
              </w:rPr>
              <w:t>Aucun faux fonds.</w:t>
            </w:r>
          </w:p>
        </w:tc>
      </w:tr>
      <w:tr>
        <w:tc>
          <w:tcPr>
            <w:tcW w:type="dxa" w:w="3628"/>
            <w:tcMar>
              <w:top w:w="60" w:type="dxa"/>
              <w:start w:w="60" w:type="dxa"/>
              <w:bottom w:w="60" w:type="dxa"/>
              <w:end w:w="60" w:type="dxa"/>
            </w:tcMar>
            <w:vAlign w:val="top"/>
          </w:tcPr>
          <w:p>
            <w:r/>
            <w:r>
              <w:rPr>
                <w:rFonts w:ascii="Aptos" w:hAnsi="Aptos"/>
                <w:sz w:val="15"/>
              </w:rPr>
              <w:t>Feuille dérivée date erronée</w:t>
            </w:r>
          </w:p>
        </w:tc>
        <w:tc>
          <w:tcPr>
            <w:tcW w:type="dxa" w:w="5669"/>
            <w:tcMar>
              <w:top w:w="60" w:type="dxa"/>
              <w:start w:w="60" w:type="dxa"/>
              <w:bottom w:w="60" w:type="dxa"/>
              <w:end w:w="60" w:type="dxa"/>
            </w:tcMar>
            <w:vAlign w:val="top"/>
          </w:tcPr>
          <w:p>
            <w:r/>
            <w:r>
              <w:rPr>
                <w:rFonts w:ascii="Aptos" w:hAnsi="Aptos"/>
                <w:sz w:val="15"/>
              </w:rPr>
              <w:t>N’écrase pas la date principale.</w:t>
            </w:r>
          </w:p>
        </w:tc>
      </w:tr>
      <w:tr>
        <w:tc>
          <w:tcPr>
            <w:tcW w:type="dxa" w:w="3628"/>
            <w:tcMar>
              <w:top w:w="60" w:type="dxa"/>
              <w:start w:w="60" w:type="dxa"/>
              <w:bottom w:w="60" w:type="dxa"/>
              <w:end w:w="60" w:type="dxa"/>
            </w:tcMar>
            <w:vAlign w:val="top"/>
          </w:tcPr>
          <w:p>
            <w:r/>
            <w:r>
              <w:rPr>
                <w:rFonts w:ascii="Aptos" w:hAnsi="Aptos"/>
                <w:sz w:val="15"/>
              </w:rPr>
              <w:t>Fichier corrompu</w:t>
            </w:r>
          </w:p>
        </w:tc>
        <w:tc>
          <w:tcPr>
            <w:tcW w:type="dxa" w:w="5669"/>
            <w:tcMar>
              <w:top w:w="60" w:type="dxa"/>
              <w:start w:w="60" w:type="dxa"/>
              <w:bottom w:w="60" w:type="dxa"/>
              <w:end w:w="60" w:type="dxa"/>
            </w:tcMar>
            <w:vAlign w:val="top"/>
          </w:tcPr>
          <w:p>
            <w:r/>
            <w:r>
              <w:rPr>
                <w:rFonts w:ascii="Aptos" w:hAnsi="Aptos"/>
                <w:sz w:val="15"/>
              </w:rPr>
              <w:t>Statut et récupération documentés.</w:t>
            </w:r>
          </w:p>
        </w:tc>
      </w:tr>
      <w:tr>
        <w:tc>
          <w:tcPr>
            <w:tcW w:type="dxa" w:w="3628"/>
            <w:tcMar>
              <w:top w:w="60" w:type="dxa"/>
              <w:start w:w="60" w:type="dxa"/>
              <w:bottom w:w="60" w:type="dxa"/>
              <w:end w:w="60" w:type="dxa"/>
            </w:tcMar>
            <w:vAlign w:val="top"/>
          </w:tcPr>
          <w:p>
            <w:r/>
            <w:r>
              <w:rPr>
                <w:rFonts w:ascii="Aptos" w:hAnsi="Aptos"/>
                <w:sz w:val="15"/>
              </w:rPr>
              <w:t>Idempotence</w:t>
            </w:r>
          </w:p>
        </w:tc>
        <w:tc>
          <w:tcPr>
            <w:tcW w:type="dxa" w:w="5669"/>
            <w:tcMar>
              <w:top w:w="60" w:type="dxa"/>
              <w:start w:w="60" w:type="dxa"/>
              <w:bottom w:w="60" w:type="dxa"/>
              <w:end w:w="60" w:type="dxa"/>
            </w:tcMar>
            <w:vAlign w:val="top"/>
          </w:tcPr>
          <w:p>
            <w:r/>
            <w:r>
              <w:rPr>
                <w:rFonts w:ascii="Aptos" w:hAnsi="Aptos"/>
                <w:sz w:val="15"/>
              </w:rPr>
              <w:t>Deux imports identiques n’ajoutent aucune ligne.</w:t>
            </w:r>
          </w:p>
        </w:tc>
      </w:tr>
    </w:tbl>
    <w:p>
      <w:pPr>
        <w:widowControl/>
        <w:spacing w:after="0"/>
      </w:pPr>
    </w:p>
    <w:p>
      <w:pPr>
        <w:pStyle w:val="Heading2"/>
        <w:widowControl/>
      </w:pPr>
      <w:r>
        <w:t>13.5 Rapport avant/après</w:t>
      </w:r>
    </w:p>
    <w:p>
      <w:pPr>
        <w:pStyle w:val="CodeNigeria"/>
        <w:widowControl/>
        <w:shd w:fill="F4F6F7"/>
      </w:pPr>
      <w:r>
        <w:rPr>
          <w:rFonts w:ascii="Liberation Mono" w:hAnsi="Liberation Mono"/>
          <w:color w:val="1E1E1E"/>
          <w:sz w:val="15"/>
        </w:rPr>
        <w:t>files_scanned</w:t>
        <w:br/>
        <w:t>files_opened</w:t>
        <w:br/>
        <w:t>sheets_classified</w:t>
        <w:br/>
        <w:t>raw_rows</w:t>
        <w:br/>
        <w:t>observations_extracted</w:t>
        <w:br/>
        <w:t>canonical_observations</w:t>
        <w:br/>
        <w:t>fund_keys_raw</w:t>
        <w:br/>
        <w:t>canonical_funds</w:t>
        <w:br/>
        <w:t>conflicts</w:t>
        <w:br/>
        <w:t>missing_dates</w:t>
        <w:br/>
        <w:t>invalid_rows_excluded</w:t>
        <w:br/>
        <w:t>production_rows_to_insert</w:t>
        <w:br/>
        <w:t>production_rows_to_update</w:t>
        <w:br/>
        <w:t>production_rows_unchanged</w:t>
        <w:br/>
        <w:t>other_country_rows_touched = 0</w:t>
      </w:r>
    </w:p>
    <w:p>
      <w:pPr>
        <w:widowControl/>
      </w:pPr>
      <w:r>
        <w:br w:type="page"/>
      </w:r>
    </w:p>
    <w:p>
      <w:pPr>
        <w:widowControl/>
        <w:jc w:val="center"/>
      </w:pPr>
      <w:r>
        <w:rPr>
          <w:rFonts w:ascii="Aptos Display" w:hAnsi="Aptos Display"/>
          <w:b/>
          <w:color w:val="123E5E"/>
          <w:sz w:val="44"/>
        </w:rPr>
        <w:t>PARTIE XIV — INTÉGRATION PROAFRICAFUND ET SERVICE EXCEL</w:t>
      </w:r>
    </w:p>
    <w:p>
      <w:pPr>
        <w:widowControl/>
        <w:jc w:val="center"/>
      </w:pPr>
      <w:r>
        <w:rPr>
          <w:rFonts w:ascii="Aptos" w:hAnsi="Aptos"/>
          <w:i/>
          <w:color w:val="505050"/>
          <w:sz w:val="22"/>
        </w:rPr>
        <w:t>Déployer sans écraser, sans doublon et sans toucher aux autres pays</w:t>
      </w:r>
    </w:p>
    <w:p>
      <w:pPr>
        <w:widowControl/>
      </w:pPr>
    </w:p>
    <w:p>
      <w:pPr>
        <w:pStyle w:val="Heading1"/>
        <w:widowControl/>
      </w:pPr>
      <w:r>
        <w:t>14. Mapping métier recommandé</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551"/>
            <w:shd w:fill="D9EAF2"/>
            <w:tcMar>
              <w:top w:w="70" w:type="dxa"/>
              <w:start w:w="70" w:type="dxa"/>
              <w:bottom w:w="70" w:type="dxa"/>
              <w:end w:w="70" w:type="dxa"/>
            </w:tcMar>
            <w:vAlign w:val="center"/>
          </w:tcPr>
          <w:p>
            <w:r/>
            <w:r>
              <w:rPr>
                <w:rFonts w:ascii="Aptos" w:hAnsi="Aptos"/>
                <w:b/>
                <w:color w:val="123E5E"/>
                <w:sz w:val="15"/>
              </w:rPr>
              <w:t>Mesure source</w:t>
            </w:r>
          </w:p>
        </w:tc>
        <w:tc>
          <w:tcPr>
            <w:tcW w:type="dxa" w:w="2551"/>
            <w:shd w:fill="D9EAF2"/>
            <w:tcMar>
              <w:top w:w="70" w:type="dxa"/>
              <w:start w:w="70" w:type="dxa"/>
              <w:bottom w:w="70" w:type="dxa"/>
              <w:end w:w="70" w:type="dxa"/>
            </w:tcMar>
            <w:vAlign w:val="center"/>
          </w:tcPr>
          <w:p>
            <w:r/>
            <w:r>
              <w:rPr>
                <w:rFonts w:ascii="Aptos" w:hAnsi="Aptos"/>
                <w:b/>
                <w:color w:val="123E5E"/>
                <w:sz w:val="15"/>
              </w:rPr>
              <w:t>Champ métier</w:t>
            </w:r>
          </w:p>
        </w:tc>
        <w:tc>
          <w:tcPr>
            <w:tcW w:type="dxa" w:w="4195"/>
            <w:shd w:fill="D9EAF2"/>
            <w:tcMar>
              <w:top w:w="70" w:type="dxa"/>
              <w:start w:w="70" w:type="dxa"/>
              <w:bottom w:w="70" w:type="dxa"/>
              <w:end w:w="70" w:type="dxa"/>
            </w:tcMar>
            <w:vAlign w:val="center"/>
          </w:tcPr>
          <w:p>
            <w:r/>
            <w:r>
              <w:rPr>
                <w:rFonts w:ascii="Aptos" w:hAnsi="Aptos"/>
                <w:b/>
                <w:color w:val="123E5E"/>
                <w:sz w:val="15"/>
              </w:rPr>
              <w:t>Règle</w:t>
            </w:r>
          </w:p>
        </w:tc>
      </w:tr>
      <w:tr>
        <w:tc>
          <w:tcPr>
            <w:tcW w:type="dxa" w:w="2551"/>
            <w:tcMar>
              <w:top w:w="60" w:type="dxa"/>
              <w:start w:w="60" w:type="dxa"/>
              <w:bottom w:w="60" w:type="dxa"/>
              <w:end w:w="60" w:type="dxa"/>
            </w:tcMar>
            <w:vAlign w:val="top"/>
          </w:tcPr>
          <w:p>
            <w:r/>
            <w:r>
              <w:rPr>
                <w:rFonts w:ascii="Aptos" w:hAnsi="Aptos"/>
                <w:sz w:val="15"/>
              </w:rPr>
              <w:t>net_assets_total</w:t>
            </w:r>
          </w:p>
        </w:tc>
        <w:tc>
          <w:tcPr>
            <w:tcW w:type="dxa" w:w="2551"/>
            <w:tcMar>
              <w:top w:w="60" w:type="dxa"/>
              <w:start w:w="60" w:type="dxa"/>
              <w:bottom w:w="60" w:type="dxa"/>
              <w:end w:w="60" w:type="dxa"/>
            </w:tcMar>
            <w:vAlign w:val="top"/>
          </w:tcPr>
          <w:p>
            <w:r/>
            <w:r>
              <w:rPr>
                <w:rFonts w:ascii="Aptos" w:hAnsi="Aptos"/>
                <w:sz w:val="15"/>
              </w:rPr>
              <w:t>actif_net / table de mesures</w:t>
            </w:r>
          </w:p>
        </w:tc>
        <w:tc>
          <w:tcPr>
            <w:tcW w:type="dxa" w:w="4195"/>
            <w:tcMar>
              <w:top w:w="60" w:type="dxa"/>
              <w:start w:w="60" w:type="dxa"/>
              <w:bottom w:w="60" w:type="dxa"/>
              <w:end w:w="60" w:type="dxa"/>
            </w:tcMar>
            <w:vAlign w:val="top"/>
          </w:tcPr>
          <w:p>
            <w:r/>
            <w:r>
              <w:rPr>
                <w:rFonts w:ascii="Aptos" w:hAnsi="Aptos"/>
                <w:sz w:val="15"/>
              </w:rPr>
              <w:t>Type numérique ; devise explicite.</w:t>
            </w:r>
          </w:p>
        </w:tc>
      </w:tr>
      <w:tr>
        <w:tc>
          <w:tcPr>
            <w:tcW w:type="dxa" w:w="2551"/>
            <w:tcMar>
              <w:top w:w="60" w:type="dxa"/>
              <w:start w:w="60" w:type="dxa"/>
              <w:bottom w:w="60" w:type="dxa"/>
              <w:end w:w="60" w:type="dxa"/>
            </w:tcMar>
            <w:vAlign w:val="top"/>
          </w:tcPr>
          <w:p>
            <w:r/>
            <w:r>
              <w:rPr>
                <w:rFonts w:ascii="Aptos" w:hAnsi="Aptos"/>
                <w:sz w:val="15"/>
              </w:rPr>
              <w:t>unit_price</w:t>
            </w:r>
          </w:p>
        </w:tc>
        <w:tc>
          <w:tcPr>
            <w:tcW w:type="dxa" w:w="2551"/>
            <w:tcMar>
              <w:top w:w="60" w:type="dxa"/>
              <w:start w:w="60" w:type="dxa"/>
              <w:bottom w:w="60" w:type="dxa"/>
              <w:end w:w="60" w:type="dxa"/>
            </w:tcMar>
            <w:vAlign w:val="top"/>
          </w:tcPr>
          <w:p>
            <w:r/>
            <w:r>
              <w:rPr>
                <w:rFonts w:ascii="Aptos" w:hAnsi="Aptos"/>
                <w:sz w:val="15"/>
              </w:rPr>
              <w:t>VL explicite</w:t>
            </w:r>
          </w:p>
        </w:tc>
        <w:tc>
          <w:tcPr>
            <w:tcW w:type="dxa" w:w="4195"/>
            <w:tcMar>
              <w:top w:w="60" w:type="dxa"/>
              <w:start w:w="60" w:type="dxa"/>
              <w:bottom w:w="60" w:type="dxa"/>
              <w:end w:w="60" w:type="dxa"/>
            </w:tcMar>
            <w:vAlign w:val="top"/>
          </w:tcPr>
          <w:p>
            <w:r/>
            <w:r>
              <w:rPr>
                <w:rFonts w:ascii="Aptos" w:hAnsi="Aptos"/>
                <w:sz w:val="15"/>
              </w:rPr>
              <w:t>Seulement si source explicite.</w:t>
            </w:r>
          </w:p>
        </w:tc>
      </w:tr>
      <w:tr>
        <w:tc>
          <w:tcPr>
            <w:tcW w:type="dxa" w:w="2551"/>
            <w:tcMar>
              <w:top w:w="60" w:type="dxa"/>
              <w:start w:w="60" w:type="dxa"/>
              <w:bottom w:w="60" w:type="dxa"/>
              <w:end w:w="60" w:type="dxa"/>
            </w:tcMar>
            <w:vAlign w:val="top"/>
          </w:tcPr>
          <w:p>
            <w:r/>
            <w:r>
              <w:rPr>
                <w:rFonts w:ascii="Aptos" w:hAnsi="Aptos"/>
                <w:sz w:val="15"/>
              </w:rPr>
              <w:t>offer_price</w:t>
            </w:r>
          </w:p>
        </w:tc>
        <w:tc>
          <w:tcPr>
            <w:tcW w:type="dxa" w:w="2551"/>
            <w:tcMar>
              <w:top w:w="60" w:type="dxa"/>
              <w:start w:w="60" w:type="dxa"/>
              <w:bottom w:w="60" w:type="dxa"/>
              <w:end w:w="60" w:type="dxa"/>
            </w:tcMar>
            <w:vAlign w:val="top"/>
          </w:tcPr>
          <w:p>
            <w:r/>
            <w:r>
              <w:rPr>
                <w:rFonts w:ascii="Aptos" w:hAnsi="Aptos"/>
                <w:sz w:val="15"/>
              </w:rPr>
              <w:t>souscription / offer</w:t>
            </w:r>
          </w:p>
        </w:tc>
        <w:tc>
          <w:tcPr>
            <w:tcW w:type="dxa" w:w="4195"/>
            <w:tcMar>
              <w:top w:w="60" w:type="dxa"/>
              <w:start w:w="60" w:type="dxa"/>
              <w:bottom w:w="60" w:type="dxa"/>
              <w:end w:w="60" w:type="dxa"/>
            </w:tcMar>
            <w:vAlign w:val="top"/>
          </w:tcPr>
          <w:p>
            <w:r/>
            <w:r>
              <w:rPr>
                <w:rFonts w:ascii="Aptos" w:hAnsi="Aptos"/>
                <w:sz w:val="15"/>
              </w:rPr>
              <w:t>Convention applicative à vérifier.</w:t>
            </w:r>
          </w:p>
        </w:tc>
      </w:tr>
      <w:tr>
        <w:tc>
          <w:tcPr>
            <w:tcW w:type="dxa" w:w="2551"/>
            <w:tcMar>
              <w:top w:w="60" w:type="dxa"/>
              <w:start w:w="60" w:type="dxa"/>
              <w:bottom w:w="60" w:type="dxa"/>
              <w:end w:w="60" w:type="dxa"/>
            </w:tcMar>
            <w:vAlign w:val="top"/>
          </w:tcPr>
          <w:p>
            <w:r/>
            <w:r>
              <w:rPr>
                <w:rFonts w:ascii="Aptos" w:hAnsi="Aptos"/>
                <w:sz w:val="15"/>
              </w:rPr>
              <w:t>bid_price</w:t>
            </w:r>
          </w:p>
        </w:tc>
        <w:tc>
          <w:tcPr>
            <w:tcW w:type="dxa" w:w="2551"/>
            <w:tcMar>
              <w:top w:w="60" w:type="dxa"/>
              <w:start w:w="60" w:type="dxa"/>
              <w:bottom w:w="60" w:type="dxa"/>
              <w:end w:w="60" w:type="dxa"/>
            </w:tcMar>
            <w:vAlign w:val="top"/>
          </w:tcPr>
          <w:p>
            <w:r/>
            <w:r>
              <w:rPr>
                <w:rFonts w:ascii="Aptos" w:hAnsi="Aptos"/>
                <w:sz w:val="15"/>
              </w:rPr>
              <w:t>rachat / bid</w:t>
            </w:r>
          </w:p>
        </w:tc>
        <w:tc>
          <w:tcPr>
            <w:tcW w:type="dxa" w:w="4195"/>
            <w:tcMar>
              <w:top w:w="60" w:type="dxa"/>
              <w:start w:w="60" w:type="dxa"/>
              <w:bottom w:w="60" w:type="dxa"/>
              <w:end w:w="60" w:type="dxa"/>
            </w:tcMar>
            <w:vAlign w:val="top"/>
          </w:tcPr>
          <w:p>
            <w:r/>
            <w:r>
              <w:rPr>
                <w:rFonts w:ascii="Aptos" w:hAnsi="Aptos"/>
                <w:sz w:val="15"/>
              </w:rPr>
              <w:t>Convention applicative à vérifier.</w:t>
            </w:r>
          </w:p>
        </w:tc>
      </w:tr>
      <w:tr>
        <w:tc>
          <w:tcPr>
            <w:tcW w:type="dxa" w:w="2551"/>
            <w:tcMar>
              <w:top w:w="60" w:type="dxa"/>
              <w:start w:w="60" w:type="dxa"/>
              <w:bottom w:w="60" w:type="dxa"/>
              <w:end w:w="60" w:type="dxa"/>
            </w:tcMar>
            <w:vAlign w:val="top"/>
          </w:tcPr>
          <w:p>
            <w:r/>
            <w:r>
              <w:rPr>
                <w:rFonts w:ascii="Aptos" w:hAnsi="Aptos"/>
                <w:sz w:val="15"/>
              </w:rPr>
              <w:t>selected_valuation_value</w:t>
            </w:r>
          </w:p>
        </w:tc>
        <w:tc>
          <w:tcPr>
            <w:tcW w:type="dxa" w:w="2551"/>
            <w:tcMar>
              <w:top w:w="60" w:type="dxa"/>
              <w:start w:w="60" w:type="dxa"/>
              <w:bottom w:w="60" w:type="dxa"/>
              <w:end w:w="60" w:type="dxa"/>
            </w:tcMar>
            <w:vAlign w:val="top"/>
          </w:tcPr>
          <w:p>
            <w:r/>
            <w:r>
              <w:rPr>
                <w:rFonts w:ascii="Aptos" w:hAnsi="Aptos"/>
                <w:sz w:val="15"/>
              </w:rPr>
              <w:t>valorisations.value</w:t>
            </w:r>
          </w:p>
        </w:tc>
        <w:tc>
          <w:tcPr>
            <w:tcW w:type="dxa" w:w="4195"/>
            <w:tcMar>
              <w:top w:w="60" w:type="dxa"/>
              <w:start w:w="60" w:type="dxa"/>
              <w:bottom w:w="60" w:type="dxa"/>
              <w:end w:w="60" w:type="dxa"/>
            </w:tcMar>
            <w:vAlign w:val="top"/>
          </w:tcPr>
          <w:p>
            <w:r/>
            <w:r>
              <w:rPr>
                <w:rFonts w:ascii="Aptos" w:hAnsi="Aptos"/>
                <w:sz w:val="15"/>
              </w:rPr>
              <w:t>Justification selected_value_basis obligatoire.</w:t>
            </w:r>
          </w:p>
        </w:tc>
      </w:tr>
      <w:tr>
        <w:tc>
          <w:tcPr>
            <w:tcW w:type="dxa" w:w="2551"/>
            <w:tcMar>
              <w:top w:w="60" w:type="dxa"/>
              <w:start w:w="60" w:type="dxa"/>
              <w:bottom w:w="60" w:type="dxa"/>
              <w:end w:w="60" w:type="dxa"/>
            </w:tcMar>
            <w:vAlign w:val="top"/>
          </w:tcPr>
          <w:p>
            <w:r/>
            <w:r>
              <w:rPr>
                <w:rFonts w:ascii="Aptos" w:hAnsi="Aptos"/>
                <w:sz w:val="15"/>
              </w:rPr>
              <w:t>manager assignment</w:t>
            </w:r>
          </w:p>
        </w:tc>
        <w:tc>
          <w:tcPr>
            <w:tcW w:type="dxa" w:w="2551"/>
            <w:tcMar>
              <w:top w:w="60" w:type="dxa"/>
              <w:start w:w="60" w:type="dxa"/>
              <w:bottom w:w="60" w:type="dxa"/>
              <w:end w:w="60" w:type="dxa"/>
            </w:tcMar>
            <w:vAlign w:val="top"/>
          </w:tcPr>
          <w:p>
            <w:r/>
            <w:r>
              <w:rPr>
                <w:rFonts w:ascii="Aptos" w:hAnsi="Aptos"/>
                <w:sz w:val="15"/>
              </w:rPr>
              <w:t>societe_id + historique</w:t>
            </w:r>
          </w:p>
        </w:tc>
        <w:tc>
          <w:tcPr>
            <w:tcW w:type="dxa" w:w="4195"/>
            <w:tcMar>
              <w:top w:w="60" w:type="dxa"/>
              <w:start w:w="60" w:type="dxa"/>
              <w:bottom w:w="60" w:type="dxa"/>
              <w:end w:w="60" w:type="dxa"/>
            </w:tcMar>
            <w:vAlign w:val="top"/>
          </w:tcPr>
          <w:p>
            <w:r/>
            <w:r>
              <w:rPr>
                <w:rFonts w:ascii="Aptos" w:hAnsi="Aptos"/>
                <w:sz w:val="15"/>
              </w:rPr>
              <w:t>Ne pas écraser le passé.</w:t>
            </w:r>
          </w:p>
        </w:tc>
      </w:tr>
      <w:tr>
        <w:tc>
          <w:tcPr>
            <w:tcW w:type="dxa" w:w="2551"/>
            <w:tcMar>
              <w:top w:w="60" w:type="dxa"/>
              <w:start w:w="60" w:type="dxa"/>
              <w:bottom w:w="60" w:type="dxa"/>
              <w:end w:w="60" w:type="dxa"/>
            </w:tcMar>
            <w:vAlign w:val="top"/>
          </w:tcPr>
          <w:p>
            <w:r/>
            <w:r>
              <w:rPr>
                <w:rFonts w:ascii="Aptos" w:hAnsi="Aptos"/>
                <w:sz w:val="15"/>
              </w:rPr>
              <w:t>fund alias</w:t>
            </w:r>
          </w:p>
        </w:tc>
        <w:tc>
          <w:tcPr>
            <w:tcW w:type="dxa" w:w="2551"/>
            <w:tcMar>
              <w:top w:w="60" w:type="dxa"/>
              <w:start w:w="60" w:type="dxa"/>
              <w:bottom w:w="60" w:type="dxa"/>
              <w:end w:w="60" w:type="dxa"/>
            </w:tcMar>
            <w:vAlign w:val="top"/>
          </w:tcPr>
          <w:p>
            <w:r/>
            <w:r>
              <w:rPr>
                <w:rFonts w:ascii="Aptos" w:hAnsi="Aptos"/>
                <w:sz w:val="15"/>
              </w:rPr>
              <w:t>table d’alias</w:t>
            </w:r>
          </w:p>
        </w:tc>
        <w:tc>
          <w:tcPr>
            <w:tcW w:type="dxa" w:w="4195"/>
            <w:tcMar>
              <w:top w:w="60" w:type="dxa"/>
              <w:start w:w="60" w:type="dxa"/>
              <w:bottom w:w="60" w:type="dxa"/>
              <w:end w:w="60" w:type="dxa"/>
            </w:tcMar>
            <w:vAlign w:val="top"/>
          </w:tcPr>
          <w:p>
            <w:r/>
            <w:r>
              <w:rPr>
                <w:rFonts w:ascii="Aptos" w:hAnsi="Aptos"/>
                <w:sz w:val="15"/>
              </w:rPr>
              <w:t>Période et preuve.</w:t>
            </w:r>
          </w:p>
        </w:tc>
      </w:tr>
      <w:tr>
        <w:tc>
          <w:tcPr>
            <w:tcW w:type="dxa" w:w="2551"/>
            <w:tcMar>
              <w:top w:w="60" w:type="dxa"/>
              <w:start w:w="60" w:type="dxa"/>
              <w:bottom w:w="60" w:type="dxa"/>
              <w:end w:w="60" w:type="dxa"/>
            </w:tcMar>
            <w:vAlign w:val="top"/>
          </w:tcPr>
          <w:p>
            <w:r/>
            <w:r>
              <w:rPr>
                <w:rFonts w:ascii="Aptos" w:hAnsi="Aptos"/>
                <w:sz w:val="15"/>
              </w:rPr>
              <w:t>event</w:t>
            </w:r>
          </w:p>
        </w:tc>
        <w:tc>
          <w:tcPr>
            <w:tcW w:type="dxa" w:w="2551"/>
            <w:tcMar>
              <w:top w:w="60" w:type="dxa"/>
              <w:start w:w="60" w:type="dxa"/>
              <w:bottom w:w="60" w:type="dxa"/>
              <w:end w:w="60" w:type="dxa"/>
            </w:tcMar>
            <w:vAlign w:val="top"/>
          </w:tcPr>
          <w:p>
            <w:r/>
            <w:r>
              <w:rPr>
                <w:rFonts w:ascii="Aptos" w:hAnsi="Aptos"/>
                <w:sz w:val="15"/>
              </w:rPr>
              <w:t>table d’événements</w:t>
            </w:r>
          </w:p>
        </w:tc>
        <w:tc>
          <w:tcPr>
            <w:tcW w:type="dxa" w:w="4195"/>
            <w:tcMar>
              <w:top w:w="60" w:type="dxa"/>
              <w:start w:w="60" w:type="dxa"/>
              <w:bottom w:w="60" w:type="dxa"/>
              <w:end w:w="60" w:type="dxa"/>
            </w:tcMar>
            <w:vAlign w:val="top"/>
          </w:tcPr>
          <w:p>
            <w:r/>
            <w:r>
              <w:rPr>
                <w:rFonts w:ascii="Aptos" w:hAnsi="Aptos"/>
                <w:sz w:val="15"/>
              </w:rPr>
              <w:t>Impact et source.</w:t>
            </w:r>
          </w:p>
        </w:tc>
      </w:tr>
    </w:tbl>
    <w:p>
      <w:pPr>
        <w:widowControl/>
        <w:spacing w:after="0"/>
      </w:pPr>
    </w:p>
    <w:p>
      <w:pPr>
        <w:pStyle w:val="Heading2"/>
        <w:widowControl/>
      </w:pPr>
      <w:r>
        <w:t>14.1 Service Excel / SharePoint</w:t>
      </w:r>
    </w:p>
    <w:p>
      <w:pPr>
        <w:pStyle w:val="CodeNigeria"/>
        <w:widowControl/>
        <w:shd w:fill="F4F6F7"/>
      </w:pPr>
      <w:r>
        <w:rPr>
          <w:rFonts w:ascii="Liberation Mono" w:hAnsi="Liberation Mono"/>
          <w:color w:val="1E1E1E"/>
          <w:sz w:val="15"/>
        </w:rPr>
        <w:t>Request headers:</w:t>
        <w:br/>
        <w:t xml:space="preserve">  X-Workbook-BaseName: &lt;nom de base&gt;</w:t>
        <w:br/>
        <w:t xml:space="preserve">  X-Primary-Sheet: &lt;nom de feuille d'intérêt&gt;</w:t>
        <w:br/>
        <w:t>Body:</w:t>
        <w:br/>
        <w:t xml:space="preserve">  flux binaire du fichier</w:t>
      </w:r>
    </w:p>
    <w:p>
      <w:pPr>
        <w:widowControl/>
      </w:pPr>
      <w:r>
        <w:rPr>
          <w:rFonts w:ascii="Aptos" w:hAnsi="Aptos"/>
          <w:sz w:val="19"/>
        </w:rPr>
        <w:t>Le flux provenant de SharePoint peut déjà être binaire. Ne pas appliquer automatiquement un décodage Base64. Détecter le type réel du body et rejeter proprement un format ambigu.</w:t>
      </w:r>
    </w:p>
    <w:p>
      <w:pPr>
        <w:pStyle w:val="Heading2"/>
        <w:widowControl/>
      </w:pPr>
      <w:r>
        <w:t>14.2 Sorties du service</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551"/>
            <w:shd w:fill="D9EAF2"/>
            <w:tcMar>
              <w:top w:w="70" w:type="dxa"/>
              <w:start w:w="70" w:type="dxa"/>
              <w:bottom w:w="70" w:type="dxa"/>
              <w:end w:w="70" w:type="dxa"/>
            </w:tcMar>
            <w:vAlign w:val="center"/>
          </w:tcPr>
          <w:p>
            <w:r/>
            <w:r>
              <w:rPr>
                <w:rFonts w:ascii="Aptos" w:hAnsi="Aptos"/>
                <w:b/>
                <w:color w:val="123E5E"/>
                <w:sz w:val="16"/>
              </w:rPr>
              <w:t>Onglet / objet</w:t>
            </w:r>
          </w:p>
        </w:tc>
        <w:tc>
          <w:tcPr>
            <w:tcW w:type="dxa" w:w="6746"/>
            <w:shd w:fill="D9EAF2"/>
            <w:tcMar>
              <w:top w:w="70" w:type="dxa"/>
              <w:start w:w="70" w:type="dxa"/>
              <w:bottom w:w="70" w:type="dxa"/>
              <w:end w:w="70" w:type="dxa"/>
            </w:tcMar>
            <w:vAlign w:val="center"/>
          </w:tcPr>
          <w:p>
            <w:r/>
            <w:r>
              <w:rPr>
                <w:rFonts w:ascii="Aptos" w:hAnsi="Aptos"/>
                <w:b/>
                <w:color w:val="123E5E"/>
                <w:sz w:val="16"/>
              </w:rPr>
              <w:t>Contenu</w:t>
            </w:r>
          </w:p>
        </w:tc>
      </w:tr>
      <w:tr>
        <w:tc>
          <w:tcPr>
            <w:tcW w:type="dxa" w:w="2551"/>
            <w:tcMar>
              <w:top w:w="60" w:type="dxa"/>
              <w:start w:w="60" w:type="dxa"/>
              <w:bottom w:w="60" w:type="dxa"/>
              <w:end w:w="60" w:type="dxa"/>
            </w:tcMar>
            <w:vAlign w:val="top"/>
          </w:tcPr>
          <w:p>
            <w:r/>
            <w:r>
              <w:rPr>
                <w:rFonts w:ascii="Aptos" w:hAnsi="Aptos"/>
                <w:sz w:val="16"/>
              </w:rPr>
              <w:t>Source</w:t>
            </w:r>
          </w:p>
        </w:tc>
        <w:tc>
          <w:tcPr>
            <w:tcW w:type="dxa" w:w="6746"/>
            <w:tcMar>
              <w:top w:w="60" w:type="dxa"/>
              <w:start w:w="60" w:type="dxa"/>
              <w:bottom w:w="60" w:type="dxa"/>
              <w:end w:w="60" w:type="dxa"/>
            </w:tcMar>
            <w:vAlign w:val="top"/>
          </w:tcPr>
          <w:p>
            <w:r/>
            <w:r>
              <w:rPr>
                <w:rFonts w:ascii="Aptos" w:hAnsi="Aptos"/>
                <w:sz w:val="16"/>
              </w:rPr>
              <w:t>Copie ou représentation de la feuille brute et métadonnées.</w:t>
            </w:r>
          </w:p>
        </w:tc>
      </w:tr>
      <w:tr>
        <w:tc>
          <w:tcPr>
            <w:tcW w:type="dxa" w:w="2551"/>
            <w:tcMar>
              <w:top w:w="60" w:type="dxa"/>
              <w:start w:w="60" w:type="dxa"/>
              <w:bottom w:w="60" w:type="dxa"/>
              <w:end w:w="60" w:type="dxa"/>
            </w:tcMar>
            <w:vAlign w:val="top"/>
          </w:tcPr>
          <w:p>
            <w:r/>
            <w:r>
              <w:rPr>
                <w:rFonts w:ascii="Aptos" w:hAnsi="Aptos"/>
                <w:sz w:val="16"/>
              </w:rPr>
              <w:t>Traitement</w:t>
            </w:r>
          </w:p>
        </w:tc>
        <w:tc>
          <w:tcPr>
            <w:tcW w:type="dxa" w:w="6746"/>
            <w:tcMar>
              <w:top w:w="60" w:type="dxa"/>
              <w:start w:w="60" w:type="dxa"/>
              <w:bottom w:w="60" w:type="dxa"/>
              <w:end w:w="60" w:type="dxa"/>
            </w:tcMar>
            <w:vAlign w:val="top"/>
          </w:tcPr>
          <w:p>
            <w:r/>
            <w:r>
              <w:rPr>
                <w:rFonts w:ascii="Aptos" w:hAnsi="Aptos"/>
                <w:sz w:val="16"/>
              </w:rPr>
              <w:t>Observations normalisées, une ligne par mesure/date/fonds/devise.</w:t>
            </w:r>
          </w:p>
        </w:tc>
      </w:tr>
      <w:tr>
        <w:tc>
          <w:tcPr>
            <w:tcW w:type="dxa" w:w="2551"/>
            <w:tcMar>
              <w:top w:w="60" w:type="dxa"/>
              <w:start w:w="60" w:type="dxa"/>
              <w:bottom w:w="60" w:type="dxa"/>
              <w:end w:w="60" w:type="dxa"/>
            </w:tcMar>
            <w:vAlign w:val="top"/>
          </w:tcPr>
          <w:p>
            <w:r/>
            <w:r>
              <w:rPr>
                <w:rFonts w:ascii="Aptos" w:hAnsi="Aptos"/>
                <w:sz w:val="16"/>
              </w:rPr>
              <w:t>VALO</w:t>
            </w:r>
          </w:p>
        </w:tc>
        <w:tc>
          <w:tcPr>
            <w:tcW w:type="dxa" w:w="6746"/>
            <w:tcMar>
              <w:top w:w="60" w:type="dxa"/>
              <w:start w:w="60" w:type="dxa"/>
              <w:bottom w:w="60" w:type="dxa"/>
              <w:end w:w="60" w:type="dxa"/>
            </w:tcMar>
            <w:vAlign w:val="top"/>
          </w:tcPr>
          <w:p>
            <w:r/>
            <w:r>
              <w:rPr>
                <w:rFonts w:ascii="Aptos" w:hAnsi="Aptos"/>
                <w:sz w:val="16"/>
              </w:rPr>
              <w:t>Structure détectée, dates, colonnes, règles, rejets, conflits, confiance et cellules sources.</w:t>
            </w:r>
          </w:p>
        </w:tc>
      </w:tr>
      <w:tr>
        <w:tc>
          <w:tcPr>
            <w:tcW w:type="dxa" w:w="2551"/>
            <w:tcMar>
              <w:top w:w="60" w:type="dxa"/>
              <w:start w:w="60" w:type="dxa"/>
              <w:bottom w:w="60" w:type="dxa"/>
              <w:end w:w="60" w:type="dxa"/>
            </w:tcMar>
            <w:vAlign w:val="top"/>
          </w:tcPr>
          <w:p>
            <w:r/>
            <w:r>
              <w:rPr>
                <w:rFonts w:ascii="Aptos" w:hAnsi="Aptos"/>
                <w:sz w:val="16"/>
              </w:rPr>
              <w:t>Sources</w:t>
            </w:r>
          </w:p>
        </w:tc>
        <w:tc>
          <w:tcPr>
            <w:tcW w:type="dxa" w:w="6746"/>
            <w:tcMar>
              <w:top w:w="60" w:type="dxa"/>
              <w:start w:w="60" w:type="dxa"/>
              <w:bottom w:w="60" w:type="dxa"/>
              <w:end w:w="60" w:type="dxa"/>
            </w:tcMar>
            <w:vAlign w:val="top"/>
          </w:tcPr>
          <w:p>
            <w:r/>
            <w:r>
              <w:rPr>
                <w:rFonts w:ascii="Aptos" w:hAnsi="Aptos"/>
                <w:sz w:val="16"/>
              </w:rPr>
              <w:t>Manifeste des documents et URLs.</w:t>
            </w:r>
          </w:p>
        </w:tc>
      </w:tr>
      <w:tr>
        <w:tc>
          <w:tcPr>
            <w:tcW w:type="dxa" w:w="2551"/>
            <w:tcMar>
              <w:top w:w="60" w:type="dxa"/>
              <w:start w:w="60" w:type="dxa"/>
              <w:bottom w:w="60" w:type="dxa"/>
              <w:end w:w="60" w:type="dxa"/>
            </w:tcMar>
            <w:vAlign w:val="top"/>
          </w:tcPr>
          <w:p>
            <w:r/>
            <w:r>
              <w:rPr>
                <w:rFonts w:ascii="Aptos" w:hAnsi="Aptos"/>
                <w:sz w:val="16"/>
              </w:rPr>
              <w:t>Contrôles</w:t>
            </w:r>
          </w:p>
        </w:tc>
        <w:tc>
          <w:tcPr>
            <w:tcW w:type="dxa" w:w="6746"/>
            <w:tcMar>
              <w:top w:w="60" w:type="dxa"/>
              <w:start w:w="60" w:type="dxa"/>
              <w:bottom w:w="60" w:type="dxa"/>
              <w:end w:w="60" w:type="dxa"/>
            </w:tcMar>
            <w:vAlign w:val="top"/>
          </w:tcPr>
          <w:p>
            <w:r/>
            <w:r>
              <w:rPr>
                <w:rFonts w:ascii="Aptos" w:hAnsi="Aptos"/>
                <w:sz w:val="16"/>
              </w:rPr>
              <w:t>Volumétrie, anomalies, couverture et statut.</w:t>
            </w:r>
          </w:p>
        </w:tc>
      </w:tr>
    </w:tbl>
    <w:p>
      <w:pPr>
        <w:widowControl/>
        <w:spacing w:after="0"/>
      </w:pPr>
    </w:p>
    <w:p>
      <w:pPr>
        <w:pStyle w:val="Heading2"/>
        <w:widowControl/>
      </w:pPr>
      <w:r>
        <w:t>14.3 Import idempotent</w:t>
      </w:r>
    </w:p>
    <w:p>
      <w:pPr>
        <w:pStyle w:val="CodeNigeria"/>
        <w:widowControl/>
        <w:shd w:fill="F4F6F7"/>
      </w:pPr>
      <w:r>
        <w:rPr>
          <w:rFonts w:ascii="Liberation Mono" w:hAnsi="Liberation Mono"/>
          <w:color w:val="1E1E1E"/>
          <w:sz w:val="15"/>
        </w:rPr>
        <w:t>unique ingestion identity = (source_sha256, parser_version, extraction_schema_version)</w:t>
        <w:br/>
        <w:t>canonical upsert identity = (fund_id, share_class_id, valuation_date, measure_type, currency)</w:t>
        <w:br/>
        <w:t>never delete source links during upsert</w:t>
      </w:r>
    </w:p>
    <w:p>
      <w:pPr>
        <w:pStyle w:val="ListBullet"/>
        <w:widowControl/>
        <w:ind w:left="397" w:hanging="142"/>
      </w:pPr>
      <w:r>
        <w:rPr>
          <w:rFonts w:ascii="Aptos" w:hAnsi="Aptos"/>
          <w:sz w:val="18"/>
        </w:rPr>
        <w:t>Le même fichier traité deux fois ne crée pas de doublon.</w:t>
      </w:r>
    </w:p>
    <w:p>
      <w:pPr>
        <w:pStyle w:val="ListBullet"/>
        <w:widowControl/>
        <w:ind w:left="397" w:hanging="142"/>
      </w:pPr>
      <w:r>
        <w:rPr>
          <w:rFonts w:ascii="Aptos" w:hAnsi="Aptos"/>
          <w:sz w:val="18"/>
        </w:rPr>
        <w:t>Une nouvelle version officielle est reliée par supersedes et retraitée ciblée.</w:t>
      </w:r>
    </w:p>
    <w:p>
      <w:pPr>
        <w:pStyle w:val="ListBullet"/>
        <w:widowControl/>
        <w:ind w:left="397" w:hanging="142"/>
      </w:pPr>
      <w:r>
        <w:rPr>
          <w:rFonts w:ascii="Aptos" w:hAnsi="Aptos"/>
          <w:sz w:val="18"/>
        </w:rPr>
        <w:t>Le recalcul ne concerne que les fonds/dates affectés.</w:t>
      </w:r>
    </w:p>
    <w:p>
      <w:pPr>
        <w:pStyle w:val="ListBullet"/>
        <w:widowControl/>
        <w:ind w:left="397" w:hanging="142"/>
      </w:pPr>
      <w:r>
        <w:rPr>
          <w:rFonts w:ascii="Aptos" w:hAnsi="Aptos"/>
          <w:sz w:val="18"/>
        </w:rPr>
        <w:t>Les données des autres pays ne sont jamais modifiées.</w:t>
      </w:r>
    </w:p>
    <w:p>
      <w:pPr>
        <w:pStyle w:val="ListBullet"/>
        <w:widowControl/>
        <w:ind w:left="397" w:hanging="142"/>
      </w:pPr>
      <w:r>
        <w:rPr>
          <w:rFonts w:ascii="Aptos" w:hAnsi="Aptos"/>
          <w:sz w:val="18"/>
        </w:rPr>
        <w:t>Chaque import produit un journal de contrôle et une liste de changements.</w:t>
      </w:r>
    </w:p>
    <w:p>
      <w:pPr>
        <w:pStyle w:val="ListBullet"/>
        <w:widowControl/>
        <w:ind w:left="397" w:hanging="142"/>
      </w:pPr>
      <w:r>
        <w:rPr>
          <w:rFonts w:ascii="Aptos" w:hAnsi="Aptos"/>
          <w:sz w:val="18"/>
        </w:rPr>
        <w:t>L'import peut être rejoué après rollback.</w:t>
      </w:r>
    </w:p>
    <w:p>
      <w:pPr>
        <w:pStyle w:val="Heading2"/>
        <w:widowControl/>
      </w:pPr>
      <w:r>
        <w:t>14.4 Workflow de production sans régression</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794"/>
            <w:shd w:fill="D9EAF2"/>
            <w:tcMar>
              <w:top w:w="70" w:type="dxa"/>
              <w:start w:w="70" w:type="dxa"/>
              <w:bottom w:w="70" w:type="dxa"/>
              <w:end w:w="70" w:type="dxa"/>
            </w:tcMar>
            <w:vAlign w:val="center"/>
          </w:tcPr>
          <w:p>
            <w:r/>
            <w:r>
              <w:rPr>
                <w:rFonts w:ascii="Aptos" w:hAnsi="Aptos"/>
                <w:b/>
                <w:color w:val="123E5E"/>
                <w:sz w:val="16"/>
              </w:rPr>
              <w:t>Phase</w:t>
            </w:r>
          </w:p>
        </w:tc>
        <w:tc>
          <w:tcPr>
            <w:tcW w:type="dxa" w:w="8504"/>
            <w:shd w:fill="D9EAF2"/>
            <w:tcMar>
              <w:top w:w="70" w:type="dxa"/>
              <w:start w:w="70" w:type="dxa"/>
              <w:bottom w:w="70" w:type="dxa"/>
              <w:end w:w="70" w:type="dxa"/>
            </w:tcMar>
            <w:vAlign w:val="center"/>
          </w:tcPr>
          <w:p>
            <w:r/>
            <w:r>
              <w:rPr>
                <w:rFonts w:ascii="Aptos" w:hAnsi="Aptos"/>
                <w:b/>
                <w:color w:val="123E5E"/>
                <w:sz w:val="16"/>
              </w:rPr>
              <w:t>Action</w:t>
            </w:r>
          </w:p>
        </w:tc>
      </w:tr>
      <w:tr>
        <w:tc>
          <w:tcPr>
            <w:tcW w:type="dxa" w:w="794"/>
            <w:tcMar>
              <w:top w:w="60" w:type="dxa"/>
              <w:start w:w="60" w:type="dxa"/>
              <w:bottom w:w="60" w:type="dxa"/>
              <w:end w:w="60" w:type="dxa"/>
            </w:tcMar>
            <w:vAlign w:val="top"/>
          </w:tcPr>
          <w:p>
            <w:r/>
            <w:r>
              <w:rPr>
                <w:rFonts w:ascii="Aptos" w:hAnsi="Aptos"/>
                <w:sz w:val="16"/>
              </w:rPr>
              <w:t>A</w:t>
            </w:r>
          </w:p>
        </w:tc>
        <w:tc>
          <w:tcPr>
            <w:tcW w:type="dxa" w:w="8504"/>
            <w:tcMar>
              <w:top w:w="60" w:type="dxa"/>
              <w:start w:w="60" w:type="dxa"/>
              <w:bottom w:w="60" w:type="dxa"/>
              <w:end w:w="60" w:type="dxa"/>
            </w:tcMar>
            <w:vAlign w:val="top"/>
          </w:tcPr>
          <w:p>
            <w:r/>
            <w:r>
              <w:rPr>
                <w:rFonts w:ascii="Aptos" w:hAnsi="Aptos"/>
                <w:sz w:val="16"/>
              </w:rPr>
              <w:t>Audit en lecture seule : code, branche, fichiers non suivis, base, services et volumes.</w:t>
            </w:r>
          </w:p>
        </w:tc>
      </w:tr>
      <w:tr>
        <w:tc>
          <w:tcPr>
            <w:tcW w:type="dxa" w:w="794"/>
            <w:tcMar>
              <w:top w:w="60" w:type="dxa"/>
              <w:start w:w="60" w:type="dxa"/>
              <w:bottom w:w="60" w:type="dxa"/>
              <w:end w:w="60" w:type="dxa"/>
            </w:tcMar>
            <w:vAlign w:val="top"/>
          </w:tcPr>
          <w:p>
            <w:r/>
            <w:r>
              <w:rPr>
                <w:rFonts w:ascii="Aptos" w:hAnsi="Aptos"/>
                <w:sz w:val="16"/>
              </w:rPr>
              <w:t>B</w:t>
            </w:r>
          </w:p>
        </w:tc>
        <w:tc>
          <w:tcPr>
            <w:tcW w:type="dxa" w:w="8504"/>
            <w:tcMar>
              <w:top w:w="60" w:type="dxa"/>
              <w:start w:w="60" w:type="dxa"/>
              <w:bottom w:w="60" w:type="dxa"/>
              <w:end w:w="60" w:type="dxa"/>
            </w:tcMar>
            <w:vAlign w:val="top"/>
          </w:tcPr>
          <w:p>
            <w:r/>
            <w:r>
              <w:rPr>
                <w:rFonts w:ascii="Aptos" w:hAnsi="Aptos"/>
                <w:sz w:val="16"/>
              </w:rPr>
              <w:t>Lire les documents de gouvernance et l’état de reprise.</w:t>
            </w:r>
          </w:p>
        </w:tc>
      </w:tr>
      <w:tr>
        <w:tc>
          <w:tcPr>
            <w:tcW w:type="dxa" w:w="794"/>
            <w:tcMar>
              <w:top w:w="60" w:type="dxa"/>
              <w:start w:w="60" w:type="dxa"/>
              <w:bottom w:w="60" w:type="dxa"/>
              <w:end w:w="60" w:type="dxa"/>
            </w:tcMar>
            <w:vAlign w:val="top"/>
          </w:tcPr>
          <w:p>
            <w:r/>
            <w:r>
              <w:rPr>
                <w:rFonts w:ascii="Aptos" w:hAnsi="Aptos"/>
                <w:sz w:val="16"/>
              </w:rPr>
              <w:t>C</w:t>
            </w:r>
          </w:p>
        </w:tc>
        <w:tc>
          <w:tcPr>
            <w:tcW w:type="dxa" w:w="8504"/>
            <w:tcMar>
              <w:top w:w="60" w:type="dxa"/>
              <w:start w:w="60" w:type="dxa"/>
              <w:bottom w:w="60" w:type="dxa"/>
              <w:end w:w="60" w:type="dxa"/>
            </w:tcMar>
            <w:vAlign w:val="top"/>
          </w:tcPr>
          <w:p>
            <w:r/>
            <w:r>
              <w:rPr>
                <w:rFonts w:ascii="Aptos" w:hAnsi="Aptos"/>
                <w:sz w:val="16"/>
              </w:rPr>
              <w:t>Sauvegarde ciblée horodatée des tables Nigeria affectées.</w:t>
            </w:r>
          </w:p>
        </w:tc>
      </w:tr>
      <w:tr>
        <w:tc>
          <w:tcPr>
            <w:tcW w:type="dxa" w:w="794"/>
            <w:tcMar>
              <w:top w:w="60" w:type="dxa"/>
              <w:start w:w="60" w:type="dxa"/>
              <w:bottom w:w="60" w:type="dxa"/>
              <w:end w:w="60" w:type="dxa"/>
            </w:tcMar>
            <w:vAlign w:val="top"/>
          </w:tcPr>
          <w:p>
            <w:r/>
            <w:r>
              <w:rPr>
                <w:rFonts w:ascii="Aptos" w:hAnsi="Aptos"/>
                <w:sz w:val="16"/>
              </w:rPr>
              <w:t>D</w:t>
            </w:r>
          </w:p>
        </w:tc>
        <w:tc>
          <w:tcPr>
            <w:tcW w:type="dxa" w:w="8504"/>
            <w:tcMar>
              <w:top w:w="60" w:type="dxa"/>
              <w:start w:w="60" w:type="dxa"/>
              <w:bottom w:w="60" w:type="dxa"/>
              <w:end w:w="60" w:type="dxa"/>
            </w:tcMar>
            <w:vAlign w:val="top"/>
          </w:tcPr>
          <w:p>
            <w:r/>
            <w:r>
              <w:rPr>
                <w:rFonts w:ascii="Aptos" w:hAnsi="Aptos"/>
                <w:sz w:val="16"/>
              </w:rPr>
              <w:t>Dry-run complet et export du diff.</w:t>
            </w:r>
          </w:p>
        </w:tc>
      </w:tr>
      <w:tr>
        <w:tc>
          <w:tcPr>
            <w:tcW w:type="dxa" w:w="794"/>
            <w:tcMar>
              <w:top w:w="60" w:type="dxa"/>
              <w:start w:w="60" w:type="dxa"/>
              <w:bottom w:w="60" w:type="dxa"/>
              <w:end w:w="60" w:type="dxa"/>
            </w:tcMar>
            <w:vAlign w:val="top"/>
          </w:tcPr>
          <w:p>
            <w:r/>
            <w:r>
              <w:rPr>
                <w:rFonts w:ascii="Aptos" w:hAnsi="Aptos"/>
                <w:sz w:val="16"/>
              </w:rPr>
              <w:t>E</w:t>
            </w:r>
          </w:p>
        </w:tc>
        <w:tc>
          <w:tcPr>
            <w:tcW w:type="dxa" w:w="8504"/>
            <w:tcMar>
              <w:top w:w="60" w:type="dxa"/>
              <w:start w:w="60" w:type="dxa"/>
              <w:bottom w:w="60" w:type="dxa"/>
              <w:end w:w="60" w:type="dxa"/>
            </w:tcMar>
            <w:vAlign w:val="top"/>
          </w:tcPr>
          <w:p>
            <w:r/>
            <w:r>
              <w:rPr>
                <w:rFonts w:ascii="Aptos" w:hAnsi="Aptos"/>
                <w:sz w:val="16"/>
              </w:rPr>
              <w:t>Validation humaine du plan de correction.</w:t>
            </w:r>
          </w:p>
        </w:tc>
      </w:tr>
      <w:tr>
        <w:tc>
          <w:tcPr>
            <w:tcW w:type="dxa" w:w="794"/>
            <w:tcMar>
              <w:top w:w="60" w:type="dxa"/>
              <w:start w:w="60" w:type="dxa"/>
              <w:bottom w:w="60" w:type="dxa"/>
              <w:end w:w="60" w:type="dxa"/>
            </w:tcMar>
            <w:vAlign w:val="top"/>
          </w:tcPr>
          <w:p>
            <w:r/>
            <w:r>
              <w:rPr>
                <w:rFonts w:ascii="Aptos" w:hAnsi="Aptos"/>
                <w:sz w:val="16"/>
              </w:rPr>
              <w:t>F</w:t>
            </w:r>
          </w:p>
        </w:tc>
        <w:tc>
          <w:tcPr>
            <w:tcW w:type="dxa" w:w="8504"/>
            <w:tcMar>
              <w:top w:w="60" w:type="dxa"/>
              <w:start w:w="60" w:type="dxa"/>
              <w:bottom w:w="60" w:type="dxa"/>
              <w:end w:w="60" w:type="dxa"/>
            </w:tcMar>
            <w:vAlign w:val="top"/>
          </w:tcPr>
          <w:p>
            <w:r/>
            <w:r>
              <w:rPr>
                <w:rFonts w:ascii="Aptos" w:hAnsi="Aptos"/>
                <w:sz w:val="16"/>
              </w:rPr>
              <w:t>Migration additive/idempotente si nécessaire.</w:t>
            </w:r>
          </w:p>
        </w:tc>
      </w:tr>
      <w:tr>
        <w:tc>
          <w:tcPr>
            <w:tcW w:type="dxa" w:w="794"/>
            <w:tcMar>
              <w:top w:w="60" w:type="dxa"/>
              <w:start w:w="60" w:type="dxa"/>
              <w:bottom w:w="60" w:type="dxa"/>
              <w:end w:w="60" w:type="dxa"/>
            </w:tcMar>
            <w:vAlign w:val="top"/>
          </w:tcPr>
          <w:p>
            <w:r/>
            <w:r>
              <w:rPr>
                <w:rFonts w:ascii="Aptos" w:hAnsi="Aptos"/>
                <w:sz w:val="16"/>
              </w:rPr>
              <w:t>G</w:t>
            </w:r>
          </w:p>
        </w:tc>
        <w:tc>
          <w:tcPr>
            <w:tcW w:type="dxa" w:w="8504"/>
            <w:tcMar>
              <w:top w:w="60" w:type="dxa"/>
              <w:start w:w="60" w:type="dxa"/>
              <w:bottom w:w="60" w:type="dxa"/>
              <w:end w:w="60" w:type="dxa"/>
            </w:tcMar>
            <w:vAlign w:val="top"/>
          </w:tcPr>
          <w:p>
            <w:r/>
            <w:r>
              <w:rPr>
                <w:rFonts w:ascii="Aptos" w:hAnsi="Aptos"/>
                <w:sz w:val="16"/>
              </w:rPr>
              <w:t>Écriture limitée au Nigeria et aux clés validées.</w:t>
            </w:r>
          </w:p>
        </w:tc>
      </w:tr>
      <w:tr>
        <w:tc>
          <w:tcPr>
            <w:tcW w:type="dxa" w:w="794"/>
            <w:tcMar>
              <w:top w:w="60" w:type="dxa"/>
              <w:start w:w="60" w:type="dxa"/>
              <w:bottom w:w="60" w:type="dxa"/>
              <w:end w:w="60" w:type="dxa"/>
            </w:tcMar>
            <w:vAlign w:val="top"/>
          </w:tcPr>
          <w:p>
            <w:r/>
            <w:r>
              <w:rPr>
                <w:rFonts w:ascii="Aptos" w:hAnsi="Aptos"/>
                <w:sz w:val="16"/>
              </w:rPr>
              <w:t>H</w:t>
            </w:r>
          </w:p>
        </w:tc>
        <w:tc>
          <w:tcPr>
            <w:tcW w:type="dxa" w:w="8504"/>
            <w:tcMar>
              <w:top w:w="60" w:type="dxa"/>
              <w:start w:w="60" w:type="dxa"/>
              <w:bottom w:w="60" w:type="dxa"/>
              <w:end w:w="60" w:type="dxa"/>
            </w:tcMar>
            <w:vAlign w:val="top"/>
          </w:tcPr>
          <w:p>
            <w:r/>
            <w:r>
              <w:rPr>
                <w:rFonts w:ascii="Aptos" w:hAnsi="Aptos"/>
                <w:sz w:val="16"/>
              </w:rPr>
              <w:t>Tests base/API/frontend/workers.</w:t>
            </w:r>
          </w:p>
        </w:tc>
      </w:tr>
      <w:tr>
        <w:tc>
          <w:tcPr>
            <w:tcW w:type="dxa" w:w="794"/>
            <w:tcMar>
              <w:top w:w="60" w:type="dxa"/>
              <w:start w:w="60" w:type="dxa"/>
              <w:bottom w:w="60" w:type="dxa"/>
              <w:end w:w="60" w:type="dxa"/>
            </w:tcMar>
            <w:vAlign w:val="top"/>
          </w:tcPr>
          <w:p>
            <w:r/>
            <w:r>
              <w:rPr>
                <w:rFonts w:ascii="Aptos" w:hAnsi="Aptos"/>
                <w:sz w:val="16"/>
              </w:rPr>
              <w:t>I</w:t>
            </w:r>
          </w:p>
        </w:tc>
        <w:tc>
          <w:tcPr>
            <w:tcW w:type="dxa" w:w="8504"/>
            <w:tcMar>
              <w:top w:w="60" w:type="dxa"/>
              <w:start w:w="60" w:type="dxa"/>
              <w:bottom w:w="60" w:type="dxa"/>
              <w:end w:w="60" w:type="dxa"/>
            </w:tcMar>
            <w:vAlign w:val="top"/>
          </w:tcPr>
          <w:p>
            <w:r/>
            <w:r>
              <w:rPr>
                <w:rFonts w:ascii="Aptos" w:hAnsi="Aptos"/>
                <w:sz w:val="16"/>
              </w:rPr>
              <w:t>Contrôle de volumétrie, échantillons et autres pays intacts.</w:t>
            </w:r>
          </w:p>
        </w:tc>
      </w:tr>
      <w:tr>
        <w:tc>
          <w:tcPr>
            <w:tcW w:type="dxa" w:w="794"/>
            <w:tcMar>
              <w:top w:w="60" w:type="dxa"/>
              <w:start w:w="60" w:type="dxa"/>
              <w:bottom w:w="60" w:type="dxa"/>
              <w:end w:w="60" w:type="dxa"/>
            </w:tcMar>
            <w:vAlign w:val="top"/>
          </w:tcPr>
          <w:p>
            <w:r/>
            <w:r>
              <w:rPr>
                <w:rFonts w:ascii="Aptos" w:hAnsi="Aptos"/>
                <w:sz w:val="16"/>
              </w:rPr>
              <w:t>J</w:t>
            </w:r>
          </w:p>
        </w:tc>
        <w:tc>
          <w:tcPr>
            <w:tcW w:type="dxa" w:w="8504"/>
            <w:tcMar>
              <w:top w:w="60" w:type="dxa"/>
              <w:start w:w="60" w:type="dxa"/>
              <w:bottom w:w="60" w:type="dxa"/>
              <w:end w:w="60" w:type="dxa"/>
            </w:tcMar>
            <w:vAlign w:val="top"/>
          </w:tcPr>
          <w:p>
            <w:r/>
            <w:r>
              <w:rPr>
                <w:rFonts w:ascii="Aptos" w:hAnsi="Aptos"/>
                <w:sz w:val="16"/>
              </w:rPr>
              <w:t>Déploiement contrôlé et monitoring.</w:t>
            </w:r>
          </w:p>
        </w:tc>
      </w:tr>
      <w:tr>
        <w:tc>
          <w:tcPr>
            <w:tcW w:type="dxa" w:w="794"/>
            <w:tcMar>
              <w:top w:w="60" w:type="dxa"/>
              <w:start w:w="60" w:type="dxa"/>
              <w:bottom w:w="60" w:type="dxa"/>
              <w:end w:w="60" w:type="dxa"/>
            </w:tcMar>
            <w:vAlign w:val="top"/>
          </w:tcPr>
          <w:p>
            <w:r/>
            <w:r>
              <w:rPr>
                <w:rFonts w:ascii="Aptos" w:hAnsi="Aptos"/>
                <w:sz w:val="16"/>
              </w:rPr>
              <w:t>K</w:t>
            </w:r>
          </w:p>
        </w:tc>
        <w:tc>
          <w:tcPr>
            <w:tcW w:type="dxa" w:w="8504"/>
            <w:tcMar>
              <w:top w:w="60" w:type="dxa"/>
              <w:start w:w="60" w:type="dxa"/>
              <w:bottom w:w="60" w:type="dxa"/>
              <w:end w:w="60" w:type="dxa"/>
            </w:tcMar>
            <w:vAlign w:val="top"/>
          </w:tcPr>
          <w:p>
            <w:r/>
            <w:r>
              <w:rPr>
                <w:rFonts w:ascii="Aptos" w:hAnsi="Aptos"/>
                <w:sz w:val="16"/>
              </w:rPr>
              <w:t>Validation humaine finale.</w:t>
            </w:r>
          </w:p>
        </w:tc>
      </w:tr>
      <w:tr>
        <w:tc>
          <w:tcPr>
            <w:tcW w:type="dxa" w:w="794"/>
            <w:tcMar>
              <w:top w:w="60" w:type="dxa"/>
              <w:start w:w="60" w:type="dxa"/>
              <w:bottom w:w="60" w:type="dxa"/>
              <w:end w:w="60" w:type="dxa"/>
            </w:tcMar>
            <w:vAlign w:val="top"/>
          </w:tcPr>
          <w:p>
            <w:r/>
            <w:r>
              <w:rPr>
                <w:rFonts w:ascii="Aptos" w:hAnsi="Aptos"/>
                <w:sz w:val="16"/>
              </w:rPr>
              <w:t>L</w:t>
            </w:r>
          </w:p>
        </w:tc>
        <w:tc>
          <w:tcPr>
            <w:tcW w:type="dxa" w:w="8504"/>
            <w:tcMar>
              <w:top w:w="60" w:type="dxa"/>
              <w:start w:w="60" w:type="dxa"/>
              <w:bottom w:w="60" w:type="dxa"/>
              <w:end w:w="60" w:type="dxa"/>
            </w:tcMar>
            <w:vAlign w:val="top"/>
          </w:tcPr>
          <w:p>
            <w:r/>
            <w:r>
              <w:rPr>
                <w:rFonts w:ascii="Aptos" w:hAnsi="Aptos"/>
                <w:sz w:val="16"/>
              </w:rPr>
              <w:t>Commit/push selon gouvernance en place ; aucune branche créée par défaut.</w:t>
            </w:r>
          </w:p>
        </w:tc>
      </w:tr>
    </w:tbl>
    <w:p>
      <w:pPr>
        <w:widowControl/>
        <w:spacing w:after="0"/>
      </w:pPr>
    </w:p>
    <w:p>
      <w:pPr>
        <w:pStyle w:val="Heading2"/>
        <w:widowControl/>
      </w:pPr>
      <w:r>
        <w:t>14.5 Rollback</w:t>
      </w:r>
    </w:p>
    <w:p>
      <w:pPr>
        <w:pStyle w:val="ListBullet"/>
        <w:widowControl/>
        <w:ind w:left="397" w:hanging="142"/>
      </w:pPr>
      <w:r>
        <w:rPr>
          <w:rFonts w:ascii="Aptos" w:hAnsi="Aptos"/>
          <w:sz w:val="18"/>
        </w:rPr>
        <w:t>Sauvegarde des lignes avant modification, avec clés primaires et timestamps.</w:t>
      </w:r>
    </w:p>
    <w:p>
      <w:pPr>
        <w:pStyle w:val="ListBullet"/>
        <w:widowControl/>
        <w:ind w:left="397" w:hanging="142"/>
      </w:pPr>
      <w:r>
        <w:rPr>
          <w:rFonts w:ascii="Aptos" w:hAnsi="Aptos"/>
          <w:sz w:val="18"/>
        </w:rPr>
        <w:t>Script inverse testé sur environnement de staging ou transaction contrôlée.</w:t>
      </w:r>
    </w:p>
    <w:p>
      <w:pPr>
        <w:pStyle w:val="ListBullet"/>
        <w:widowControl/>
        <w:ind w:left="397" w:hanging="142"/>
      </w:pPr>
      <w:r>
        <w:rPr>
          <w:rFonts w:ascii="Aptos" w:hAnsi="Aptos"/>
          <w:sz w:val="18"/>
        </w:rPr>
        <w:t>Possibilité de désactiver la nouvelle vue sans supprimer les données source.</w:t>
      </w:r>
    </w:p>
    <w:p>
      <w:pPr>
        <w:pStyle w:val="ListBullet"/>
        <w:widowControl/>
        <w:ind w:left="397" w:hanging="142"/>
      </w:pPr>
      <w:r>
        <w:rPr>
          <w:rFonts w:ascii="Aptos" w:hAnsi="Aptos"/>
          <w:sz w:val="18"/>
        </w:rPr>
        <w:t>Aucun rollback par reset Git destructif.</w:t>
      </w:r>
    </w:p>
    <w:p>
      <w:pPr>
        <w:pStyle w:val="ListBullet"/>
        <w:widowControl/>
        <w:ind w:left="397" w:hanging="142"/>
      </w:pPr>
      <w:r>
        <w:rPr>
          <w:rFonts w:ascii="Aptos" w:hAnsi="Aptos"/>
          <w:sz w:val="18"/>
        </w:rPr>
        <w:t>Après rollback, vérifier volumes, dates et API.</w:t>
      </w:r>
    </w:p>
    <w:p>
      <w:pPr>
        <w:pStyle w:val="ListBullet"/>
        <w:widowControl/>
        <w:ind w:left="397" w:hanging="142"/>
      </w:pPr>
      <w:r>
        <w:rPr>
          <w:rFonts w:ascii="Aptos" w:hAnsi="Aptos"/>
          <w:sz w:val="18"/>
        </w:rPr>
        <w:t>Conserver les logs et les rapports de l’échec.</w:t>
      </w:r>
    </w:p>
    <w:p>
      <w:pPr>
        <w:widowControl/>
      </w:pPr>
      <w:r>
        <w:br w:type="page"/>
      </w:r>
    </w:p>
    <w:p>
      <w:pPr>
        <w:widowControl/>
        <w:jc w:val="center"/>
      </w:pPr>
      <w:r>
        <w:rPr>
          <w:rFonts w:ascii="Aptos Display" w:hAnsi="Aptos Display"/>
          <w:b/>
          <w:color w:val="123E5E"/>
          <w:sz w:val="44"/>
        </w:rPr>
        <w:t>PARTIE XV — BENCHMARKS, DEVISES ET DONNÉES ANALYTIQUES AUXILIAIRES</w:t>
      </w:r>
    </w:p>
    <w:p>
      <w:pPr>
        <w:widowControl/>
        <w:jc w:val="center"/>
      </w:pPr>
      <w:r>
        <w:rPr>
          <w:rFonts w:ascii="Aptos" w:hAnsi="Aptos"/>
          <w:i/>
          <w:color w:val="505050"/>
          <w:sz w:val="22"/>
        </w:rPr>
        <w:t>Calculer seulement lorsque les séries de référence sont identifiées</w:t>
      </w:r>
    </w:p>
    <w:p>
      <w:pPr>
        <w:widowControl/>
      </w:pPr>
    </w:p>
    <w:p>
      <w:pPr>
        <w:pStyle w:val="Heading1"/>
        <w:widowControl/>
      </w:pPr>
      <w:r>
        <w:t>15. Sources auxiliaires recommandées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438"/>
            <w:shd w:fill="D9EAF2"/>
            <w:tcMar>
              <w:top w:w="70" w:type="dxa"/>
              <w:start w:w="70" w:type="dxa"/>
              <w:bottom w:w="70" w:type="dxa"/>
              <w:end w:w="70" w:type="dxa"/>
            </w:tcMar>
            <w:vAlign w:val="center"/>
          </w:tcPr>
          <w:p>
            <w:r/>
            <w:r>
              <w:rPr>
                <w:rFonts w:ascii="Aptos" w:hAnsi="Aptos"/>
                <w:b/>
                <w:color w:val="123E5E"/>
                <w:sz w:val="15"/>
              </w:rPr>
              <w:t>Besoin</w:t>
            </w:r>
          </w:p>
        </w:tc>
        <w:tc>
          <w:tcPr>
            <w:tcW w:type="dxa" w:w="3005"/>
            <w:shd w:fill="D9EAF2"/>
            <w:tcMar>
              <w:top w:w="70" w:type="dxa"/>
              <w:start w:w="70" w:type="dxa"/>
              <w:bottom w:w="70" w:type="dxa"/>
              <w:end w:w="70" w:type="dxa"/>
            </w:tcMar>
            <w:vAlign w:val="center"/>
          </w:tcPr>
          <w:p>
            <w:r/>
            <w:r>
              <w:rPr>
                <w:rFonts w:ascii="Aptos" w:hAnsi="Aptos"/>
                <w:b/>
                <w:color w:val="123E5E"/>
                <w:sz w:val="15"/>
              </w:rPr>
              <w:t>Source primaire</w:t>
            </w:r>
          </w:p>
        </w:tc>
        <w:tc>
          <w:tcPr>
            <w:tcW w:type="dxa" w:w="3855"/>
            <w:shd w:fill="D9EAF2"/>
            <w:tcMar>
              <w:top w:w="70" w:type="dxa"/>
              <w:start w:w="70" w:type="dxa"/>
              <w:bottom w:w="70" w:type="dxa"/>
              <w:end w:w="70" w:type="dxa"/>
            </w:tcMar>
            <w:vAlign w:val="center"/>
          </w:tcPr>
          <w:p>
            <w:r/>
            <w:r>
              <w:rPr>
                <w:rFonts w:ascii="Aptos" w:hAnsi="Aptos"/>
                <w:b/>
                <w:color w:val="123E5E"/>
                <w:sz w:val="15"/>
              </w:rPr>
              <w:t>Donnée</w:t>
            </w:r>
          </w:p>
        </w:tc>
      </w:tr>
      <w:tr>
        <w:tc>
          <w:tcPr>
            <w:tcW w:type="dxa" w:w="2438"/>
            <w:tcMar>
              <w:top w:w="60" w:type="dxa"/>
              <w:start w:w="60" w:type="dxa"/>
              <w:bottom w:w="60" w:type="dxa"/>
              <w:end w:w="60" w:type="dxa"/>
            </w:tcMar>
            <w:vAlign w:val="top"/>
          </w:tcPr>
          <w:p>
            <w:r/>
            <w:r>
              <w:rPr>
                <w:rFonts w:ascii="Aptos" w:hAnsi="Aptos"/>
                <w:sz w:val="15"/>
              </w:rPr>
              <w:t>Taux de change</w:t>
            </w:r>
          </w:p>
        </w:tc>
        <w:tc>
          <w:tcPr>
            <w:tcW w:type="dxa" w:w="3005"/>
            <w:tcMar>
              <w:top w:w="60" w:type="dxa"/>
              <w:start w:w="60" w:type="dxa"/>
              <w:bottom w:w="60" w:type="dxa"/>
              <w:end w:w="60" w:type="dxa"/>
            </w:tcMar>
            <w:vAlign w:val="top"/>
          </w:tcPr>
          <w:p>
            <w:r/>
            <w:r>
              <w:rPr>
                <w:rFonts w:ascii="Aptos" w:hAnsi="Aptos"/>
                <w:sz w:val="15"/>
              </w:rPr>
              <w:t>CBN / NFEM</w:t>
            </w:r>
          </w:p>
        </w:tc>
        <w:tc>
          <w:tcPr>
            <w:tcW w:type="dxa" w:w="3855"/>
            <w:tcMar>
              <w:top w:w="60" w:type="dxa"/>
              <w:start w:w="60" w:type="dxa"/>
              <w:bottom w:w="60" w:type="dxa"/>
              <w:end w:w="60" w:type="dxa"/>
            </w:tcMar>
            <w:vAlign w:val="top"/>
          </w:tcPr>
          <w:p>
            <w:r/>
            <w:r>
              <w:rPr>
                <w:rFonts w:ascii="Aptos" w:hAnsi="Aptos"/>
                <w:sz w:val="15"/>
              </w:rPr>
              <w:t>Taux quotidien NGN/USD et statistiques FX.</w:t>
            </w:r>
          </w:p>
        </w:tc>
      </w:tr>
      <w:tr>
        <w:tc>
          <w:tcPr>
            <w:tcW w:type="dxa" w:w="2438"/>
            <w:tcMar>
              <w:top w:w="60" w:type="dxa"/>
              <w:start w:w="60" w:type="dxa"/>
              <w:bottom w:w="60" w:type="dxa"/>
              <w:end w:w="60" w:type="dxa"/>
            </w:tcMar>
            <w:vAlign w:val="top"/>
          </w:tcPr>
          <w:p>
            <w:r/>
            <w:r>
              <w:rPr>
                <w:rFonts w:ascii="Aptos" w:hAnsi="Aptos"/>
                <w:sz w:val="15"/>
              </w:rPr>
              <w:t>Monétaire court terme</w:t>
            </w:r>
          </w:p>
        </w:tc>
        <w:tc>
          <w:tcPr>
            <w:tcW w:type="dxa" w:w="3005"/>
            <w:tcMar>
              <w:top w:w="60" w:type="dxa"/>
              <w:start w:w="60" w:type="dxa"/>
              <w:bottom w:w="60" w:type="dxa"/>
              <w:end w:w="60" w:type="dxa"/>
            </w:tcMar>
            <w:vAlign w:val="top"/>
          </w:tcPr>
          <w:p>
            <w:r/>
            <w:r>
              <w:rPr>
                <w:rFonts w:ascii="Aptos" w:hAnsi="Aptos"/>
                <w:sz w:val="15"/>
              </w:rPr>
              <w:t>FMDQ NIBOR / NITTY, CBN</w:t>
            </w:r>
          </w:p>
        </w:tc>
        <w:tc>
          <w:tcPr>
            <w:tcW w:type="dxa" w:w="3855"/>
            <w:tcMar>
              <w:top w:w="60" w:type="dxa"/>
              <w:start w:w="60" w:type="dxa"/>
              <w:bottom w:w="60" w:type="dxa"/>
              <w:end w:w="60" w:type="dxa"/>
            </w:tcMar>
            <w:vAlign w:val="top"/>
          </w:tcPr>
          <w:p>
            <w:r/>
            <w:r>
              <w:rPr>
                <w:rFonts w:ascii="Aptos" w:hAnsi="Aptos"/>
                <w:sz w:val="15"/>
              </w:rPr>
              <w:t>Taux interbancaires et T-bills.</w:t>
            </w:r>
          </w:p>
        </w:tc>
      </w:tr>
      <w:tr>
        <w:tc>
          <w:tcPr>
            <w:tcW w:type="dxa" w:w="2438"/>
            <w:tcMar>
              <w:top w:w="60" w:type="dxa"/>
              <w:start w:w="60" w:type="dxa"/>
              <w:bottom w:w="60" w:type="dxa"/>
              <w:end w:w="60" w:type="dxa"/>
            </w:tcMar>
            <w:vAlign w:val="top"/>
          </w:tcPr>
          <w:p>
            <w:r/>
            <w:r>
              <w:rPr>
                <w:rFonts w:ascii="Aptos" w:hAnsi="Aptos"/>
                <w:sz w:val="15"/>
              </w:rPr>
              <w:t>Obligataire souverain</w:t>
            </w:r>
          </w:p>
        </w:tc>
        <w:tc>
          <w:tcPr>
            <w:tcW w:type="dxa" w:w="3005"/>
            <w:tcMar>
              <w:top w:w="60" w:type="dxa"/>
              <w:start w:w="60" w:type="dxa"/>
              <w:bottom w:w="60" w:type="dxa"/>
              <w:end w:w="60" w:type="dxa"/>
            </w:tcMar>
            <w:vAlign w:val="top"/>
          </w:tcPr>
          <w:p>
            <w:r/>
            <w:r>
              <w:rPr>
                <w:rFonts w:ascii="Aptos" w:hAnsi="Aptos"/>
                <w:sz w:val="15"/>
              </w:rPr>
              <w:t>DMO + FMDQ</w:t>
            </w:r>
          </w:p>
        </w:tc>
        <w:tc>
          <w:tcPr>
            <w:tcW w:type="dxa" w:w="3855"/>
            <w:tcMar>
              <w:top w:w="60" w:type="dxa"/>
              <w:start w:w="60" w:type="dxa"/>
              <w:bottom w:w="60" w:type="dxa"/>
              <w:end w:w="60" w:type="dxa"/>
            </w:tcMar>
            <w:vAlign w:val="top"/>
          </w:tcPr>
          <w:p>
            <w:r/>
            <w:r>
              <w:rPr>
                <w:rFonts w:ascii="Aptos" w:hAnsi="Aptos"/>
                <w:sz w:val="15"/>
              </w:rPr>
              <w:t>Adjudications, rendements et prix.</w:t>
            </w:r>
          </w:p>
        </w:tc>
      </w:tr>
      <w:tr>
        <w:tc>
          <w:tcPr>
            <w:tcW w:type="dxa" w:w="2438"/>
            <w:tcMar>
              <w:top w:w="60" w:type="dxa"/>
              <w:start w:w="60" w:type="dxa"/>
              <w:bottom w:w="60" w:type="dxa"/>
              <w:end w:w="60" w:type="dxa"/>
            </w:tcMar>
            <w:vAlign w:val="top"/>
          </w:tcPr>
          <w:p>
            <w:r/>
            <w:r>
              <w:rPr>
                <w:rFonts w:ascii="Aptos" w:hAnsi="Aptos"/>
                <w:sz w:val="15"/>
              </w:rPr>
              <w:t>Indices actions / ETF</w:t>
            </w:r>
          </w:p>
        </w:tc>
        <w:tc>
          <w:tcPr>
            <w:tcW w:type="dxa" w:w="3005"/>
            <w:tcMar>
              <w:top w:w="60" w:type="dxa"/>
              <w:start w:w="60" w:type="dxa"/>
              <w:bottom w:w="60" w:type="dxa"/>
              <w:end w:w="60" w:type="dxa"/>
            </w:tcMar>
            <w:vAlign w:val="top"/>
          </w:tcPr>
          <w:p>
            <w:r/>
            <w:r>
              <w:rPr>
                <w:rFonts w:ascii="Aptos" w:hAnsi="Aptos"/>
                <w:sz w:val="15"/>
              </w:rPr>
              <w:t>NGX</w:t>
            </w:r>
          </w:p>
        </w:tc>
        <w:tc>
          <w:tcPr>
            <w:tcW w:type="dxa" w:w="3855"/>
            <w:tcMar>
              <w:top w:w="60" w:type="dxa"/>
              <w:start w:w="60" w:type="dxa"/>
              <w:bottom w:w="60" w:type="dxa"/>
              <w:end w:w="60" w:type="dxa"/>
            </w:tcMar>
            <w:vAlign w:val="top"/>
          </w:tcPr>
          <w:p>
            <w:r/>
            <w:r>
              <w:rPr>
                <w:rFonts w:ascii="Aptos" w:hAnsi="Aptos"/>
                <w:sz w:val="15"/>
              </w:rPr>
              <w:t>Indices et cours officiels.</w:t>
            </w:r>
          </w:p>
        </w:tc>
      </w:tr>
      <w:tr>
        <w:tc>
          <w:tcPr>
            <w:tcW w:type="dxa" w:w="2438"/>
            <w:tcMar>
              <w:top w:w="60" w:type="dxa"/>
              <w:start w:w="60" w:type="dxa"/>
              <w:bottom w:w="60" w:type="dxa"/>
              <w:end w:w="60" w:type="dxa"/>
            </w:tcMar>
            <w:vAlign w:val="top"/>
          </w:tcPr>
          <w:p>
            <w:r/>
            <w:r>
              <w:rPr>
                <w:rFonts w:ascii="Aptos" w:hAnsi="Aptos"/>
                <w:sz w:val="15"/>
              </w:rPr>
              <w:t>Inflation</w:t>
            </w:r>
          </w:p>
        </w:tc>
        <w:tc>
          <w:tcPr>
            <w:tcW w:type="dxa" w:w="3005"/>
            <w:tcMar>
              <w:top w:w="60" w:type="dxa"/>
              <w:start w:w="60" w:type="dxa"/>
              <w:bottom w:w="60" w:type="dxa"/>
              <w:end w:w="60" w:type="dxa"/>
            </w:tcMar>
            <w:vAlign w:val="top"/>
          </w:tcPr>
          <w:p>
            <w:r/>
            <w:r>
              <w:rPr>
                <w:rFonts w:ascii="Aptos" w:hAnsi="Aptos"/>
                <w:sz w:val="15"/>
              </w:rPr>
              <w:t>NBS</w:t>
            </w:r>
          </w:p>
        </w:tc>
        <w:tc>
          <w:tcPr>
            <w:tcW w:type="dxa" w:w="3855"/>
            <w:tcMar>
              <w:top w:w="60" w:type="dxa"/>
              <w:start w:w="60" w:type="dxa"/>
              <w:bottom w:w="60" w:type="dxa"/>
              <w:end w:w="60" w:type="dxa"/>
            </w:tcMar>
            <w:vAlign w:val="top"/>
          </w:tcPr>
          <w:p>
            <w:r/>
            <w:r>
              <w:rPr>
                <w:rFonts w:ascii="Aptos" w:hAnsi="Aptos"/>
                <w:sz w:val="15"/>
              </w:rPr>
              <w:t>CPI et base de l’indice.</w:t>
            </w:r>
          </w:p>
        </w:tc>
      </w:tr>
      <w:tr>
        <w:tc>
          <w:tcPr>
            <w:tcW w:type="dxa" w:w="2438"/>
            <w:tcMar>
              <w:top w:w="60" w:type="dxa"/>
              <w:start w:w="60" w:type="dxa"/>
              <w:bottom w:w="60" w:type="dxa"/>
              <w:end w:w="60" w:type="dxa"/>
            </w:tcMar>
            <w:vAlign w:val="top"/>
          </w:tcPr>
          <w:p>
            <w:r/>
            <w:r>
              <w:rPr>
                <w:rFonts w:ascii="Aptos" w:hAnsi="Aptos"/>
                <w:sz w:val="15"/>
              </w:rPr>
              <w:t>Taux sans risque</w:t>
            </w:r>
          </w:p>
        </w:tc>
        <w:tc>
          <w:tcPr>
            <w:tcW w:type="dxa" w:w="3005"/>
            <w:tcMar>
              <w:top w:w="60" w:type="dxa"/>
              <w:start w:w="60" w:type="dxa"/>
              <w:bottom w:w="60" w:type="dxa"/>
              <w:end w:w="60" w:type="dxa"/>
            </w:tcMar>
            <w:vAlign w:val="top"/>
          </w:tcPr>
          <w:p>
            <w:r/>
            <w:r>
              <w:rPr>
                <w:rFonts w:ascii="Aptos" w:hAnsi="Aptos"/>
                <w:sz w:val="15"/>
              </w:rPr>
              <w:t>Définition méthodologique selon horizon</w:t>
            </w:r>
          </w:p>
        </w:tc>
        <w:tc>
          <w:tcPr>
            <w:tcW w:type="dxa" w:w="3855"/>
            <w:tcMar>
              <w:top w:w="60" w:type="dxa"/>
              <w:start w:w="60" w:type="dxa"/>
              <w:bottom w:w="60" w:type="dxa"/>
              <w:end w:w="60" w:type="dxa"/>
            </w:tcMar>
            <w:vAlign w:val="top"/>
          </w:tcPr>
          <w:p>
            <w:r/>
            <w:r>
              <w:rPr>
                <w:rFonts w:ascii="Aptos" w:hAnsi="Aptos"/>
                <w:sz w:val="15"/>
              </w:rPr>
              <w:t>T-bill ou autre référence, avec source et date.</w:t>
            </w:r>
          </w:p>
        </w:tc>
      </w:tr>
    </w:tbl>
    <w:p>
      <w:pPr>
        <w:widowControl/>
        <w:spacing w:after="0"/>
      </w:pPr>
    </w:p>
    <w:p>
      <w:pPr>
        <w:pStyle w:val="Heading2"/>
        <w:widowControl/>
      </w:pPr>
      <w:r>
        <w:t>15.1 Benchmark par catégorie</w:t>
      </w:r>
    </w:p>
    <w:p>
      <w:pPr>
        <w:widowControl/>
      </w:pPr>
      <w:r>
        <w:rPr>
          <w:rFonts w:ascii="Aptos" w:hAnsi="Aptos"/>
          <w:sz w:val="19"/>
        </w:rPr>
        <w:t>Le benchmark doit provenir du prospectus ou de la factsheet. Lorsqu'il n'est pas publié, un benchmark analytique peut être proposé, mais il doit être marqué comme benchmark de plateforme et non benchmark officiel du fonds.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268"/>
            <w:shd w:fill="D9EAF2"/>
            <w:tcMar>
              <w:top w:w="70" w:type="dxa"/>
              <w:start w:w="70" w:type="dxa"/>
              <w:bottom w:w="70" w:type="dxa"/>
              <w:end w:w="70" w:type="dxa"/>
            </w:tcMar>
            <w:vAlign w:val="center"/>
          </w:tcPr>
          <w:p>
            <w:r/>
            <w:r>
              <w:rPr>
                <w:rFonts w:ascii="Aptos" w:hAnsi="Aptos"/>
                <w:b/>
                <w:color w:val="123E5E"/>
                <w:sz w:val="15"/>
              </w:rPr>
              <w:t>Catégorie</w:t>
            </w:r>
          </w:p>
        </w:tc>
        <w:tc>
          <w:tcPr>
            <w:tcW w:type="dxa" w:w="3402"/>
            <w:shd w:fill="D9EAF2"/>
            <w:tcMar>
              <w:top w:w="70" w:type="dxa"/>
              <w:start w:w="70" w:type="dxa"/>
              <w:bottom w:w="70" w:type="dxa"/>
              <w:end w:w="70" w:type="dxa"/>
            </w:tcMar>
            <w:vAlign w:val="center"/>
          </w:tcPr>
          <w:p>
            <w:r/>
            <w:r>
              <w:rPr>
                <w:rFonts w:ascii="Aptos" w:hAnsi="Aptos"/>
                <w:b/>
                <w:color w:val="123E5E"/>
                <w:sz w:val="15"/>
              </w:rPr>
              <w:t>Candidats de marché</w:t>
            </w:r>
          </w:p>
        </w:tc>
        <w:tc>
          <w:tcPr>
            <w:tcW w:type="dxa" w:w="3628"/>
            <w:shd w:fill="D9EAF2"/>
            <w:tcMar>
              <w:top w:w="70" w:type="dxa"/>
              <w:start w:w="70" w:type="dxa"/>
              <w:bottom w:w="70" w:type="dxa"/>
              <w:end w:w="70" w:type="dxa"/>
            </w:tcMar>
            <w:vAlign w:val="center"/>
          </w:tcPr>
          <w:p>
            <w:r/>
            <w:r>
              <w:rPr>
                <w:rFonts w:ascii="Aptos" w:hAnsi="Aptos"/>
                <w:b/>
                <w:color w:val="123E5E"/>
                <w:sz w:val="15"/>
              </w:rPr>
              <w:t>Précaution</w:t>
            </w:r>
          </w:p>
        </w:tc>
      </w:tr>
      <w:tr>
        <w:tc>
          <w:tcPr>
            <w:tcW w:type="dxa" w:w="2268"/>
            <w:tcMar>
              <w:top w:w="60" w:type="dxa"/>
              <w:start w:w="60" w:type="dxa"/>
              <w:bottom w:w="60" w:type="dxa"/>
              <w:end w:w="60" w:type="dxa"/>
            </w:tcMar>
            <w:vAlign w:val="top"/>
          </w:tcPr>
          <w:p>
            <w:r/>
            <w:r>
              <w:rPr>
                <w:rFonts w:ascii="Aptos" w:hAnsi="Aptos"/>
                <w:sz w:val="15"/>
              </w:rPr>
              <w:t>Monétaire</w:t>
            </w:r>
          </w:p>
        </w:tc>
        <w:tc>
          <w:tcPr>
            <w:tcW w:type="dxa" w:w="3402"/>
            <w:tcMar>
              <w:top w:w="60" w:type="dxa"/>
              <w:start w:w="60" w:type="dxa"/>
              <w:bottom w:w="60" w:type="dxa"/>
              <w:end w:w="60" w:type="dxa"/>
            </w:tcMar>
            <w:vAlign w:val="top"/>
          </w:tcPr>
          <w:p>
            <w:r/>
            <w:r>
              <w:rPr>
                <w:rFonts w:ascii="Aptos" w:hAnsi="Aptos"/>
                <w:sz w:val="15"/>
              </w:rPr>
              <w:t>NITTY, NIBOR, T-bill approprié</w:t>
            </w:r>
          </w:p>
        </w:tc>
        <w:tc>
          <w:tcPr>
            <w:tcW w:type="dxa" w:w="3628"/>
            <w:tcMar>
              <w:top w:w="60" w:type="dxa"/>
              <w:start w:w="60" w:type="dxa"/>
              <w:bottom w:w="60" w:type="dxa"/>
              <w:end w:w="60" w:type="dxa"/>
            </w:tcMar>
            <w:vAlign w:val="top"/>
          </w:tcPr>
          <w:p>
            <w:r/>
            <w:r>
              <w:rPr>
                <w:rFonts w:ascii="Aptos" w:hAnsi="Aptos"/>
                <w:sz w:val="15"/>
              </w:rPr>
              <w:t>Horizon et méthode doivent correspondre au mandat.</w:t>
            </w:r>
          </w:p>
        </w:tc>
      </w:tr>
      <w:tr>
        <w:tc>
          <w:tcPr>
            <w:tcW w:type="dxa" w:w="2268"/>
            <w:tcMar>
              <w:top w:w="60" w:type="dxa"/>
              <w:start w:w="60" w:type="dxa"/>
              <w:bottom w:w="60" w:type="dxa"/>
              <w:end w:w="60" w:type="dxa"/>
            </w:tcMar>
            <w:vAlign w:val="top"/>
          </w:tcPr>
          <w:p>
            <w:r/>
            <w:r>
              <w:rPr>
                <w:rFonts w:ascii="Aptos" w:hAnsi="Aptos"/>
                <w:sz w:val="15"/>
              </w:rPr>
              <w:t>Obligataire NGN</w:t>
            </w:r>
          </w:p>
        </w:tc>
        <w:tc>
          <w:tcPr>
            <w:tcW w:type="dxa" w:w="3402"/>
            <w:tcMar>
              <w:top w:w="60" w:type="dxa"/>
              <w:start w:w="60" w:type="dxa"/>
              <w:bottom w:w="60" w:type="dxa"/>
              <w:end w:w="60" w:type="dxa"/>
            </w:tcMar>
            <w:vAlign w:val="top"/>
          </w:tcPr>
          <w:p>
            <w:r/>
            <w:r>
              <w:rPr>
                <w:rFonts w:ascii="Aptos" w:hAnsi="Aptos"/>
                <w:sz w:val="15"/>
              </w:rPr>
              <w:t>Indice FMDQ ou panier FGN</w:t>
            </w:r>
          </w:p>
        </w:tc>
        <w:tc>
          <w:tcPr>
            <w:tcW w:type="dxa" w:w="3628"/>
            <w:tcMar>
              <w:top w:w="60" w:type="dxa"/>
              <w:start w:w="60" w:type="dxa"/>
              <w:bottom w:w="60" w:type="dxa"/>
              <w:end w:w="60" w:type="dxa"/>
            </w:tcMar>
            <w:vAlign w:val="top"/>
          </w:tcPr>
          <w:p>
            <w:r/>
            <w:r>
              <w:rPr>
                <w:rFonts w:ascii="Aptos" w:hAnsi="Aptos"/>
                <w:sz w:val="15"/>
              </w:rPr>
              <w:t>Duration et univers cohérents.</w:t>
            </w:r>
          </w:p>
        </w:tc>
      </w:tr>
      <w:tr>
        <w:tc>
          <w:tcPr>
            <w:tcW w:type="dxa" w:w="2268"/>
            <w:tcMar>
              <w:top w:w="60" w:type="dxa"/>
              <w:start w:w="60" w:type="dxa"/>
              <w:bottom w:w="60" w:type="dxa"/>
              <w:end w:w="60" w:type="dxa"/>
            </w:tcMar>
            <w:vAlign w:val="top"/>
          </w:tcPr>
          <w:p>
            <w:r/>
            <w:r>
              <w:rPr>
                <w:rFonts w:ascii="Aptos" w:hAnsi="Aptos"/>
                <w:sz w:val="15"/>
              </w:rPr>
              <w:t>Dollar/Eurobond</w:t>
            </w:r>
          </w:p>
        </w:tc>
        <w:tc>
          <w:tcPr>
            <w:tcW w:type="dxa" w:w="3402"/>
            <w:tcMar>
              <w:top w:w="60" w:type="dxa"/>
              <w:start w:w="60" w:type="dxa"/>
              <w:bottom w:w="60" w:type="dxa"/>
              <w:end w:w="60" w:type="dxa"/>
            </w:tcMar>
            <w:vAlign w:val="top"/>
          </w:tcPr>
          <w:p>
            <w:r/>
            <w:r>
              <w:rPr>
                <w:rFonts w:ascii="Aptos" w:hAnsi="Aptos"/>
                <w:sz w:val="15"/>
              </w:rPr>
              <w:t>Indice souverain/corporate USD pertinent</w:t>
            </w:r>
          </w:p>
        </w:tc>
        <w:tc>
          <w:tcPr>
            <w:tcW w:type="dxa" w:w="3628"/>
            <w:tcMar>
              <w:top w:w="60" w:type="dxa"/>
              <w:start w:w="60" w:type="dxa"/>
              <w:bottom w:w="60" w:type="dxa"/>
              <w:end w:w="60" w:type="dxa"/>
            </w:tcMar>
            <w:vAlign w:val="top"/>
          </w:tcPr>
          <w:p>
            <w:r/>
            <w:r>
              <w:rPr>
                <w:rFonts w:ascii="Aptos" w:hAnsi="Aptos"/>
                <w:sz w:val="15"/>
              </w:rPr>
              <w:t>Ne pas utiliser un taux NGN.</w:t>
            </w:r>
          </w:p>
        </w:tc>
      </w:tr>
      <w:tr>
        <w:tc>
          <w:tcPr>
            <w:tcW w:type="dxa" w:w="2268"/>
            <w:tcMar>
              <w:top w:w="60" w:type="dxa"/>
              <w:start w:w="60" w:type="dxa"/>
              <w:bottom w:w="60" w:type="dxa"/>
              <w:end w:w="60" w:type="dxa"/>
            </w:tcMar>
            <w:vAlign w:val="top"/>
          </w:tcPr>
          <w:p>
            <w:r/>
            <w:r>
              <w:rPr>
                <w:rFonts w:ascii="Aptos" w:hAnsi="Aptos"/>
                <w:sz w:val="15"/>
              </w:rPr>
              <w:t>Actions Nigeria</w:t>
            </w:r>
          </w:p>
        </w:tc>
        <w:tc>
          <w:tcPr>
            <w:tcW w:type="dxa" w:w="3402"/>
            <w:tcMar>
              <w:top w:w="60" w:type="dxa"/>
              <w:start w:w="60" w:type="dxa"/>
              <w:bottom w:w="60" w:type="dxa"/>
              <w:end w:w="60" w:type="dxa"/>
            </w:tcMar>
            <w:vAlign w:val="top"/>
          </w:tcPr>
          <w:p>
            <w:r/>
            <w:r>
              <w:rPr>
                <w:rFonts w:ascii="Aptos" w:hAnsi="Aptos"/>
                <w:sz w:val="15"/>
              </w:rPr>
              <w:t>Indice NGX approprié</w:t>
            </w:r>
          </w:p>
        </w:tc>
        <w:tc>
          <w:tcPr>
            <w:tcW w:type="dxa" w:w="3628"/>
            <w:tcMar>
              <w:top w:w="60" w:type="dxa"/>
              <w:start w:w="60" w:type="dxa"/>
              <w:bottom w:w="60" w:type="dxa"/>
              <w:end w:w="60" w:type="dxa"/>
            </w:tcMar>
            <w:vAlign w:val="top"/>
          </w:tcPr>
          <w:p>
            <w:r/>
            <w:r>
              <w:rPr>
                <w:rFonts w:ascii="Aptos" w:hAnsi="Aptos"/>
                <w:sz w:val="15"/>
              </w:rPr>
              <w:t>Total return vs price index.</w:t>
            </w:r>
          </w:p>
        </w:tc>
      </w:tr>
      <w:tr>
        <w:tc>
          <w:tcPr>
            <w:tcW w:type="dxa" w:w="2268"/>
            <w:tcMar>
              <w:top w:w="60" w:type="dxa"/>
              <w:start w:w="60" w:type="dxa"/>
              <w:bottom w:w="60" w:type="dxa"/>
              <w:end w:w="60" w:type="dxa"/>
            </w:tcMar>
            <w:vAlign w:val="top"/>
          </w:tcPr>
          <w:p>
            <w:r/>
            <w:r>
              <w:rPr>
                <w:rFonts w:ascii="Aptos" w:hAnsi="Aptos"/>
                <w:sz w:val="15"/>
              </w:rPr>
              <w:t>Diversifié</w:t>
            </w:r>
          </w:p>
        </w:tc>
        <w:tc>
          <w:tcPr>
            <w:tcW w:type="dxa" w:w="3402"/>
            <w:tcMar>
              <w:top w:w="60" w:type="dxa"/>
              <w:start w:w="60" w:type="dxa"/>
              <w:bottom w:w="60" w:type="dxa"/>
              <w:end w:w="60" w:type="dxa"/>
            </w:tcMar>
            <w:vAlign w:val="top"/>
          </w:tcPr>
          <w:p>
            <w:r/>
            <w:r>
              <w:rPr>
                <w:rFonts w:ascii="Aptos" w:hAnsi="Aptos"/>
                <w:sz w:val="15"/>
              </w:rPr>
              <w:t>Benchmark composite</w:t>
            </w:r>
          </w:p>
        </w:tc>
        <w:tc>
          <w:tcPr>
            <w:tcW w:type="dxa" w:w="3628"/>
            <w:tcMar>
              <w:top w:w="60" w:type="dxa"/>
              <w:start w:w="60" w:type="dxa"/>
              <w:bottom w:w="60" w:type="dxa"/>
              <w:end w:w="60" w:type="dxa"/>
            </w:tcMar>
            <w:vAlign w:val="top"/>
          </w:tcPr>
          <w:p>
            <w:r/>
            <w:r>
              <w:rPr>
                <w:rFonts w:ascii="Aptos" w:hAnsi="Aptos"/>
                <w:sz w:val="15"/>
              </w:rPr>
              <w:t>Poids documentés et historisés.</w:t>
            </w:r>
          </w:p>
        </w:tc>
      </w:tr>
      <w:tr>
        <w:tc>
          <w:tcPr>
            <w:tcW w:type="dxa" w:w="2268"/>
            <w:tcMar>
              <w:top w:w="60" w:type="dxa"/>
              <w:start w:w="60" w:type="dxa"/>
              <w:bottom w:w="60" w:type="dxa"/>
              <w:end w:w="60" w:type="dxa"/>
            </w:tcMar>
            <w:vAlign w:val="top"/>
          </w:tcPr>
          <w:p>
            <w:r/>
            <w:r>
              <w:rPr>
                <w:rFonts w:ascii="Aptos" w:hAnsi="Aptos"/>
                <w:sz w:val="15"/>
              </w:rPr>
              <w:t>ETF</w:t>
            </w:r>
          </w:p>
        </w:tc>
        <w:tc>
          <w:tcPr>
            <w:tcW w:type="dxa" w:w="3402"/>
            <w:tcMar>
              <w:top w:w="60" w:type="dxa"/>
              <w:start w:w="60" w:type="dxa"/>
              <w:bottom w:w="60" w:type="dxa"/>
              <w:end w:w="60" w:type="dxa"/>
            </w:tcMar>
            <w:vAlign w:val="top"/>
          </w:tcPr>
          <w:p>
            <w:r/>
            <w:r>
              <w:rPr>
                <w:rFonts w:ascii="Aptos" w:hAnsi="Aptos"/>
                <w:sz w:val="15"/>
              </w:rPr>
              <w:t>Indice suivi officiellement</w:t>
            </w:r>
          </w:p>
        </w:tc>
        <w:tc>
          <w:tcPr>
            <w:tcW w:type="dxa" w:w="3628"/>
            <w:tcMar>
              <w:top w:w="60" w:type="dxa"/>
              <w:start w:w="60" w:type="dxa"/>
              <w:bottom w:w="60" w:type="dxa"/>
              <w:end w:w="60" w:type="dxa"/>
            </w:tcMar>
            <w:vAlign w:val="top"/>
          </w:tcPr>
          <w:p>
            <w:r/>
            <w:r>
              <w:rPr>
                <w:rFonts w:ascii="Aptos" w:hAnsi="Aptos"/>
                <w:sz w:val="15"/>
              </w:rPr>
              <w:t>Utiliser méthodologie du fournisseur.</w:t>
            </w:r>
          </w:p>
        </w:tc>
      </w:tr>
      <w:tr>
        <w:tc>
          <w:tcPr>
            <w:tcW w:type="dxa" w:w="2268"/>
            <w:tcMar>
              <w:top w:w="60" w:type="dxa"/>
              <w:start w:w="60" w:type="dxa"/>
              <w:bottom w:w="60" w:type="dxa"/>
              <w:end w:w="60" w:type="dxa"/>
            </w:tcMar>
            <w:vAlign w:val="top"/>
          </w:tcPr>
          <w:p>
            <w:r/>
            <w:r>
              <w:rPr>
                <w:rFonts w:ascii="Aptos" w:hAnsi="Aptos"/>
                <w:sz w:val="15"/>
              </w:rPr>
              <w:t>REIT</w:t>
            </w:r>
          </w:p>
        </w:tc>
        <w:tc>
          <w:tcPr>
            <w:tcW w:type="dxa" w:w="3402"/>
            <w:tcMar>
              <w:top w:w="60" w:type="dxa"/>
              <w:start w:w="60" w:type="dxa"/>
              <w:bottom w:w="60" w:type="dxa"/>
              <w:end w:w="60" w:type="dxa"/>
            </w:tcMar>
            <w:vAlign w:val="top"/>
          </w:tcPr>
          <w:p>
            <w:r/>
            <w:r>
              <w:rPr>
                <w:rFonts w:ascii="Aptos" w:hAnsi="Aptos"/>
                <w:sz w:val="15"/>
              </w:rPr>
              <w:t>Indice immobilier ou marché</w:t>
            </w:r>
          </w:p>
        </w:tc>
        <w:tc>
          <w:tcPr>
            <w:tcW w:type="dxa" w:w="3628"/>
            <w:tcMar>
              <w:top w:w="60" w:type="dxa"/>
              <w:start w:w="60" w:type="dxa"/>
              <w:bottom w:w="60" w:type="dxa"/>
              <w:end w:w="60" w:type="dxa"/>
            </w:tcMar>
            <w:vAlign w:val="top"/>
          </w:tcPr>
          <w:p>
            <w:r/>
            <w:r>
              <w:rPr>
                <w:rFonts w:ascii="Aptos" w:hAnsi="Aptos"/>
                <w:sz w:val="15"/>
              </w:rPr>
              <w:t>Distinguer cours et distributions.</w:t>
            </w:r>
          </w:p>
        </w:tc>
      </w:tr>
    </w:tbl>
    <w:p>
      <w:pPr>
        <w:widowControl/>
        <w:spacing w:after="0"/>
      </w:pPr>
    </w:p>
    <w:p>
      <w:pPr>
        <w:pStyle w:val="Heading2"/>
        <w:widowControl/>
      </w:pPr>
      <w:r>
        <w:t>15.2 Performances et distributions</w:t>
      </w:r>
    </w:p>
    <w:p>
      <w:pPr>
        <w:pStyle w:val="ListBullet"/>
        <w:widowControl/>
        <w:ind w:left="397" w:hanging="142"/>
      </w:pPr>
      <w:r>
        <w:rPr>
          <w:rFonts w:ascii="Aptos" w:hAnsi="Aptos"/>
          <w:sz w:val="18"/>
        </w:rPr>
        <w:t>Calculer les rendements sur prix unitaires, pas sur actifs nets.</w:t>
      </w:r>
    </w:p>
    <w:p>
      <w:pPr>
        <w:pStyle w:val="ListBullet"/>
        <w:widowControl/>
        <w:ind w:left="397" w:hanging="142"/>
      </w:pPr>
      <w:r>
        <w:rPr>
          <w:rFonts w:ascii="Aptos" w:hAnsi="Aptos"/>
          <w:sz w:val="18"/>
        </w:rPr>
        <w:t>Utiliser une série cohérente : Unit Price explicite ou politique de proxy clairement documentée.</w:t>
      </w:r>
    </w:p>
    <w:p>
      <w:pPr>
        <w:pStyle w:val="ListBullet"/>
        <w:widowControl/>
        <w:ind w:left="397" w:hanging="142"/>
      </w:pPr>
      <w:r>
        <w:rPr>
          <w:rFonts w:ascii="Aptos" w:hAnsi="Aptos"/>
          <w:sz w:val="18"/>
        </w:rPr>
        <w:t>Les distributions doivent être réinvesties pour une performance total return si la méthode l’exige.</w:t>
      </w:r>
    </w:p>
    <w:p>
      <w:pPr>
        <w:pStyle w:val="ListBullet"/>
        <w:widowControl/>
        <w:ind w:left="397" w:hanging="142"/>
      </w:pPr>
      <w:r>
        <w:rPr>
          <w:rFonts w:ascii="Aptos" w:hAnsi="Aptos"/>
          <w:sz w:val="18"/>
        </w:rPr>
        <w:t>Les splits et consolidations doivent ajuster la série ou être traités via facteurs, avec événement conservé.</w:t>
      </w:r>
    </w:p>
    <w:p>
      <w:pPr>
        <w:pStyle w:val="ListBullet"/>
        <w:widowControl/>
        <w:ind w:left="397" w:hanging="142"/>
      </w:pPr>
      <w:r>
        <w:rPr>
          <w:rFonts w:ascii="Aptos" w:hAnsi="Aptos"/>
          <w:sz w:val="18"/>
        </w:rPr>
        <w:t>Un fonds sans donnée de départ ou d’arrivée est non calculable, pas à 0 %.</w:t>
      </w:r>
    </w:p>
    <w:p>
      <w:pPr>
        <w:pStyle w:val="ListBullet"/>
        <w:widowControl/>
        <w:ind w:left="397" w:hanging="142"/>
      </w:pPr>
      <w:r>
        <w:rPr>
          <w:rFonts w:ascii="Aptos" w:hAnsi="Aptos"/>
          <w:sz w:val="18"/>
        </w:rPr>
        <w:t>Conserver date de départ, date d’arrivée, fallback éventuel, nombre d’observations et version d’algorithme.</w:t>
      </w:r>
    </w:p>
    <w:p>
      <w:pPr>
        <w:pStyle w:val="Heading2"/>
        <w:widowControl/>
      </w:pPr>
      <w:r>
        <w:t>15.3 Conversions</w:t>
      </w:r>
    </w:p>
    <w:p>
      <w:pPr>
        <w:pStyle w:val="CodeNigeria"/>
        <w:widowControl/>
        <w:shd w:fill="F4F6F7"/>
      </w:pPr>
      <w:r>
        <w:rPr>
          <w:rFonts w:ascii="Liberation Mono" w:hAnsi="Liberation Mono"/>
          <w:color w:val="1E1E1E"/>
          <w:sz w:val="15"/>
        </w:rPr>
        <w:t>converted_value = source_value * fx_rate</w:t>
        <w:br/>
        <w:t>metadata:</w:t>
        <w:br/>
        <w:t xml:space="preserve">  source_currency</w:t>
        <w:br/>
        <w:t xml:space="preserve">  target_currency</w:t>
        <w:br/>
        <w:t xml:space="preserve">  fx_rate</w:t>
        <w:br/>
        <w:t xml:space="preserve">  fx_rate_date</w:t>
        <w:br/>
        <w:t xml:space="preserve">  fx_source</w:t>
        <w:br/>
        <w:t xml:space="preserve">  fixing_method</w:t>
        <w:br/>
        <w:t xml:space="preserve">  conversion_timestamp</w:t>
        <w:br/>
        <w:t xml:space="preserve">  source_value_preserved</w:t>
      </w:r>
    </w:p>
    <w:tbl>
      <w:tblPr>
        <w:tblW w:type="auto" w:w="0"/>
        <w:jc w:val="center"/>
        <w:tblLayout w:type="autofit"/>
        <w:tblLook w:firstColumn="1" w:firstRow="1" w:lastColumn="0" w:lastRow="0" w:noHBand="0" w:noVBand="1" w:val="04A0"/>
      </w:tblPr>
      <w:tblGrid>
        <w:gridCol w:w="10200"/>
      </w:tblGrid>
      <w:tr>
        <w:tc>
          <w:tcPr>
            <w:tcW w:type="dxa" w:w="10200"/>
            <w:shd w:fill="FCE8E6"/>
            <w:tcMar>
              <w:top w:w="140" w:type="dxa"/>
              <w:start w:w="150" w:type="dxa"/>
              <w:bottom w:w="140" w:type="dxa"/>
              <w:end w:w="150" w:type="dxa"/>
            </w:tcMar>
          </w:tcPr>
          <w:p>
            <w:r>
              <w:rPr>
                <w:rFonts w:ascii="Aptos" w:hAnsi="Aptos"/>
                <w:b/>
                <w:color w:val="123E5E"/>
                <w:sz w:val="18"/>
              </w:rPr>
              <w:t xml:space="preserve">Interdit — </w:t>
            </w:r>
            <w:r>
              <w:rPr>
                <w:rFonts w:ascii="Aptos" w:hAnsi="Aptos"/>
                <w:sz w:val="18"/>
              </w:rPr>
              <w:t>Ne pas convertir les valeurs SEC dans la couche brute. Ne pas comparer deux valeurs sans confirmer la devise. Ne pas reconstituer une série USD à partir de NGN sans source de taux explicite.</w:t>
            </w:r>
          </w:p>
        </w:tc>
      </w:tr>
    </w:tbl>
    <w:p>
      <w:pPr>
        <w:widowControl/>
        <w:spacing w:after="0"/>
      </w:pPr>
    </w:p>
    <w:p>
      <w:pPr>
        <w:widowControl/>
      </w:pPr>
      <w:r>
        <w:br w:type="page"/>
      </w:r>
    </w:p>
    <w:p>
      <w:pPr>
        <w:widowControl/>
        <w:jc w:val="center"/>
      </w:pPr>
      <w:r>
        <w:rPr>
          <w:rFonts w:ascii="Aptos Display" w:hAnsi="Aptos Display"/>
          <w:b/>
          <w:color w:val="123E5E"/>
          <w:sz w:val="44"/>
        </w:rPr>
        <w:t>PARTIE XVI — RUNBOOKS OPÉRATIONNELS ET CRITÈRES D’ACCEPTATION</w:t>
      </w:r>
    </w:p>
    <w:p>
      <w:pPr>
        <w:widowControl/>
        <w:jc w:val="center"/>
      </w:pPr>
      <w:r>
        <w:rPr>
          <w:rFonts w:ascii="Aptos" w:hAnsi="Aptos"/>
          <w:i/>
          <w:color w:val="505050"/>
          <w:sz w:val="22"/>
        </w:rPr>
        <w:t>Exécuter de façon reproductible et mesurable</w:t>
      </w:r>
    </w:p>
    <w:p>
      <w:pPr>
        <w:widowControl/>
      </w:pPr>
    </w:p>
    <w:p>
      <w:pPr>
        <w:pStyle w:val="Heading1"/>
        <w:widowControl/>
      </w:pPr>
      <w:r>
        <w:t>16. Runbook — nouveau fichier hebdomadaire</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794"/>
            <w:shd w:fill="D9EAF2"/>
            <w:tcMar>
              <w:top w:w="70" w:type="dxa"/>
              <w:start w:w="70" w:type="dxa"/>
              <w:bottom w:w="70" w:type="dxa"/>
              <w:end w:w="70" w:type="dxa"/>
            </w:tcMar>
            <w:vAlign w:val="center"/>
          </w:tcPr>
          <w:p>
            <w:r/>
            <w:r>
              <w:rPr>
                <w:rFonts w:ascii="Aptos" w:hAnsi="Aptos"/>
                <w:b/>
                <w:color w:val="123E5E"/>
                <w:sz w:val="16"/>
              </w:rPr>
              <w:t>Étape</w:t>
            </w:r>
          </w:p>
        </w:tc>
        <w:tc>
          <w:tcPr>
            <w:tcW w:type="dxa" w:w="8504"/>
            <w:shd w:fill="D9EAF2"/>
            <w:tcMar>
              <w:top w:w="70" w:type="dxa"/>
              <w:start w:w="70" w:type="dxa"/>
              <w:bottom w:w="70" w:type="dxa"/>
              <w:end w:w="70" w:type="dxa"/>
            </w:tcMar>
            <w:vAlign w:val="center"/>
          </w:tcPr>
          <w:p>
            <w:r/>
            <w:r>
              <w:rPr>
                <w:rFonts w:ascii="Aptos" w:hAnsi="Aptos"/>
                <w:b/>
                <w:color w:val="123E5E"/>
                <w:sz w:val="16"/>
              </w:rPr>
              <w:t>Action</w:t>
            </w:r>
          </w:p>
        </w:tc>
      </w:tr>
      <w:tr>
        <w:tc>
          <w:tcPr>
            <w:tcW w:type="dxa" w:w="794"/>
            <w:tcMar>
              <w:top w:w="60" w:type="dxa"/>
              <w:start w:w="60" w:type="dxa"/>
              <w:bottom w:w="60" w:type="dxa"/>
              <w:end w:w="60" w:type="dxa"/>
            </w:tcMar>
            <w:vAlign w:val="top"/>
          </w:tcPr>
          <w:p>
            <w:r/>
            <w:r>
              <w:rPr>
                <w:rFonts w:ascii="Aptos" w:hAnsi="Aptos"/>
                <w:sz w:val="16"/>
              </w:rPr>
              <w:t>1</w:t>
            </w:r>
          </w:p>
        </w:tc>
        <w:tc>
          <w:tcPr>
            <w:tcW w:type="dxa" w:w="8504"/>
            <w:tcMar>
              <w:top w:w="60" w:type="dxa"/>
              <w:start w:w="60" w:type="dxa"/>
              <w:bottom w:w="60" w:type="dxa"/>
              <w:end w:w="60" w:type="dxa"/>
            </w:tcMar>
            <w:vAlign w:val="top"/>
          </w:tcPr>
          <w:p>
            <w:r/>
            <w:r>
              <w:rPr>
                <w:rFonts w:ascii="Aptos" w:hAnsi="Aptos"/>
                <w:sz w:val="16"/>
              </w:rPr>
              <w:t>Détecter la nouvelle publication et enregistrer la page.</w:t>
            </w:r>
          </w:p>
        </w:tc>
      </w:tr>
      <w:tr>
        <w:tc>
          <w:tcPr>
            <w:tcW w:type="dxa" w:w="794"/>
            <w:tcMar>
              <w:top w:w="60" w:type="dxa"/>
              <w:start w:w="60" w:type="dxa"/>
              <w:bottom w:w="60" w:type="dxa"/>
              <w:end w:w="60" w:type="dxa"/>
            </w:tcMar>
            <w:vAlign w:val="top"/>
          </w:tcPr>
          <w:p>
            <w:r/>
            <w:r>
              <w:rPr>
                <w:rFonts w:ascii="Aptos" w:hAnsi="Aptos"/>
                <w:sz w:val="16"/>
              </w:rPr>
              <w:t>2</w:t>
            </w:r>
          </w:p>
        </w:tc>
        <w:tc>
          <w:tcPr>
            <w:tcW w:type="dxa" w:w="8504"/>
            <w:tcMar>
              <w:top w:w="60" w:type="dxa"/>
              <w:start w:w="60" w:type="dxa"/>
              <w:bottom w:w="60" w:type="dxa"/>
              <w:end w:w="60" w:type="dxa"/>
            </w:tcMar>
            <w:vAlign w:val="top"/>
          </w:tcPr>
          <w:p>
            <w:r/>
            <w:r>
              <w:rPr>
                <w:rFonts w:ascii="Aptos" w:hAnsi="Aptos"/>
                <w:sz w:val="16"/>
              </w:rPr>
              <w:t>Télécharger le fichier, calculer SHA-256 et comparer au manifeste.</w:t>
            </w:r>
          </w:p>
        </w:tc>
      </w:tr>
      <w:tr>
        <w:tc>
          <w:tcPr>
            <w:tcW w:type="dxa" w:w="794"/>
            <w:tcMar>
              <w:top w:w="60" w:type="dxa"/>
              <w:start w:w="60" w:type="dxa"/>
              <w:bottom w:w="60" w:type="dxa"/>
              <w:end w:w="60" w:type="dxa"/>
            </w:tcMar>
            <w:vAlign w:val="top"/>
          </w:tcPr>
          <w:p>
            <w:r/>
            <w:r>
              <w:rPr>
                <w:rFonts w:ascii="Aptos" w:hAnsi="Aptos"/>
                <w:sz w:val="16"/>
              </w:rPr>
              <w:t>3</w:t>
            </w:r>
          </w:p>
        </w:tc>
        <w:tc>
          <w:tcPr>
            <w:tcW w:type="dxa" w:w="8504"/>
            <w:tcMar>
              <w:top w:w="60" w:type="dxa"/>
              <w:start w:w="60" w:type="dxa"/>
              <w:bottom w:w="60" w:type="dxa"/>
              <w:end w:w="60" w:type="dxa"/>
            </w:tcMar>
            <w:vAlign w:val="top"/>
          </w:tcPr>
          <w:p>
            <w:r/>
            <w:r>
              <w:rPr>
                <w:rFonts w:ascii="Aptos" w:hAnsi="Aptos"/>
                <w:sz w:val="16"/>
              </w:rPr>
              <w:t>Ouvrir en environnement isolé et inventorier les feuilles.</w:t>
            </w:r>
          </w:p>
        </w:tc>
      </w:tr>
      <w:tr>
        <w:tc>
          <w:tcPr>
            <w:tcW w:type="dxa" w:w="794"/>
            <w:tcMar>
              <w:top w:w="60" w:type="dxa"/>
              <w:start w:w="60" w:type="dxa"/>
              <w:bottom w:w="60" w:type="dxa"/>
              <w:end w:w="60" w:type="dxa"/>
            </w:tcMar>
            <w:vAlign w:val="top"/>
          </w:tcPr>
          <w:p>
            <w:r/>
            <w:r>
              <w:rPr>
                <w:rFonts w:ascii="Aptos" w:hAnsi="Aptos"/>
                <w:sz w:val="16"/>
              </w:rPr>
              <w:t>4</w:t>
            </w:r>
          </w:p>
        </w:tc>
        <w:tc>
          <w:tcPr>
            <w:tcW w:type="dxa" w:w="8504"/>
            <w:tcMar>
              <w:top w:w="60" w:type="dxa"/>
              <w:start w:w="60" w:type="dxa"/>
              <w:bottom w:w="60" w:type="dxa"/>
              <w:end w:w="60" w:type="dxa"/>
            </w:tcMar>
            <w:vAlign w:val="top"/>
          </w:tcPr>
          <w:p>
            <w:r/>
            <w:r>
              <w:rPr>
                <w:rFonts w:ascii="Aptos" w:hAnsi="Aptos"/>
                <w:sz w:val="16"/>
              </w:rPr>
              <w:t>Classifier la feuille principale à partir de sa structure.</w:t>
            </w:r>
          </w:p>
        </w:tc>
      </w:tr>
      <w:tr>
        <w:tc>
          <w:tcPr>
            <w:tcW w:type="dxa" w:w="794"/>
            <w:tcMar>
              <w:top w:w="60" w:type="dxa"/>
              <w:start w:w="60" w:type="dxa"/>
              <w:bottom w:w="60" w:type="dxa"/>
              <w:end w:w="60" w:type="dxa"/>
            </w:tcMar>
            <w:vAlign w:val="top"/>
          </w:tcPr>
          <w:p>
            <w:r/>
            <w:r>
              <w:rPr>
                <w:rFonts w:ascii="Aptos" w:hAnsi="Aptos"/>
                <w:sz w:val="16"/>
              </w:rPr>
              <w:t>5</w:t>
            </w:r>
          </w:p>
        </w:tc>
        <w:tc>
          <w:tcPr>
            <w:tcW w:type="dxa" w:w="8504"/>
            <w:tcMar>
              <w:top w:w="60" w:type="dxa"/>
              <w:start w:w="60" w:type="dxa"/>
              <w:bottom w:w="60" w:type="dxa"/>
              <w:end w:w="60" w:type="dxa"/>
            </w:tcMar>
            <w:vAlign w:val="top"/>
          </w:tcPr>
          <w:p>
            <w:r/>
            <w:r>
              <w:rPr>
                <w:rFonts w:ascii="Aptos" w:hAnsi="Aptos"/>
                <w:sz w:val="16"/>
              </w:rPr>
              <w:t>Détecter les dates et les rôles current/previous.</w:t>
            </w:r>
          </w:p>
        </w:tc>
      </w:tr>
      <w:tr>
        <w:tc>
          <w:tcPr>
            <w:tcW w:type="dxa" w:w="794"/>
            <w:tcMar>
              <w:top w:w="60" w:type="dxa"/>
              <w:start w:w="60" w:type="dxa"/>
              <w:bottom w:w="60" w:type="dxa"/>
              <w:end w:w="60" w:type="dxa"/>
            </w:tcMar>
            <w:vAlign w:val="top"/>
          </w:tcPr>
          <w:p>
            <w:r/>
            <w:r>
              <w:rPr>
                <w:rFonts w:ascii="Aptos" w:hAnsi="Aptos"/>
                <w:sz w:val="16"/>
              </w:rPr>
              <w:t>6</w:t>
            </w:r>
          </w:p>
        </w:tc>
        <w:tc>
          <w:tcPr>
            <w:tcW w:type="dxa" w:w="8504"/>
            <w:tcMar>
              <w:top w:w="60" w:type="dxa"/>
              <w:start w:w="60" w:type="dxa"/>
              <w:bottom w:w="60" w:type="dxa"/>
              <w:end w:w="60" w:type="dxa"/>
            </w:tcMar>
            <w:vAlign w:val="top"/>
          </w:tcPr>
          <w:p>
            <w:r/>
            <w:r>
              <w:rPr>
                <w:rFonts w:ascii="Aptos" w:hAnsi="Aptos"/>
                <w:sz w:val="16"/>
              </w:rPr>
              <w:t>Extraire toutes les mesures par devise.</w:t>
            </w:r>
          </w:p>
        </w:tc>
      </w:tr>
      <w:tr>
        <w:tc>
          <w:tcPr>
            <w:tcW w:type="dxa" w:w="794"/>
            <w:tcMar>
              <w:top w:w="60" w:type="dxa"/>
              <w:start w:w="60" w:type="dxa"/>
              <w:bottom w:w="60" w:type="dxa"/>
              <w:end w:w="60" w:type="dxa"/>
            </w:tcMar>
            <w:vAlign w:val="top"/>
          </w:tcPr>
          <w:p>
            <w:r/>
            <w:r>
              <w:rPr>
                <w:rFonts w:ascii="Aptos" w:hAnsi="Aptos"/>
                <w:sz w:val="16"/>
              </w:rPr>
              <w:t>7</w:t>
            </w:r>
          </w:p>
        </w:tc>
        <w:tc>
          <w:tcPr>
            <w:tcW w:type="dxa" w:w="8504"/>
            <w:tcMar>
              <w:top w:w="60" w:type="dxa"/>
              <w:start w:w="60" w:type="dxa"/>
              <w:bottom w:w="60" w:type="dxa"/>
              <w:end w:w="60" w:type="dxa"/>
            </w:tcMar>
            <w:vAlign w:val="top"/>
          </w:tcPr>
          <w:p>
            <w:r/>
            <w:r>
              <w:rPr>
                <w:rFonts w:ascii="Aptos" w:hAnsi="Aptos"/>
                <w:sz w:val="16"/>
              </w:rPr>
              <w:t>Rejeter catégories et totaux comme fonds.</w:t>
            </w:r>
          </w:p>
        </w:tc>
      </w:tr>
      <w:tr>
        <w:tc>
          <w:tcPr>
            <w:tcW w:type="dxa" w:w="794"/>
            <w:tcMar>
              <w:top w:w="60" w:type="dxa"/>
              <w:start w:w="60" w:type="dxa"/>
              <w:bottom w:w="60" w:type="dxa"/>
              <w:end w:w="60" w:type="dxa"/>
            </w:tcMar>
            <w:vAlign w:val="top"/>
          </w:tcPr>
          <w:p>
            <w:r/>
            <w:r>
              <w:rPr>
                <w:rFonts w:ascii="Aptos" w:hAnsi="Aptos"/>
                <w:sz w:val="16"/>
              </w:rPr>
              <w:t>8</w:t>
            </w:r>
          </w:p>
        </w:tc>
        <w:tc>
          <w:tcPr>
            <w:tcW w:type="dxa" w:w="8504"/>
            <w:tcMar>
              <w:top w:w="60" w:type="dxa"/>
              <w:start w:w="60" w:type="dxa"/>
              <w:bottom w:w="60" w:type="dxa"/>
              <w:end w:w="60" w:type="dxa"/>
            </w:tcMar>
            <w:vAlign w:val="top"/>
          </w:tcPr>
          <w:p>
            <w:r/>
            <w:r>
              <w:rPr>
                <w:rFonts w:ascii="Aptos" w:hAnsi="Aptos"/>
                <w:sz w:val="16"/>
              </w:rPr>
              <w:t>Rapprocher les noms bruts des candidats canoniques.</w:t>
            </w:r>
          </w:p>
        </w:tc>
      </w:tr>
      <w:tr>
        <w:tc>
          <w:tcPr>
            <w:tcW w:type="dxa" w:w="794"/>
            <w:tcMar>
              <w:top w:w="60" w:type="dxa"/>
              <w:start w:w="60" w:type="dxa"/>
              <w:bottom w:w="60" w:type="dxa"/>
              <w:end w:w="60" w:type="dxa"/>
            </w:tcMar>
            <w:vAlign w:val="top"/>
          </w:tcPr>
          <w:p>
            <w:r/>
            <w:r>
              <w:rPr>
                <w:rFonts w:ascii="Aptos" w:hAnsi="Aptos"/>
                <w:sz w:val="16"/>
              </w:rPr>
              <w:t>9</w:t>
            </w:r>
          </w:p>
        </w:tc>
        <w:tc>
          <w:tcPr>
            <w:tcW w:type="dxa" w:w="8504"/>
            <w:tcMar>
              <w:top w:w="60" w:type="dxa"/>
              <w:start w:w="60" w:type="dxa"/>
              <w:bottom w:w="60" w:type="dxa"/>
              <w:end w:w="60" w:type="dxa"/>
            </w:tcMar>
            <w:vAlign w:val="top"/>
          </w:tcPr>
          <w:p>
            <w:r/>
            <w:r>
              <w:rPr>
                <w:rFonts w:ascii="Aptos" w:hAnsi="Aptos"/>
                <w:sz w:val="16"/>
              </w:rPr>
              <w:t>Dédupliquer contre les publications précédentes.</w:t>
            </w:r>
          </w:p>
        </w:tc>
      </w:tr>
      <w:tr>
        <w:tc>
          <w:tcPr>
            <w:tcW w:type="dxa" w:w="794"/>
            <w:tcMar>
              <w:top w:w="60" w:type="dxa"/>
              <w:start w:w="60" w:type="dxa"/>
              <w:bottom w:w="60" w:type="dxa"/>
              <w:end w:w="60" w:type="dxa"/>
            </w:tcMar>
            <w:vAlign w:val="top"/>
          </w:tcPr>
          <w:p>
            <w:r/>
            <w:r>
              <w:rPr>
                <w:rFonts w:ascii="Aptos" w:hAnsi="Aptos"/>
                <w:sz w:val="16"/>
              </w:rPr>
              <w:t>10</w:t>
            </w:r>
          </w:p>
        </w:tc>
        <w:tc>
          <w:tcPr>
            <w:tcW w:type="dxa" w:w="8504"/>
            <w:tcMar>
              <w:top w:w="60" w:type="dxa"/>
              <w:start w:w="60" w:type="dxa"/>
              <w:bottom w:w="60" w:type="dxa"/>
              <w:end w:w="60" w:type="dxa"/>
            </w:tcMar>
            <w:vAlign w:val="top"/>
          </w:tcPr>
          <w:p>
            <w:r/>
            <w:r>
              <w:rPr>
                <w:rFonts w:ascii="Aptos" w:hAnsi="Aptos"/>
                <w:sz w:val="16"/>
              </w:rPr>
              <w:t>Créer les conflits et alertes.</w:t>
            </w:r>
          </w:p>
        </w:tc>
      </w:tr>
      <w:tr>
        <w:tc>
          <w:tcPr>
            <w:tcW w:type="dxa" w:w="794"/>
            <w:tcMar>
              <w:top w:w="60" w:type="dxa"/>
              <w:start w:w="60" w:type="dxa"/>
              <w:bottom w:w="60" w:type="dxa"/>
              <w:end w:w="60" w:type="dxa"/>
            </w:tcMar>
            <w:vAlign w:val="top"/>
          </w:tcPr>
          <w:p>
            <w:r/>
            <w:r>
              <w:rPr>
                <w:rFonts w:ascii="Aptos" w:hAnsi="Aptos"/>
                <w:sz w:val="16"/>
              </w:rPr>
              <w:t>11</w:t>
            </w:r>
          </w:p>
        </w:tc>
        <w:tc>
          <w:tcPr>
            <w:tcW w:type="dxa" w:w="8504"/>
            <w:tcMar>
              <w:top w:w="60" w:type="dxa"/>
              <w:start w:w="60" w:type="dxa"/>
              <w:bottom w:w="60" w:type="dxa"/>
              <w:end w:w="60" w:type="dxa"/>
            </w:tcMar>
            <w:vAlign w:val="top"/>
          </w:tcPr>
          <w:p>
            <w:r/>
            <w:r>
              <w:rPr>
                <w:rFonts w:ascii="Aptos" w:hAnsi="Aptos"/>
                <w:sz w:val="16"/>
              </w:rPr>
              <w:t>Comparer volumes, fonds, catégories et totaux.</w:t>
            </w:r>
          </w:p>
        </w:tc>
      </w:tr>
      <w:tr>
        <w:tc>
          <w:tcPr>
            <w:tcW w:type="dxa" w:w="794"/>
            <w:tcMar>
              <w:top w:w="60" w:type="dxa"/>
              <w:start w:w="60" w:type="dxa"/>
              <w:bottom w:w="60" w:type="dxa"/>
              <w:end w:w="60" w:type="dxa"/>
            </w:tcMar>
            <w:vAlign w:val="top"/>
          </w:tcPr>
          <w:p>
            <w:r/>
            <w:r>
              <w:rPr>
                <w:rFonts w:ascii="Aptos" w:hAnsi="Aptos"/>
                <w:sz w:val="16"/>
              </w:rPr>
              <w:t>12</w:t>
            </w:r>
          </w:p>
        </w:tc>
        <w:tc>
          <w:tcPr>
            <w:tcW w:type="dxa" w:w="8504"/>
            <w:tcMar>
              <w:top w:w="60" w:type="dxa"/>
              <w:start w:w="60" w:type="dxa"/>
              <w:bottom w:w="60" w:type="dxa"/>
              <w:end w:w="60" w:type="dxa"/>
            </w:tcMar>
            <w:vAlign w:val="top"/>
          </w:tcPr>
          <w:p>
            <w:r/>
            <w:r>
              <w:rPr>
                <w:rFonts w:ascii="Aptos" w:hAnsi="Aptos"/>
                <w:sz w:val="16"/>
              </w:rPr>
              <w:t>Générer dry-run ProAfricaFund.</w:t>
            </w:r>
          </w:p>
        </w:tc>
      </w:tr>
      <w:tr>
        <w:tc>
          <w:tcPr>
            <w:tcW w:type="dxa" w:w="794"/>
            <w:tcMar>
              <w:top w:w="60" w:type="dxa"/>
              <w:start w:w="60" w:type="dxa"/>
              <w:bottom w:w="60" w:type="dxa"/>
              <w:end w:w="60" w:type="dxa"/>
            </w:tcMar>
            <w:vAlign w:val="top"/>
          </w:tcPr>
          <w:p>
            <w:r/>
            <w:r>
              <w:rPr>
                <w:rFonts w:ascii="Aptos" w:hAnsi="Aptos"/>
                <w:sz w:val="16"/>
              </w:rPr>
              <w:t>13</w:t>
            </w:r>
          </w:p>
        </w:tc>
        <w:tc>
          <w:tcPr>
            <w:tcW w:type="dxa" w:w="8504"/>
            <w:tcMar>
              <w:top w:w="60" w:type="dxa"/>
              <w:start w:w="60" w:type="dxa"/>
              <w:bottom w:w="60" w:type="dxa"/>
              <w:end w:w="60" w:type="dxa"/>
            </w:tcMar>
            <w:vAlign w:val="top"/>
          </w:tcPr>
          <w:p>
            <w:r/>
            <w:r>
              <w:rPr>
                <w:rFonts w:ascii="Aptos" w:hAnsi="Aptos"/>
                <w:sz w:val="16"/>
              </w:rPr>
              <w:t>Valider puis importer de façon idempotente.</w:t>
            </w:r>
          </w:p>
        </w:tc>
      </w:tr>
      <w:tr>
        <w:tc>
          <w:tcPr>
            <w:tcW w:type="dxa" w:w="794"/>
            <w:tcMar>
              <w:top w:w="60" w:type="dxa"/>
              <w:start w:w="60" w:type="dxa"/>
              <w:bottom w:w="60" w:type="dxa"/>
              <w:end w:w="60" w:type="dxa"/>
            </w:tcMar>
            <w:vAlign w:val="top"/>
          </w:tcPr>
          <w:p>
            <w:r/>
            <w:r>
              <w:rPr>
                <w:rFonts w:ascii="Aptos" w:hAnsi="Aptos"/>
                <w:sz w:val="16"/>
              </w:rPr>
              <w:t>14</w:t>
            </w:r>
          </w:p>
        </w:tc>
        <w:tc>
          <w:tcPr>
            <w:tcW w:type="dxa" w:w="8504"/>
            <w:tcMar>
              <w:top w:w="60" w:type="dxa"/>
              <w:start w:w="60" w:type="dxa"/>
              <w:bottom w:w="60" w:type="dxa"/>
              <w:end w:w="60" w:type="dxa"/>
            </w:tcMar>
            <w:vAlign w:val="top"/>
          </w:tcPr>
          <w:p>
            <w:r/>
            <w:r>
              <w:rPr>
                <w:rFonts w:ascii="Aptos" w:hAnsi="Aptos"/>
                <w:sz w:val="16"/>
              </w:rPr>
              <w:t>Publier rapport de run et surveiller API/frontend.</w:t>
            </w:r>
          </w:p>
        </w:tc>
      </w:tr>
    </w:tbl>
    <w:p>
      <w:pPr>
        <w:widowControl/>
        <w:spacing w:after="0"/>
      </w:pPr>
    </w:p>
    <w:p>
      <w:pPr>
        <w:pStyle w:val="Heading2"/>
        <w:widowControl/>
      </w:pPr>
      <w:r>
        <w:t>16.1 Runbook — recherche d’un fonds du DataFrame</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794"/>
            <w:shd w:fill="D9EAF2"/>
            <w:tcMar>
              <w:top w:w="70" w:type="dxa"/>
              <w:start w:w="70" w:type="dxa"/>
              <w:bottom w:w="70" w:type="dxa"/>
              <w:end w:w="70" w:type="dxa"/>
            </w:tcMar>
            <w:vAlign w:val="center"/>
          </w:tcPr>
          <w:p>
            <w:r/>
            <w:r>
              <w:rPr>
                <w:rFonts w:ascii="Aptos" w:hAnsi="Aptos"/>
                <w:b/>
                <w:color w:val="123E5E"/>
                <w:sz w:val="16"/>
              </w:rPr>
              <w:t>Étape</w:t>
            </w:r>
          </w:p>
        </w:tc>
        <w:tc>
          <w:tcPr>
            <w:tcW w:type="dxa" w:w="8504"/>
            <w:shd w:fill="D9EAF2"/>
            <w:tcMar>
              <w:top w:w="70" w:type="dxa"/>
              <w:start w:w="70" w:type="dxa"/>
              <w:bottom w:w="70" w:type="dxa"/>
              <w:end w:w="70" w:type="dxa"/>
            </w:tcMar>
            <w:vAlign w:val="center"/>
          </w:tcPr>
          <w:p>
            <w:r/>
            <w:r>
              <w:rPr>
                <w:rFonts w:ascii="Aptos" w:hAnsi="Aptos"/>
                <w:b/>
                <w:color w:val="123E5E"/>
                <w:sz w:val="16"/>
              </w:rPr>
              <w:t>Action</w:t>
            </w:r>
          </w:p>
        </w:tc>
      </w:tr>
      <w:tr>
        <w:tc>
          <w:tcPr>
            <w:tcW w:type="dxa" w:w="794"/>
            <w:tcMar>
              <w:top w:w="60" w:type="dxa"/>
              <w:start w:w="60" w:type="dxa"/>
              <w:bottom w:w="60" w:type="dxa"/>
              <w:end w:w="60" w:type="dxa"/>
            </w:tcMar>
            <w:vAlign w:val="top"/>
          </w:tcPr>
          <w:p>
            <w:r/>
            <w:r>
              <w:rPr>
                <w:rFonts w:ascii="Aptos" w:hAnsi="Aptos"/>
                <w:sz w:val="16"/>
              </w:rPr>
              <w:t>1</w:t>
            </w:r>
          </w:p>
        </w:tc>
        <w:tc>
          <w:tcPr>
            <w:tcW w:type="dxa" w:w="8504"/>
            <w:tcMar>
              <w:top w:w="60" w:type="dxa"/>
              <w:start w:w="60" w:type="dxa"/>
              <w:bottom w:w="60" w:type="dxa"/>
              <w:end w:w="60" w:type="dxa"/>
            </w:tcMar>
            <w:vAlign w:val="top"/>
          </w:tcPr>
          <w:p>
            <w:r/>
            <w:r>
              <w:rPr>
                <w:rFonts w:ascii="Aptos" w:hAnsi="Aptos"/>
                <w:sz w:val="16"/>
              </w:rPr>
              <w:t>Ouvrir la ligne et lister cellules remplies/vides.</w:t>
            </w:r>
          </w:p>
        </w:tc>
      </w:tr>
      <w:tr>
        <w:tc>
          <w:tcPr>
            <w:tcW w:type="dxa" w:w="794"/>
            <w:tcMar>
              <w:top w:w="60" w:type="dxa"/>
              <w:start w:w="60" w:type="dxa"/>
              <w:bottom w:w="60" w:type="dxa"/>
              <w:end w:w="60" w:type="dxa"/>
            </w:tcMar>
            <w:vAlign w:val="top"/>
          </w:tcPr>
          <w:p>
            <w:r/>
            <w:r>
              <w:rPr>
                <w:rFonts w:ascii="Aptos" w:hAnsi="Aptos"/>
                <w:sz w:val="16"/>
              </w:rPr>
              <w:t>2</w:t>
            </w:r>
          </w:p>
        </w:tc>
        <w:tc>
          <w:tcPr>
            <w:tcW w:type="dxa" w:w="8504"/>
            <w:tcMar>
              <w:top w:w="60" w:type="dxa"/>
              <w:start w:w="60" w:type="dxa"/>
              <w:bottom w:w="60" w:type="dxa"/>
              <w:end w:w="60" w:type="dxa"/>
            </w:tcMar>
            <w:vAlign w:val="top"/>
          </w:tcPr>
          <w:p>
            <w:r/>
            <w:r>
              <w:rPr>
                <w:rFonts w:ascii="Aptos" w:hAnsi="Aptos"/>
                <w:sz w:val="16"/>
              </w:rPr>
              <w:t>Partir du nom historique exact.</w:t>
            </w:r>
          </w:p>
        </w:tc>
      </w:tr>
      <w:tr>
        <w:tc>
          <w:tcPr>
            <w:tcW w:type="dxa" w:w="794"/>
            <w:tcMar>
              <w:top w:w="60" w:type="dxa"/>
              <w:start w:w="60" w:type="dxa"/>
              <w:bottom w:w="60" w:type="dxa"/>
              <w:end w:w="60" w:type="dxa"/>
            </w:tcMar>
            <w:vAlign w:val="top"/>
          </w:tcPr>
          <w:p>
            <w:r/>
            <w:r>
              <w:rPr>
                <w:rFonts w:ascii="Aptos" w:hAnsi="Aptos"/>
                <w:sz w:val="16"/>
              </w:rPr>
              <w:t>3</w:t>
            </w:r>
          </w:p>
        </w:tc>
        <w:tc>
          <w:tcPr>
            <w:tcW w:type="dxa" w:w="8504"/>
            <w:tcMar>
              <w:top w:w="60" w:type="dxa"/>
              <w:start w:w="60" w:type="dxa"/>
              <w:bottom w:w="60" w:type="dxa"/>
              <w:end w:w="60" w:type="dxa"/>
            </w:tcMar>
            <w:vAlign w:val="top"/>
          </w:tcPr>
          <w:p>
            <w:r/>
            <w:r>
              <w:rPr>
                <w:rFonts w:ascii="Aptos" w:hAnsi="Aptos"/>
                <w:sz w:val="16"/>
              </w:rPr>
              <w:t>Créer variantes de recherche sans changer la cellule brute.</w:t>
            </w:r>
          </w:p>
        </w:tc>
      </w:tr>
      <w:tr>
        <w:tc>
          <w:tcPr>
            <w:tcW w:type="dxa" w:w="794"/>
            <w:tcMar>
              <w:top w:w="60" w:type="dxa"/>
              <w:start w:w="60" w:type="dxa"/>
              <w:bottom w:w="60" w:type="dxa"/>
              <w:end w:w="60" w:type="dxa"/>
            </w:tcMar>
            <w:vAlign w:val="top"/>
          </w:tcPr>
          <w:p>
            <w:r/>
            <w:r>
              <w:rPr>
                <w:rFonts w:ascii="Aptos" w:hAnsi="Aptos"/>
                <w:sz w:val="16"/>
              </w:rPr>
              <w:t>4</w:t>
            </w:r>
          </w:p>
        </w:tc>
        <w:tc>
          <w:tcPr>
            <w:tcW w:type="dxa" w:w="8504"/>
            <w:tcMar>
              <w:top w:w="60" w:type="dxa"/>
              <w:start w:w="60" w:type="dxa"/>
              <w:bottom w:w="60" w:type="dxa"/>
              <w:end w:w="60" w:type="dxa"/>
            </w:tcMar>
            <w:vAlign w:val="top"/>
          </w:tcPr>
          <w:p>
            <w:r/>
            <w:r>
              <w:rPr>
                <w:rFonts w:ascii="Aptos" w:hAnsi="Aptos"/>
                <w:sz w:val="16"/>
              </w:rPr>
              <w:t>Identifier les documents officiels et les sauvegarder.</w:t>
            </w:r>
          </w:p>
        </w:tc>
      </w:tr>
      <w:tr>
        <w:tc>
          <w:tcPr>
            <w:tcW w:type="dxa" w:w="794"/>
            <w:tcMar>
              <w:top w:w="60" w:type="dxa"/>
              <w:start w:w="60" w:type="dxa"/>
              <w:bottom w:w="60" w:type="dxa"/>
              <w:end w:w="60" w:type="dxa"/>
            </w:tcMar>
            <w:vAlign w:val="top"/>
          </w:tcPr>
          <w:p>
            <w:r/>
            <w:r>
              <w:rPr>
                <w:rFonts w:ascii="Aptos" w:hAnsi="Aptos"/>
                <w:sz w:val="16"/>
              </w:rPr>
              <w:t>5</w:t>
            </w:r>
          </w:p>
        </w:tc>
        <w:tc>
          <w:tcPr>
            <w:tcW w:type="dxa" w:w="8504"/>
            <w:tcMar>
              <w:top w:w="60" w:type="dxa"/>
              <w:start w:w="60" w:type="dxa"/>
              <w:bottom w:w="60" w:type="dxa"/>
              <w:end w:w="60" w:type="dxa"/>
            </w:tcMar>
            <w:vAlign w:val="top"/>
          </w:tcPr>
          <w:p>
            <w:r/>
            <w:r>
              <w:rPr>
                <w:rFonts w:ascii="Aptos" w:hAnsi="Aptos"/>
                <w:sz w:val="16"/>
              </w:rPr>
              <w:t>Établir les dates de lancement, approbation et première valorisation.</w:t>
            </w:r>
          </w:p>
        </w:tc>
      </w:tr>
      <w:tr>
        <w:tc>
          <w:tcPr>
            <w:tcW w:type="dxa" w:w="794"/>
            <w:tcMar>
              <w:top w:w="60" w:type="dxa"/>
              <w:start w:w="60" w:type="dxa"/>
              <w:bottom w:w="60" w:type="dxa"/>
              <w:end w:w="60" w:type="dxa"/>
            </w:tcMar>
            <w:vAlign w:val="top"/>
          </w:tcPr>
          <w:p>
            <w:r/>
            <w:r>
              <w:rPr>
                <w:rFonts w:ascii="Aptos" w:hAnsi="Aptos"/>
                <w:sz w:val="16"/>
              </w:rPr>
              <w:t>6</w:t>
            </w:r>
          </w:p>
        </w:tc>
        <w:tc>
          <w:tcPr>
            <w:tcW w:type="dxa" w:w="8504"/>
            <w:tcMar>
              <w:top w:w="60" w:type="dxa"/>
              <w:start w:w="60" w:type="dxa"/>
              <w:bottom w:w="60" w:type="dxa"/>
              <w:end w:w="60" w:type="dxa"/>
            </w:tcMar>
            <w:vAlign w:val="top"/>
          </w:tcPr>
          <w:p>
            <w:r/>
            <w:r>
              <w:rPr>
                <w:rFonts w:ascii="Aptos" w:hAnsi="Aptos"/>
                <w:sz w:val="16"/>
              </w:rPr>
              <w:t>Identifier la structure fonds/classe et les prestataires.</w:t>
            </w:r>
          </w:p>
        </w:tc>
      </w:tr>
      <w:tr>
        <w:tc>
          <w:tcPr>
            <w:tcW w:type="dxa" w:w="794"/>
            <w:tcMar>
              <w:top w:w="60" w:type="dxa"/>
              <w:start w:w="60" w:type="dxa"/>
              <w:bottom w:w="60" w:type="dxa"/>
              <w:end w:w="60" w:type="dxa"/>
            </w:tcMar>
            <w:vAlign w:val="top"/>
          </w:tcPr>
          <w:p>
            <w:r/>
            <w:r>
              <w:rPr>
                <w:rFonts w:ascii="Aptos" w:hAnsi="Aptos"/>
                <w:sz w:val="16"/>
              </w:rPr>
              <w:t>7</w:t>
            </w:r>
          </w:p>
        </w:tc>
        <w:tc>
          <w:tcPr>
            <w:tcW w:type="dxa" w:w="8504"/>
            <w:tcMar>
              <w:top w:w="60" w:type="dxa"/>
              <w:start w:w="60" w:type="dxa"/>
              <w:bottom w:w="60" w:type="dxa"/>
              <w:end w:w="60" w:type="dxa"/>
            </w:tcMar>
            <w:vAlign w:val="top"/>
          </w:tcPr>
          <w:p>
            <w:r/>
            <w:r>
              <w:rPr>
                <w:rFonts w:ascii="Aptos" w:hAnsi="Aptos"/>
                <w:sz w:val="16"/>
              </w:rPr>
              <w:t>Reconstituer tous les événements.</w:t>
            </w:r>
          </w:p>
        </w:tc>
      </w:tr>
      <w:tr>
        <w:tc>
          <w:tcPr>
            <w:tcW w:type="dxa" w:w="794"/>
            <w:tcMar>
              <w:top w:w="60" w:type="dxa"/>
              <w:start w:w="60" w:type="dxa"/>
              <w:bottom w:w="60" w:type="dxa"/>
              <w:end w:w="60" w:type="dxa"/>
            </w:tcMar>
            <w:vAlign w:val="top"/>
          </w:tcPr>
          <w:p>
            <w:r/>
            <w:r>
              <w:rPr>
                <w:rFonts w:ascii="Aptos" w:hAnsi="Aptos"/>
                <w:sz w:val="16"/>
              </w:rPr>
              <w:t>8</w:t>
            </w:r>
          </w:p>
        </w:tc>
        <w:tc>
          <w:tcPr>
            <w:tcW w:type="dxa" w:w="8504"/>
            <w:tcMar>
              <w:top w:w="60" w:type="dxa"/>
              <w:start w:w="60" w:type="dxa"/>
              <w:bottom w:w="60" w:type="dxa"/>
              <w:end w:w="60" w:type="dxa"/>
            </w:tcMar>
            <w:vAlign w:val="top"/>
          </w:tcPr>
          <w:p>
            <w:r/>
            <w:r>
              <w:rPr>
                <w:rFonts w:ascii="Aptos" w:hAnsi="Aptos"/>
                <w:sz w:val="16"/>
              </w:rPr>
              <w:t>Remplir les champs statiques avec preuves.</w:t>
            </w:r>
          </w:p>
        </w:tc>
      </w:tr>
      <w:tr>
        <w:tc>
          <w:tcPr>
            <w:tcW w:type="dxa" w:w="794"/>
            <w:tcMar>
              <w:top w:w="60" w:type="dxa"/>
              <w:start w:w="60" w:type="dxa"/>
              <w:bottom w:w="60" w:type="dxa"/>
              <w:end w:w="60" w:type="dxa"/>
            </w:tcMar>
            <w:vAlign w:val="top"/>
          </w:tcPr>
          <w:p>
            <w:r/>
            <w:r>
              <w:rPr>
                <w:rFonts w:ascii="Aptos" w:hAnsi="Aptos"/>
                <w:sz w:val="16"/>
              </w:rPr>
              <w:t>9</w:t>
            </w:r>
          </w:p>
        </w:tc>
        <w:tc>
          <w:tcPr>
            <w:tcW w:type="dxa" w:w="8504"/>
            <w:tcMar>
              <w:top w:w="60" w:type="dxa"/>
              <w:start w:w="60" w:type="dxa"/>
              <w:bottom w:w="60" w:type="dxa"/>
              <w:end w:w="60" w:type="dxa"/>
            </w:tcMar>
            <w:vAlign w:val="top"/>
          </w:tcPr>
          <w:p>
            <w:r/>
            <w:r>
              <w:rPr>
                <w:rFonts w:ascii="Aptos" w:hAnsi="Aptos"/>
                <w:sz w:val="16"/>
              </w:rPr>
              <w:t>Compléter chaque année 2012–2025.</w:t>
            </w:r>
          </w:p>
        </w:tc>
      </w:tr>
      <w:tr>
        <w:tc>
          <w:tcPr>
            <w:tcW w:type="dxa" w:w="794"/>
            <w:tcMar>
              <w:top w:w="60" w:type="dxa"/>
              <w:start w:w="60" w:type="dxa"/>
              <w:bottom w:w="60" w:type="dxa"/>
              <w:end w:w="60" w:type="dxa"/>
            </w:tcMar>
            <w:vAlign w:val="top"/>
          </w:tcPr>
          <w:p>
            <w:r/>
            <w:r>
              <w:rPr>
                <w:rFonts w:ascii="Aptos" w:hAnsi="Aptos"/>
                <w:sz w:val="16"/>
              </w:rPr>
              <w:t>10</w:t>
            </w:r>
          </w:p>
        </w:tc>
        <w:tc>
          <w:tcPr>
            <w:tcW w:type="dxa" w:w="8504"/>
            <w:tcMar>
              <w:top w:w="60" w:type="dxa"/>
              <w:start w:w="60" w:type="dxa"/>
              <w:bottom w:w="60" w:type="dxa"/>
              <w:end w:w="60" w:type="dxa"/>
            </w:tcMar>
            <w:vAlign w:val="top"/>
          </w:tcPr>
          <w:p>
            <w:r/>
            <w:r>
              <w:rPr>
                <w:rFonts w:ascii="Aptos" w:hAnsi="Aptos"/>
                <w:sz w:val="16"/>
              </w:rPr>
              <w:t>Rédiger la narration.</w:t>
            </w:r>
          </w:p>
        </w:tc>
      </w:tr>
      <w:tr>
        <w:tc>
          <w:tcPr>
            <w:tcW w:type="dxa" w:w="794"/>
            <w:tcMar>
              <w:top w:w="60" w:type="dxa"/>
              <w:start w:w="60" w:type="dxa"/>
              <w:bottom w:w="60" w:type="dxa"/>
              <w:end w:w="60" w:type="dxa"/>
            </w:tcMar>
            <w:vAlign w:val="top"/>
          </w:tcPr>
          <w:p>
            <w:r/>
            <w:r>
              <w:rPr>
                <w:rFonts w:ascii="Aptos" w:hAnsi="Aptos"/>
                <w:sz w:val="16"/>
              </w:rPr>
              <w:t>11</w:t>
            </w:r>
          </w:p>
        </w:tc>
        <w:tc>
          <w:tcPr>
            <w:tcW w:type="dxa" w:w="8504"/>
            <w:tcMar>
              <w:top w:w="60" w:type="dxa"/>
              <w:start w:w="60" w:type="dxa"/>
              <w:bottom w:w="60" w:type="dxa"/>
              <w:end w:w="60" w:type="dxa"/>
            </w:tcMar>
            <w:vAlign w:val="top"/>
          </w:tcPr>
          <w:p>
            <w:r/>
            <w:r>
              <w:rPr>
                <w:rFonts w:ascii="Aptos" w:hAnsi="Aptos"/>
                <w:sz w:val="16"/>
              </w:rPr>
              <w:t>Scorer chaque claim.</w:t>
            </w:r>
          </w:p>
        </w:tc>
      </w:tr>
      <w:tr>
        <w:tc>
          <w:tcPr>
            <w:tcW w:type="dxa" w:w="794"/>
            <w:tcMar>
              <w:top w:w="60" w:type="dxa"/>
              <w:start w:w="60" w:type="dxa"/>
              <w:bottom w:w="60" w:type="dxa"/>
              <w:end w:w="60" w:type="dxa"/>
            </w:tcMar>
            <w:vAlign w:val="top"/>
          </w:tcPr>
          <w:p>
            <w:r/>
            <w:r>
              <w:rPr>
                <w:rFonts w:ascii="Aptos" w:hAnsi="Aptos"/>
                <w:sz w:val="16"/>
              </w:rPr>
              <w:t>12</w:t>
            </w:r>
          </w:p>
        </w:tc>
        <w:tc>
          <w:tcPr>
            <w:tcW w:type="dxa" w:w="8504"/>
            <w:tcMar>
              <w:top w:w="60" w:type="dxa"/>
              <w:start w:w="60" w:type="dxa"/>
              <w:bottom w:w="60" w:type="dxa"/>
              <w:end w:w="60" w:type="dxa"/>
            </w:tcMar>
            <w:vAlign w:val="top"/>
          </w:tcPr>
          <w:p>
            <w:r/>
            <w:r>
              <w:rPr>
                <w:rFonts w:ascii="Aptos" w:hAnsi="Aptos"/>
                <w:sz w:val="16"/>
              </w:rPr>
              <w:t>Faire une revue indépendante des liens d’identité.</w:t>
            </w:r>
          </w:p>
        </w:tc>
      </w:tr>
    </w:tbl>
    <w:p>
      <w:pPr>
        <w:widowControl/>
        <w:spacing w:after="0"/>
      </w:pPr>
    </w:p>
    <w:p>
      <w:pPr>
        <w:pStyle w:val="Heading2"/>
        <w:widowControl/>
      </w:pPr>
      <w:r>
        <w:t>16.2 Critères d’acceptation finale</w:t>
      </w:r>
    </w:p>
    <w:p>
      <w:pPr>
        <w:pStyle w:val="ListNumber"/>
        <w:widowControl/>
      </w:pPr>
      <w:r>
        <w:rPr>
          <w:rFonts w:ascii="Aptos" w:hAnsi="Aptos"/>
          <w:sz w:val="18"/>
        </w:rPr>
        <w:t>Tous les fichiers officiels ciblés sont manifestés et chaque fichier a un statut d'ouverture.</w:t>
      </w:r>
    </w:p>
    <w:p>
      <w:pPr>
        <w:pStyle w:val="ListNumber"/>
        <w:widowControl/>
      </w:pPr>
      <w:r>
        <w:rPr>
          <w:rFonts w:ascii="Aptos" w:hAnsi="Aptos"/>
          <w:sz w:val="18"/>
        </w:rPr>
        <w:t>Les fichiers corrompus et les périodes non récupérables sont documentés.</w:t>
      </w:r>
    </w:p>
    <w:p>
      <w:pPr>
        <w:pStyle w:val="ListNumber"/>
        <w:widowControl/>
      </w:pPr>
      <w:r>
        <w:rPr>
          <w:rFonts w:ascii="Aptos" w:hAnsi="Aptos"/>
          <w:sz w:val="18"/>
        </w:rPr>
        <w:t>Chaque feuille est classifiée et chaque date reliée à son bloc réel.</w:t>
      </w:r>
    </w:p>
    <w:p>
      <w:pPr>
        <w:pStyle w:val="ListNumber"/>
        <w:widowControl/>
      </w:pPr>
      <w:r>
        <w:rPr>
          <w:rFonts w:ascii="Aptos" w:hAnsi="Aptos"/>
          <w:sz w:val="18"/>
        </w:rPr>
        <w:t>NAV total, Unit Price, Bid et Offer sont séparés.</w:t>
      </w:r>
    </w:p>
    <w:p>
      <w:pPr>
        <w:pStyle w:val="ListNumber"/>
        <w:widowControl/>
      </w:pPr>
      <w:r>
        <w:rPr>
          <w:rFonts w:ascii="Aptos" w:hAnsi="Aptos"/>
          <w:sz w:val="18"/>
        </w:rPr>
        <w:t>Les devises sont attachées par mesure.</w:t>
      </w:r>
    </w:p>
    <w:p>
      <w:pPr>
        <w:pStyle w:val="ListNumber"/>
        <w:widowControl/>
      </w:pPr>
      <w:r>
        <w:rPr>
          <w:rFonts w:ascii="Aptos" w:hAnsi="Aptos"/>
          <w:sz w:val="18"/>
        </w:rPr>
        <w:t>Les catégories et totaux ne deviennent pas des fonds.</w:t>
      </w:r>
    </w:p>
    <w:p>
      <w:pPr>
        <w:pStyle w:val="ListNumber"/>
        <w:widowControl/>
      </w:pPr>
      <w:r>
        <w:rPr>
          <w:rFonts w:ascii="Aptos" w:hAnsi="Aptos"/>
          <w:sz w:val="18"/>
        </w:rPr>
        <w:t>Les répétitions hebdomadaires sont dédupliquées sans perte de provenance.</w:t>
      </w:r>
    </w:p>
    <w:p>
      <w:pPr>
        <w:pStyle w:val="ListNumber"/>
        <w:widowControl/>
      </w:pPr>
      <w:r>
        <w:rPr>
          <w:rFonts w:ascii="Aptos" w:hAnsi="Aptos"/>
          <w:sz w:val="18"/>
        </w:rPr>
        <w:t>Les conflits sont conservés et les choix expliqués.</w:t>
      </w:r>
    </w:p>
    <w:p>
      <w:pPr>
        <w:pStyle w:val="ListNumber"/>
        <w:widowControl/>
      </w:pPr>
      <w:r>
        <w:rPr>
          <w:rFonts w:ascii="Aptos" w:hAnsi="Aptos"/>
          <w:sz w:val="18"/>
        </w:rPr>
        <w:t>Les fonds sont harmonisés avec preuves et niveaux de confiance.</w:t>
      </w:r>
    </w:p>
    <w:p>
      <w:pPr>
        <w:pStyle w:val="ListNumber"/>
        <w:widowControl/>
      </w:pPr>
      <w:r>
        <w:rPr>
          <w:rFonts w:ascii="Aptos" w:hAnsi="Aptos"/>
          <w:sz w:val="18"/>
        </w:rPr>
        <w:t>Les gestionnaires, classes et prestataires sont historisés.</w:t>
      </w:r>
    </w:p>
    <w:p>
      <w:pPr>
        <w:pStyle w:val="ListNumber"/>
        <w:widowControl/>
      </w:pPr>
      <w:r>
        <w:rPr>
          <w:rFonts w:ascii="Aptos" w:hAnsi="Aptos"/>
          <w:sz w:val="18"/>
        </w:rPr>
        <w:t>Les événements juridiques sont datés et sourcés.</w:t>
      </w:r>
    </w:p>
    <w:p>
      <w:pPr>
        <w:pStyle w:val="ListNumber"/>
        <w:widowControl/>
      </w:pPr>
      <w:r>
        <w:rPr>
          <w:rFonts w:ascii="Aptos" w:hAnsi="Aptos"/>
          <w:sz w:val="18"/>
        </w:rPr>
        <w:t>Les cellules du DataFrame ont une source ou un motif de non-renseignement.</w:t>
      </w:r>
    </w:p>
    <w:p>
      <w:pPr>
        <w:pStyle w:val="ListNumber"/>
        <w:widowControl/>
      </w:pPr>
      <w:r>
        <w:rPr>
          <w:rFonts w:ascii="Aptos" w:hAnsi="Aptos"/>
          <w:sz w:val="18"/>
        </w:rPr>
        <w:t>La liste récente est rapprochée de l'historique sans effacer les fonds disparus.</w:t>
      </w:r>
    </w:p>
    <w:p>
      <w:pPr>
        <w:pStyle w:val="ListNumber"/>
        <w:widowControl/>
      </w:pPr>
      <w:r>
        <w:rPr>
          <w:rFonts w:ascii="Aptos" w:hAnsi="Aptos"/>
          <w:sz w:val="18"/>
        </w:rPr>
        <w:t>La base ProAfricaFund est comparée observation par observation.</w:t>
      </w:r>
    </w:p>
    <w:p>
      <w:pPr>
        <w:pStyle w:val="ListNumber"/>
        <w:widowControl/>
      </w:pPr>
      <w:r>
        <w:rPr>
          <w:rFonts w:ascii="Aptos" w:hAnsi="Aptos"/>
          <w:sz w:val="18"/>
        </w:rPr>
        <w:t>Le cron est idempotent et produit un rapport de contrôle.</w:t>
      </w:r>
    </w:p>
    <w:p>
      <w:pPr>
        <w:pStyle w:val="ListNumber"/>
        <w:widowControl/>
      </w:pPr>
      <w:r>
        <w:rPr>
          <w:rFonts w:ascii="Aptos" w:hAnsi="Aptos"/>
          <w:sz w:val="18"/>
        </w:rPr>
        <w:t>Aucune donnée d'un autre pays n'est modifiée.</w:t>
      </w:r>
    </w:p>
    <w:p>
      <w:pPr>
        <w:pStyle w:val="ListNumber"/>
        <w:widowControl/>
      </w:pPr>
      <w:r>
        <w:rPr>
          <w:rFonts w:ascii="Aptos" w:hAnsi="Aptos"/>
          <w:sz w:val="18"/>
        </w:rPr>
        <w:t>Le rollback est testé et documenté.</w:t>
      </w:r>
    </w:p>
    <w:p>
      <w:pPr>
        <w:pStyle w:val="ListNumber"/>
        <w:widowControl/>
      </w:pPr>
      <w:r>
        <w:rPr>
          <w:rFonts w:ascii="Aptos" w:hAnsi="Aptos"/>
          <w:sz w:val="18"/>
        </w:rPr>
        <w:t>Un reviewer indépendant approuve les fusions d'identités et les corrections de production.</w:t>
      </w:r>
    </w:p>
    <w:p>
      <w:pPr>
        <w:pStyle w:val="Heading2"/>
        <w:widowControl/>
      </w:pPr>
      <w:r>
        <w:t>16.3 Définition de « terminé »</w:t>
      </w:r>
    </w:p>
    <w:tbl>
      <w:tblPr>
        <w:tblW w:type="auto" w:w="0"/>
        <w:jc w:val="center"/>
        <w:tblLayout w:type="autofit"/>
        <w:tblLook w:firstColumn="1" w:firstRow="1" w:lastColumn="0" w:lastRow="0" w:noHBand="0" w:noVBand="1" w:val="04A0"/>
      </w:tblPr>
      <w:tblGrid>
        <w:gridCol w:w="10200"/>
      </w:tblGrid>
      <w:tr>
        <w:tc>
          <w:tcPr>
            <w:tcW w:type="dxa" w:w="10200"/>
            <w:shd w:fill="E8F5E9"/>
            <w:tcMar>
              <w:top w:w="140" w:type="dxa"/>
              <w:start w:w="150" w:type="dxa"/>
              <w:bottom w:w="140" w:type="dxa"/>
              <w:end w:w="150" w:type="dxa"/>
            </w:tcMar>
          </w:tcPr>
          <w:p>
            <w:r>
              <w:rPr>
                <w:rFonts w:ascii="Aptos" w:hAnsi="Aptos"/>
                <w:b/>
                <w:color w:val="123E5E"/>
                <w:sz w:val="18"/>
              </w:rPr>
              <w:t xml:space="preserve">Terminé — </w:t>
            </w:r>
            <w:r>
              <w:rPr>
                <w:rFonts w:ascii="Aptos" w:hAnsi="Aptos"/>
                <w:sz w:val="18"/>
              </w:rPr>
              <w:t>Le projet n'est pas terminé lorsque le maximum de lignes a été chargé. Il est terminé lorsqu'un utilisateur peut expliquer la bonne date, le bon fonds, le bon gestionnaire, la bonne mesure, la bonne devise, la bonne source, la bonne règle de sélection et la continuité juridique de chaque observation.</w:t>
            </w:r>
          </w:p>
        </w:tc>
      </w:tr>
    </w:tbl>
    <w:p>
      <w:pPr>
        <w:widowControl/>
        <w:spacing w:after="0"/>
      </w:pPr>
    </w:p>
    <w:p>
      <w:pPr>
        <w:widowControl/>
      </w:pPr>
      <w:r>
        <w:br w:type="page"/>
      </w:r>
    </w:p>
    <w:p>
      <w:pPr>
        <w:widowControl/>
        <w:jc w:val="center"/>
      </w:pPr>
      <w:r>
        <w:rPr>
          <w:rFonts w:ascii="Aptos Display" w:hAnsi="Aptos Display"/>
          <w:b/>
          <w:color w:val="123E5E"/>
          <w:sz w:val="44"/>
        </w:rPr>
        <w:t>ANNEXE A — REGISTRE DES SOURCES OFFICIELLES ET TECHNIQUES</w:t>
      </w:r>
    </w:p>
    <w:p>
      <w:pPr>
        <w:widowControl/>
        <w:jc w:val="center"/>
      </w:pPr>
      <w:r>
        <w:rPr>
          <w:rFonts w:ascii="Aptos" w:hAnsi="Aptos"/>
          <w:i/>
          <w:color w:val="505050"/>
          <w:sz w:val="22"/>
        </w:rPr>
        <w:t>URLs de départ à conserver dans la configuration, avec date d’accès</w:t>
      </w:r>
    </w:p>
    <w:p>
      <w:pPr>
        <w:widowControl/>
      </w:pP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1020"/>
            <w:shd w:fill="D9EAF2"/>
            <w:tcMar>
              <w:top w:w="70" w:type="dxa"/>
              <w:start w:w="70" w:type="dxa"/>
              <w:bottom w:w="70" w:type="dxa"/>
              <w:end w:w="70" w:type="dxa"/>
            </w:tcMar>
            <w:vAlign w:val="center"/>
          </w:tcPr>
          <w:p>
            <w:r/>
            <w:r>
              <w:rPr>
                <w:rFonts w:ascii="Aptos" w:hAnsi="Aptos"/>
                <w:b/>
                <w:color w:val="123E5E"/>
                <w:sz w:val="13"/>
              </w:rPr>
              <w:t>Code</w:t>
            </w:r>
          </w:p>
        </w:tc>
        <w:tc>
          <w:tcPr>
            <w:tcW w:type="dxa" w:w="2608"/>
            <w:shd w:fill="D9EAF2"/>
            <w:tcMar>
              <w:top w:w="70" w:type="dxa"/>
              <w:start w:w="70" w:type="dxa"/>
              <w:bottom w:w="70" w:type="dxa"/>
              <w:end w:w="70" w:type="dxa"/>
            </w:tcMar>
            <w:vAlign w:val="center"/>
          </w:tcPr>
          <w:p>
            <w:r/>
            <w:r>
              <w:rPr>
                <w:rFonts w:ascii="Aptos" w:hAnsi="Aptos"/>
                <w:b/>
                <w:color w:val="123E5E"/>
                <w:sz w:val="13"/>
              </w:rPr>
              <w:t>Source</w:t>
            </w:r>
          </w:p>
        </w:tc>
        <w:tc>
          <w:tcPr>
            <w:tcW w:type="dxa" w:w="4252"/>
            <w:shd w:fill="D9EAF2"/>
            <w:tcMar>
              <w:top w:w="70" w:type="dxa"/>
              <w:start w:w="70" w:type="dxa"/>
              <w:bottom w:w="70" w:type="dxa"/>
              <w:end w:w="70" w:type="dxa"/>
            </w:tcMar>
            <w:vAlign w:val="center"/>
          </w:tcPr>
          <w:p>
            <w:r/>
            <w:r>
              <w:rPr>
                <w:rFonts w:ascii="Aptos" w:hAnsi="Aptos"/>
                <w:b/>
                <w:color w:val="123E5E"/>
                <w:sz w:val="13"/>
              </w:rPr>
              <w:t>URL / emplacement</w:t>
            </w:r>
          </w:p>
        </w:tc>
        <w:tc>
          <w:tcPr>
            <w:tcW w:type="dxa" w:w="2665"/>
            <w:shd w:fill="D9EAF2"/>
            <w:tcMar>
              <w:top w:w="70" w:type="dxa"/>
              <w:start w:w="70" w:type="dxa"/>
              <w:bottom w:w="70" w:type="dxa"/>
              <w:end w:w="70" w:type="dxa"/>
            </w:tcMar>
            <w:vAlign w:val="center"/>
          </w:tcPr>
          <w:p>
            <w:r/>
            <w:r>
              <w:rPr>
                <w:rFonts w:ascii="Aptos" w:hAnsi="Aptos"/>
                <w:b/>
                <w:color w:val="123E5E"/>
                <w:sz w:val="13"/>
              </w:rPr>
              <w:t>Usage</w:t>
            </w:r>
          </w:p>
        </w:tc>
      </w:tr>
      <w:tr>
        <w:tc>
          <w:tcPr>
            <w:tcW w:type="dxa" w:w="1020"/>
            <w:tcMar>
              <w:top w:w="60" w:type="dxa"/>
              <w:start w:w="60" w:type="dxa"/>
              <w:bottom w:w="60" w:type="dxa"/>
              <w:end w:w="60" w:type="dxa"/>
            </w:tcMar>
            <w:vAlign w:val="top"/>
          </w:tcPr>
          <w:p>
            <w:r/>
            <w:r>
              <w:rPr>
                <w:rFonts w:ascii="Aptos" w:hAnsi="Aptos"/>
                <w:sz w:val="13"/>
              </w:rPr>
              <w:t>WEB-01</w:t>
            </w:r>
          </w:p>
        </w:tc>
        <w:tc>
          <w:tcPr>
            <w:tcW w:type="dxa" w:w="2608"/>
            <w:tcMar>
              <w:top w:w="60" w:type="dxa"/>
              <w:start w:w="60" w:type="dxa"/>
              <w:bottom w:w="60" w:type="dxa"/>
              <w:end w:w="60" w:type="dxa"/>
            </w:tcMar>
            <w:vAlign w:val="top"/>
          </w:tcPr>
          <w:p>
            <w:r/>
            <w:r>
              <w:rPr>
                <w:rFonts w:ascii="Aptos" w:hAnsi="Aptos"/>
                <w:sz w:val="13"/>
              </w:rPr>
              <w:t>SEC — Weekly NAV for CIS</w:t>
            </w:r>
          </w:p>
        </w:tc>
        <w:tc>
          <w:tcPr>
            <w:tcW w:type="dxa" w:w="4252"/>
            <w:tcMar>
              <w:top w:w="60" w:type="dxa"/>
              <w:start w:w="60" w:type="dxa"/>
              <w:bottom w:w="60" w:type="dxa"/>
              <w:end w:w="60" w:type="dxa"/>
            </w:tcMar>
            <w:vAlign w:val="top"/>
          </w:tcPr>
          <w:p>
            <w:r/>
            <w:r>
              <w:rPr>
                <w:rFonts w:ascii="Aptos" w:hAnsi="Aptos"/>
                <w:sz w:val="13"/>
              </w:rPr>
              <w:t>https://sec.gov.ng/for-operators/keep-track-of-capital-market-data/net-asset-value-data/weekly-net-asset-value-for-cis/</w:t>
            </w:r>
          </w:p>
        </w:tc>
        <w:tc>
          <w:tcPr>
            <w:tcW w:type="dxa" w:w="2665"/>
            <w:tcMar>
              <w:top w:w="60" w:type="dxa"/>
              <w:start w:w="60" w:type="dxa"/>
              <w:bottom w:w="60" w:type="dxa"/>
              <w:end w:w="60" w:type="dxa"/>
            </w:tcMar>
            <w:vAlign w:val="top"/>
          </w:tcPr>
          <w:p>
            <w:r/>
            <w:r>
              <w:rPr>
                <w:rFonts w:ascii="Aptos" w:hAnsi="Aptos"/>
                <w:sz w:val="13"/>
              </w:rPr>
              <w:t>Observations hebdomadaires.</w:t>
            </w:r>
          </w:p>
        </w:tc>
      </w:tr>
      <w:tr>
        <w:tc>
          <w:tcPr>
            <w:tcW w:type="dxa" w:w="1020"/>
            <w:tcMar>
              <w:top w:w="60" w:type="dxa"/>
              <w:start w:w="60" w:type="dxa"/>
              <w:bottom w:w="60" w:type="dxa"/>
              <w:end w:w="60" w:type="dxa"/>
            </w:tcMar>
            <w:vAlign w:val="top"/>
          </w:tcPr>
          <w:p>
            <w:r/>
            <w:r>
              <w:rPr>
                <w:rFonts w:ascii="Aptos" w:hAnsi="Aptos"/>
                <w:sz w:val="13"/>
              </w:rPr>
              <w:t>WEB-02</w:t>
            </w:r>
          </w:p>
        </w:tc>
        <w:tc>
          <w:tcPr>
            <w:tcW w:type="dxa" w:w="2608"/>
            <w:tcMar>
              <w:top w:w="60" w:type="dxa"/>
              <w:start w:w="60" w:type="dxa"/>
              <w:bottom w:w="60" w:type="dxa"/>
              <w:end w:w="60" w:type="dxa"/>
            </w:tcMar>
            <w:vAlign w:val="top"/>
          </w:tcPr>
          <w:p>
            <w:r/>
            <w:r>
              <w:rPr>
                <w:rFonts w:ascii="Aptos" w:hAnsi="Aptos"/>
                <w:sz w:val="13"/>
              </w:rPr>
              <w:t>SEC — Monthly NAV for CIS</w:t>
            </w:r>
          </w:p>
        </w:tc>
        <w:tc>
          <w:tcPr>
            <w:tcW w:type="dxa" w:w="4252"/>
            <w:tcMar>
              <w:top w:w="60" w:type="dxa"/>
              <w:start w:w="60" w:type="dxa"/>
              <w:bottom w:w="60" w:type="dxa"/>
              <w:end w:w="60" w:type="dxa"/>
            </w:tcMar>
            <w:vAlign w:val="top"/>
          </w:tcPr>
          <w:p>
            <w:r/>
            <w:r>
              <w:rPr>
                <w:rFonts w:ascii="Aptos" w:hAnsi="Aptos"/>
                <w:sz w:val="13"/>
              </w:rPr>
              <w:t>https://sec.gov.ng/for-operators/keep-track-of-capital-market-data/net-asset-value-data/monthly-net-asset-value-for-collective-investment-schemes/</w:t>
            </w:r>
          </w:p>
        </w:tc>
        <w:tc>
          <w:tcPr>
            <w:tcW w:type="dxa" w:w="2665"/>
            <w:tcMar>
              <w:top w:w="60" w:type="dxa"/>
              <w:start w:w="60" w:type="dxa"/>
              <w:bottom w:w="60" w:type="dxa"/>
              <w:end w:w="60" w:type="dxa"/>
            </w:tcMar>
            <w:vAlign w:val="top"/>
          </w:tcPr>
          <w:p>
            <w:r/>
            <w:r>
              <w:rPr>
                <w:rFonts w:ascii="Aptos" w:hAnsi="Aptos"/>
                <w:sz w:val="13"/>
              </w:rPr>
              <w:t>Photographies mensuelles.</w:t>
            </w:r>
          </w:p>
        </w:tc>
      </w:tr>
      <w:tr>
        <w:tc>
          <w:tcPr>
            <w:tcW w:type="dxa" w:w="1020"/>
            <w:tcMar>
              <w:top w:w="60" w:type="dxa"/>
              <w:start w:w="60" w:type="dxa"/>
              <w:bottom w:w="60" w:type="dxa"/>
              <w:end w:w="60" w:type="dxa"/>
            </w:tcMar>
            <w:vAlign w:val="top"/>
          </w:tcPr>
          <w:p>
            <w:r/>
            <w:r>
              <w:rPr>
                <w:rFonts w:ascii="Aptos" w:hAnsi="Aptos"/>
                <w:sz w:val="13"/>
              </w:rPr>
              <w:t>WEB-03</w:t>
            </w:r>
          </w:p>
        </w:tc>
        <w:tc>
          <w:tcPr>
            <w:tcW w:type="dxa" w:w="2608"/>
            <w:tcMar>
              <w:top w:w="60" w:type="dxa"/>
              <w:start w:w="60" w:type="dxa"/>
              <w:bottom w:w="60" w:type="dxa"/>
              <w:end w:w="60" w:type="dxa"/>
            </w:tcMar>
            <w:vAlign w:val="top"/>
          </w:tcPr>
          <w:p>
            <w:r/>
            <w:r>
              <w:rPr>
                <w:rFonts w:ascii="Aptos" w:hAnsi="Aptos"/>
                <w:sz w:val="13"/>
              </w:rPr>
              <w:t>SEC — Registered Operators</w:t>
            </w:r>
          </w:p>
        </w:tc>
        <w:tc>
          <w:tcPr>
            <w:tcW w:type="dxa" w:w="4252"/>
            <w:tcMar>
              <w:top w:w="60" w:type="dxa"/>
              <w:start w:w="60" w:type="dxa"/>
              <w:bottom w:w="60" w:type="dxa"/>
              <w:end w:w="60" w:type="dxa"/>
            </w:tcMar>
            <w:vAlign w:val="top"/>
          </w:tcPr>
          <w:p>
            <w:r/>
            <w:r>
              <w:rPr>
                <w:rFonts w:ascii="Aptos" w:hAnsi="Aptos"/>
                <w:sz w:val="13"/>
              </w:rPr>
              <w:t>https://sec.gov.ng/for-investors/find-a-registered-operator/</w:t>
            </w:r>
          </w:p>
        </w:tc>
        <w:tc>
          <w:tcPr>
            <w:tcW w:type="dxa" w:w="2665"/>
            <w:tcMar>
              <w:top w:w="60" w:type="dxa"/>
              <w:start w:w="60" w:type="dxa"/>
              <w:bottom w:w="60" w:type="dxa"/>
              <w:end w:w="60" w:type="dxa"/>
            </w:tcMar>
            <w:vAlign w:val="top"/>
          </w:tcPr>
          <w:p>
            <w:r/>
            <w:r>
              <w:rPr>
                <w:rFonts w:ascii="Aptos" w:hAnsi="Aptos"/>
                <w:sz w:val="13"/>
              </w:rPr>
              <w:t>Identité et statut des opérateurs.</w:t>
            </w:r>
          </w:p>
        </w:tc>
      </w:tr>
      <w:tr>
        <w:tc>
          <w:tcPr>
            <w:tcW w:type="dxa" w:w="1020"/>
            <w:tcMar>
              <w:top w:w="60" w:type="dxa"/>
              <w:start w:w="60" w:type="dxa"/>
              <w:bottom w:w="60" w:type="dxa"/>
              <w:end w:w="60" w:type="dxa"/>
            </w:tcMar>
            <w:vAlign w:val="top"/>
          </w:tcPr>
          <w:p>
            <w:r/>
            <w:r>
              <w:rPr>
                <w:rFonts w:ascii="Aptos" w:hAnsi="Aptos"/>
                <w:sz w:val="13"/>
              </w:rPr>
              <w:t>WEB-04</w:t>
            </w:r>
          </w:p>
        </w:tc>
        <w:tc>
          <w:tcPr>
            <w:tcW w:type="dxa" w:w="2608"/>
            <w:tcMar>
              <w:top w:w="60" w:type="dxa"/>
              <w:start w:w="60" w:type="dxa"/>
              <w:bottom w:w="60" w:type="dxa"/>
              <w:end w:w="60" w:type="dxa"/>
            </w:tcMar>
            <w:vAlign w:val="top"/>
          </w:tcPr>
          <w:p>
            <w:r/>
            <w:r>
              <w:rPr>
                <w:rFonts w:ascii="Aptos" w:hAnsi="Aptos"/>
                <w:sz w:val="13"/>
              </w:rPr>
              <w:t>SEC — Rules and Regulations</w:t>
            </w:r>
          </w:p>
        </w:tc>
        <w:tc>
          <w:tcPr>
            <w:tcW w:type="dxa" w:w="4252"/>
            <w:tcMar>
              <w:top w:w="60" w:type="dxa"/>
              <w:start w:w="60" w:type="dxa"/>
              <w:bottom w:w="60" w:type="dxa"/>
              <w:end w:w="60" w:type="dxa"/>
            </w:tcMar>
            <w:vAlign w:val="top"/>
          </w:tcPr>
          <w:p>
            <w:r/>
            <w:r>
              <w:rPr>
                <w:rFonts w:ascii="Aptos" w:hAnsi="Aptos"/>
                <w:sz w:val="13"/>
              </w:rPr>
              <w:t>https://home.sec.gov.ng/our-mandate/regulation/rules-and-regulations/</w:t>
            </w:r>
          </w:p>
        </w:tc>
        <w:tc>
          <w:tcPr>
            <w:tcW w:type="dxa" w:w="2665"/>
            <w:tcMar>
              <w:top w:w="60" w:type="dxa"/>
              <w:start w:w="60" w:type="dxa"/>
              <w:bottom w:w="60" w:type="dxa"/>
              <w:end w:w="60" w:type="dxa"/>
            </w:tcMar>
            <w:vAlign w:val="top"/>
          </w:tcPr>
          <w:p>
            <w:r/>
            <w:r>
              <w:rPr>
                <w:rFonts w:ascii="Aptos" w:hAnsi="Aptos"/>
                <w:sz w:val="13"/>
              </w:rPr>
              <w:t>Règles et amendements.</w:t>
            </w:r>
          </w:p>
        </w:tc>
      </w:tr>
      <w:tr>
        <w:tc>
          <w:tcPr>
            <w:tcW w:type="dxa" w:w="1020"/>
            <w:tcMar>
              <w:top w:w="60" w:type="dxa"/>
              <w:start w:w="60" w:type="dxa"/>
              <w:bottom w:w="60" w:type="dxa"/>
              <w:end w:w="60" w:type="dxa"/>
            </w:tcMar>
            <w:vAlign w:val="top"/>
          </w:tcPr>
          <w:p>
            <w:r/>
            <w:r>
              <w:rPr>
                <w:rFonts w:ascii="Aptos" w:hAnsi="Aptos"/>
                <w:sz w:val="13"/>
              </w:rPr>
              <w:t>WEB-05</w:t>
            </w:r>
          </w:p>
        </w:tc>
        <w:tc>
          <w:tcPr>
            <w:tcW w:type="dxa" w:w="2608"/>
            <w:tcMar>
              <w:top w:w="60" w:type="dxa"/>
              <w:start w:w="60" w:type="dxa"/>
              <w:bottom w:w="60" w:type="dxa"/>
              <w:end w:w="60" w:type="dxa"/>
            </w:tcMar>
            <w:vAlign w:val="top"/>
          </w:tcPr>
          <w:p>
            <w:r/>
            <w:r>
              <w:rPr>
                <w:rFonts w:ascii="Aptos" w:hAnsi="Aptos"/>
                <w:sz w:val="13"/>
              </w:rPr>
              <w:t>SEC — Circulars</w:t>
            </w:r>
          </w:p>
        </w:tc>
        <w:tc>
          <w:tcPr>
            <w:tcW w:type="dxa" w:w="4252"/>
            <w:tcMar>
              <w:top w:w="60" w:type="dxa"/>
              <w:start w:w="60" w:type="dxa"/>
              <w:bottom w:w="60" w:type="dxa"/>
              <w:end w:w="60" w:type="dxa"/>
            </w:tcMar>
            <w:vAlign w:val="top"/>
          </w:tcPr>
          <w:p>
            <w:r/>
            <w:r>
              <w:rPr>
                <w:rFonts w:ascii="Aptos" w:hAnsi="Aptos"/>
                <w:sz w:val="13"/>
              </w:rPr>
              <w:t>https://sec.gov.ng/for-investors/keep-track-of-circulars/</w:t>
            </w:r>
          </w:p>
        </w:tc>
        <w:tc>
          <w:tcPr>
            <w:tcW w:type="dxa" w:w="2665"/>
            <w:tcMar>
              <w:top w:w="60" w:type="dxa"/>
              <w:start w:w="60" w:type="dxa"/>
              <w:bottom w:w="60" w:type="dxa"/>
              <w:end w:w="60" w:type="dxa"/>
            </w:tcMar>
            <w:vAlign w:val="top"/>
          </w:tcPr>
          <w:p>
            <w:r/>
            <w:r>
              <w:rPr>
                <w:rFonts w:ascii="Aptos" w:hAnsi="Aptos"/>
                <w:sz w:val="13"/>
              </w:rPr>
              <w:t>Circulaires.</w:t>
            </w:r>
          </w:p>
        </w:tc>
      </w:tr>
      <w:tr>
        <w:tc>
          <w:tcPr>
            <w:tcW w:type="dxa" w:w="1020"/>
            <w:tcMar>
              <w:top w:w="60" w:type="dxa"/>
              <w:start w:w="60" w:type="dxa"/>
              <w:bottom w:w="60" w:type="dxa"/>
              <w:end w:w="60" w:type="dxa"/>
            </w:tcMar>
            <w:vAlign w:val="top"/>
          </w:tcPr>
          <w:p>
            <w:r/>
            <w:r>
              <w:rPr>
                <w:rFonts w:ascii="Aptos" w:hAnsi="Aptos"/>
                <w:sz w:val="13"/>
              </w:rPr>
              <w:t>WEB-06</w:t>
            </w:r>
          </w:p>
        </w:tc>
        <w:tc>
          <w:tcPr>
            <w:tcW w:type="dxa" w:w="2608"/>
            <w:tcMar>
              <w:top w:w="60" w:type="dxa"/>
              <w:start w:w="60" w:type="dxa"/>
              <w:bottom w:w="60" w:type="dxa"/>
              <w:end w:w="60" w:type="dxa"/>
            </w:tcMar>
            <w:vAlign w:val="top"/>
          </w:tcPr>
          <w:p>
            <w:r/>
            <w:r>
              <w:rPr>
                <w:rFonts w:ascii="Aptos" w:hAnsi="Aptos"/>
                <w:sz w:val="13"/>
              </w:rPr>
              <w:t>SEC — FAQ CIS</w:t>
            </w:r>
          </w:p>
        </w:tc>
        <w:tc>
          <w:tcPr>
            <w:tcW w:type="dxa" w:w="4252"/>
            <w:tcMar>
              <w:top w:w="60" w:type="dxa"/>
              <w:start w:w="60" w:type="dxa"/>
              <w:bottom w:w="60" w:type="dxa"/>
              <w:end w:w="60" w:type="dxa"/>
            </w:tcMar>
            <w:vAlign w:val="top"/>
          </w:tcPr>
          <w:p>
            <w:r/>
            <w:r>
              <w:rPr>
                <w:rFonts w:ascii="Aptos" w:hAnsi="Aptos"/>
                <w:sz w:val="13"/>
              </w:rPr>
              <w:t>https://sec.gov.ng/about/resources/frequently-asked-questions/faqs-on-collective-investment-schemes/</w:t>
            </w:r>
          </w:p>
        </w:tc>
        <w:tc>
          <w:tcPr>
            <w:tcW w:type="dxa" w:w="2665"/>
            <w:tcMar>
              <w:top w:w="60" w:type="dxa"/>
              <w:start w:w="60" w:type="dxa"/>
              <w:bottom w:w="60" w:type="dxa"/>
              <w:end w:w="60" w:type="dxa"/>
            </w:tcMar>
            <w:vAlign w:val="top"/>
          </w:tcPr>
          <w:p>
            <w:r/>
            <w:r>
              <w:rPr>
                <w:rFonts w:ascii="Aptos" w:hAnsi="Aptos"/>
                <w:sz w:val="13"/>
              </w:rPr>
              <w:t>Cadre général.</w:t>
            </w:r>
          </w:p>
        </w:tc>
      </w:tr>
      <w:tr>
        <w:tc>
          <w:tcPr>
            <w:tcW w:type="dxa" w:w="1020"/>
            <w:tcMar>
              <w:top w:w="60" w:type="dxa"/>
              <w:start w:w="60" w:type="dxa"/>
              <w:bottom w:w="60" w:type="dxa"/>
              <w:end w:w="60" w:type="dxa"/>
            </w:tcMar>
            <w:vAlign w:val="top"/>
          </w:tcPr>
          <w:p>
            <w:r/>
            <w:r>
              <w:rPr>
                <w:rFonts w:ascii="Aptos" w:hAnsi="Aptos"/>
                <w:sz w:val="13"/>
              </w:rPr>
              <w:t>WEB-07</w:t>
            </w:r>
          </w:p>
        </w:tc>
        <w:tc>
          <w:tcPr>
            <w:tcW w:type="dxa" w:w="2608"/>
            <w:tcMar>
              <w:top w:w="60" w:type="dxa"/>
              <w:start w:w="60" w:type="dxa"/>
              <w:bottom w:w="60" w:type="dxa"/>
              <w:end w:w="60" w:type="dxa"/>
            </w:tcMar>
            <w:vAlign w:val="top"/>
          </w:tcPr>
          <w:p>
            <w:r/>
            <w:r>
              <w:rPr>
                <w:rFonts w:ascii="Aptos" w:hAnsi="Aptos"/>
                <w:sz w:val="13"/>
              </w:rPr>
              <w:t>SEC — Registration checklists</w:t>
            </w:r>
          </w:p>
        </w:tc>
        <w:tc>
          <w:tcPr>
            <w:tcW w:type="dxa" w:w="4252"/>
            <w:tcMar>
              <w:top w:w="60" w:type="dxa"/>
              <w:start w:w="60" w:type="dxa"/>
              <w:bottom w:w="60" w:type="dxa"/>
              <w:end w:w="60" w:type="dxa"/>
            </w:tcMar>
            <w:vAlign w:val="top"/>
          </w:tcPr>
          <w:p>
            <w:r/>
            <w:r>
              <w:rPr>
                <w:rFonts w:ascii="Aptos" w:hAnsi="Aptos"/>
                <w:sz w:val="13"/>
              </w:rPr>
              <w:t>https://sec.gov.ng/about/resources/checklists/registration-of-ipos-cis-reit-etf-pevc-infrastructure-and-specialized-funds/</w:t>
            </w:r>
          </w:p>
        </w:tc>
        <w:tc>
          <w:tcPr>
            <w:tcW w:type="dxa" w:w="2665"/>
            <w:tcMar>
              <w:top w:w="60" w:type="dxa"/>
              <w:start w:w="60" w:type="dxa"/>
              <w:bottom w:w="60" w:type="dxa"/>
              <w:end w:w="60" w:type="dxa"/>
            </w:tcMar>
            <w:vAlign w:val="top"/>
          </w:tcPr>
          <w:p>
            <w:r/>
            <w:r>
              <w:rPr>
                <w:rFonts w:ascii="Aptos" w:hAnsi="Aptos"/>
                <w:sz w:val="13"/>
              </w:rPr>
              <w:t>Pièces et rôles attendus.</w:t>
            </w:r>
          </w:p>
        </w:tc>
      </w:tr>
      <w:tr>
        <w:tc>
          <w:tcPr>
            <w:tcW w:type="dxa" w:w="1020"/>
            <w:tcMar>
              <w:top w:w="60" w:type="dxa"/>
              <w:start w:w="60" w:type="dxa"/>
              <w:bottom w:w="60" w:type="dxa"/>
              <w:end w:w="60" w:type="dxa"/>
            </w:tcMar>
            <w:vAlign w:val="top"/>
          </w:tcPr>
          <w:p>
            <w:r/>
            <w:r>
              <w:rPr>
                <w:rFonts w:ascii="Aptos" w:hAnsi="Aptos"/>
                <w:sz w:val="13"/>
              </w:rPr>
              <w:t>WEB-08</w:t>
            </w:r>
          </w:p>
        </w:tc>
        <w:tc>
          <w:tcPr>
            <w:tcW w:type="dxa" w:w="2608"/>
            <w:tcMar>
              <w:top w:w="60" w:type="dxa"/>
              <w:start w:w="60" w:type="dxa"/>
              <w:bottom w:w="60" w:type="dxa"/>
              <w:end w:w="60" w:type="dxa"/>
            </w:tcMar>
            <w:vAlign w:val="top"/>
          </w:tcPr>
          <w:p>
            <w:r/>
            <w:r>
              <w:rPr>
                <w:rFonts w:ascii="Aptos" w:hAnsi="Aptos"/>
                <w:sz w:val="13"/>
              </w:rPr>
              <w:t>SEC — Investments and Securities Act 2025</w:t>
            </w:r>
          </w:p>
        </w:tc>
        <w:tc>
          <w:tcPr>
            <w:tcW w:type="dxa" w:w="4252"/>
            <w:tcMar>
              <w:top w:w="60" w:type="dxa"/>
              <w:start w:w="60" w:type="dxa"/>
              <w:bottom w:w="60" w:type="dxa"/>
              <w:end w:w="60" w:type="dxa"/>
            </w:tcMar>
            <w:vAlign w:val="top"/>
          </w:tcPr>
          <w:p>
            <w:r/>
            <w:r>
              <w:rPr>
                <w:rFonts w:ascii="Aptos" w:hAnsi="Aptos"/>
                <w:sz w:val="13"/>
              </w:rPr>
              <w:t>https://sec.gov.ng/documents/1319/Investments_and_Securities_Act_2025_x9rSXtI.pdf</w:t>
            </w:r>
          </w:p>
        </w:tc>
        <w:tc>
          <w:tcPr>
            <w:tcW w:type="dxa" w:w="2665"/>
            <w:tcMar>
              <w:top w:w="60" w:type="dxa"/>
              <w:start w:w="60" w:type="dxa"/>
              <w:bottom w:w="60" w:type="dxa"/>
              <w:end w:w="60" w:type="dxa"/>
            </w:tcMar>
            <w:vAlign w:val="top"/>
          </w:tcPr>
          <w:p>
            <w:r/>
            <w:r>
              <w:rPr>
                <w:rFonts w:ascii="Aptos" w:hAnsi="Aptos"/>
                <w:sz w:val="13"/>
              </w:rPr>
              <w:t>Cadre légal actuel.</w:t>
            </w:r>
          </w:p>
        </w:tc>
      </w:tr>
      <w:tr>
        <w:tc>
          <w:tcPr>
            <w:tcW w:type="dxa" w:w="1020"/>
            <w:tcMar>
              <w:top w:w="60" w:type="dxa"/>
              <w:start w:w="60" w:type="dxa"/>
              <w:bottom w:w="60" w:type="dxa"/>
              <w:end w:w="60" w:type="dxa"/>
            </w:tcMar>
            <w:vAlign w:val="top"/>
          </w:tcPr>
          <w:p>
            <w:r/>
            <w:r>
              <w:rPr>
                <w:rFonts w:ascii="Aptos" w:hAnsi="Aptos"/>
                <w:sz w:val="13"/>
              </w:rPr>
              <w:t>WEB-09</w:t>
            </w:r>
          </w:p>
        </w:tc>
        <w:tc>
          <w:tcPr>
            <w:tcW w:type="dxa" w:w="2608"/>
            <w:tcMar>
              <w:top w:w="60" w:type="dxa"/>
              <w:start w:w="60" w:type="dxa"/>
              <w:bottom w:w="60" w:type="dxa"/>
              <w:end w:w="60" w:type="dxa"/>
            </w:tcMar>
            <w:vAlign w:val="top"/>
          </w:tcPr>
          <w:p>
            <w:r/>
            <w:r>
              <w:rPr>
                <w:rFonts w:ascii="Aptos" w:hAnsi="Aptos"/>
                <w:sz w:val="13"/>
              </w:rPr>
              <w:t>NGX — ETFs</w:t>
            </w:r>
          </w:p>
        </w:tc>
        <w:tc>
          <w:tcPr>
            <w:tcW w:type="dxa" w:w="4252"/>
            <w:tcMar>
              <w:top w:w="60" w:type="dxa"/>
              <w:start w:w="60" w:type="dxa"/>
              <w:bottom w:w="60" w:type="dxa"/>
              <w:end w:w="60" w:type="dxa"/>
            </w:tcMar>
            <w:vAlign w:val="top"/>
          </w:tcPr>
          <w:p>
            <w:r/>
            <w:r>
              <w:rPr>
                <w:rFonts w:ascii="Aptos" w:hAnsi="Aptos"/>
                <w:sz w:val="13"/>
              </w:rPr>
              <w:t>https://ngxgroup.com/exchange/trade/exchange-traded-funds/</w:t>
            </w:r>
          </w:p>
        </w:tc>
        <w:tc>
          <w:tcPr>
            <w:tcW w:type="dxa" w:w="2665"/>
            <w:tcMar>
              <w:top w:w="60" w:type="dxa"/>
              <w:start w:w="60" w:type="dxa"/>
              <w:bottom w:w="60" w:type="dxa"/>
              <w:end w:w="60" w:type="dxa"/>
            </w:tcMar>
            <w:vAlign w:val="top"/>
          </w:tcPr>
          <w:p>
            <w:r/>
            <w:r>
              <w:rPr>
                <w:rFonts w:ascii="Aptos" w:hAnsi="Aptos"/>
                <w:sz w:val="13"/>
              </w:rPr>
              <w:t>ETF cotés.</w:t>
            </w:r>
          </w:p>
        </w:tc>
      </w:tr>
      <w:tr>
        <w:tc>
          <w:tcPr>
            <w:tcW w:type="dxa" w:w="1020"/>
            <w:tcMar>
              <w:top w:w="60" w:type="dxa"/>
              <w:start w:w="60" w:type="dxa"/>
              <w:bottom w:w="60" w:type="dxa"/>
              <w:end w:w="60" w:type="dxa"/>
            </w:tcMar>
            <w:vAlign w:val="top"/>
          </w:tcPr>
          <w:p>
            <w:r/>
            <w:r>
              <w:rPr>
                <w:rFonts w:ascii="Aptos" w:hAnsi="Aptos"/>
                <w:sz w:val="13"/>
              </w:rPr>
              <w:t>WEB-10</w:t>
            </w:r>
          </w:p>
        </w:tc>
        <w:tc>
          <w:tcPr>
            <w:tcW w:type="dxa" w:w="2608"/>
            <w:tcMar>
              <w:top w:w="60" w:type="dxa"/>
              <w:start w:w="60" w:type="dxa"/>
              <w:bottom w:w="60" w:type="dxa"/>
              <w:end w:w="60" w:type="dxa"/>
            </w:tcMar>
            <w:vAlign w:val="top"/>
          </w:tcPr>
          <w:p>
            <w:r/>
            <w:r>
              <w:rPr>
                <w:rFonts w:ascii="Aptos" w:hAnsi="Aptos"/>
                <w:sz w:val="13"/>
              </w:rPr>
              <w:t>NGX — Listed ETPs</w:t>
            </w:r>
          </w:p>
        </w:tc>
        <w:tc>
          <w:tcPr>
            <w:tcW w:type="dxa" w:w="4252"/>
            <w:tcMar>
              <w:top w:w="60" w:type="dxa"/>
              <w:start w:w="60" w:type="dxa"/>
              <w:bottom w:w="60" w:type="dxa"/>
              <w:end w:w="60" w:type="dxa"/>
            </w:tcMar>
            <w:vAlign w:val="top"/>
          </w:tcPr>
          <w:p>
            <w:r/>
            <w:r>
              <w:rPr>
                <w:rFonts w:ascii="Aptos" w:hAnsi="Aptos"/>
                <w:sz w:val="13"/>
              </w:rPr>
              <w:t>https://ngxgroup.com/exchange/trade/exchange-traded-funds/listed-etp/</w:t>
            </w:r>
          </w:p>
        </w:tc>
        <w:tc>
          <w:tcPr>
            <w:tcW w:type="dxa" w:w="2665"/>
            <w:tcMar>
              <w:top w:w="60" w:type="dxa"/>
              <w:start w:w="60" w:type="dxa"/>
              <w:bottom w:w="60" w:type="dxa"/>
              <w:end w:w="60" w:type="dxa"/>
            </w:tcMar>
            <w:vAlign w:val="top"/>
          </w:tcPr>
          <w:p>
            <w:r/>
            <w:r>
              <w:rPr>
                <w:rFonts w:ascii="Aptos" w:hAnsi="Aptos"/>
                <w:sz w:val="13"/>
              </w:rPr>
              <w:t>Détails instruments.</w:t>
            </w:r>
          </w:p>
        </w:tc>
      </w:tr>
      <w:tr>
        <w:tc>
          <w:tcPr>
            <w:tcW w:type="dxa" w:w="1020"/>
            <w:tcMar>
              <w:top w:w="60" w:type="dxa"/>
              <w:start w:w="60" w:type="dxa"/>
              <w:bottom w:w="60" w:type="dxa"/>
              <w:end w:w="60" w:type="dxa"/>
            </w:tcMar>
            <w:vAlign w:val="top"/>
          </w:tcPr>
          <w:p>
            <w:r/>
            <w:r>
              <w:rPr>
                <w:rFonts w:ascii="Aptos" w:hAnsi="Aptos"/>
                <w:sz w:val="13"/>
              </w:rPr>
              <w:t>WEB-11</w:t>
            </w:r>
          </w:p>
        </w:tc>
        <w:tc>
          <w:tcPr>
            <w:tcW w:type="dxa" w:w="2608"/>
            <w:tcMar>
              <w:top w:w="60" w:type="dxa"/>
              <w:start w:w="60" w:type="dxa"/>
              <w:bottom w:w="60" w:type="dxa"/>
              <w:end w:w="60" w:type="dxa"/>
            </w:tcMar>
            <w:vAlign w:val="top"/>
          </w:tcPr>
          <w:p>
            <w:r/>
            <w:r>
              <w:rPr>
                <w:rFonts w:ascii="Aptos" w:hAnsi="Aptos"/>
                <w:sz w:val="13"/>
              </w:rPr>
              <w:t>NGX — REITs and CEFs</w:t>
            </w:r>
          </w:p>
        </w:tc>
        <w:tc>
          <w:tcPr>
            <w:tcW w:type="dxa" w:w="4252"/>
            <w:tcMar>
              <w:top w:w="60" w:type="dxa"/>
              <w:start w:w="60" w:type="dxa"/>
              <w:bottom w:w="60" w:type="dxa"/>
              <w:end w:w="60" w:type="dxa"/>
            </w:tcMar>
            <w:vAlign w:val="top"/>
          </w:tcPr>
          <w:p>
            <w:r/>
            <w:r>
              <w:rPr>
                <w:rFonts w:ascii="Aptos" w:hAnsi="Aptos"/>
                <w:sz w:val="13"/>
              </w:rPr>
              <w:t>https://ngxgroup.com/exchange/trade/equities/reits-and-cefs/</w:t>
            </w:r>
          </w:p>
        </w:tc>
        <w:tc>
          <w:tcPr>
            <w:tcW w:type="dxa" w:w="2665"/>
            <w:tcMar>
              <w:top w:w="60" w:type="dxa"/>
              <w:start w:w="60" w:type="dxa"/>
              <w:bottom w:w="60" w:type="dxa"/>
              <w:end w:w="60" w:type="dxa"/>
            </w:tcMar>
            <w:vAlign w:val="top"/>
          </w:tcPr>
          <w:p>
            <w:r/>
            <w:r>
              <w:rPr>
                <w:rFonts w:ascii="Aptos" w:hAnsi="Aptos"/>
                <w:sz w:val="13"/>
              </w:rPr>
              <w:t>REIT et fonds fermés.</w:t>
            </w:r>
          </w:p>
        </w:tc>
      </w:tr>
      <w:tr>
        <w:tc>
          <w:tcPr>
            <w:tcW w:type="dxa" w:w="1020"/>
            <w:tcMar>
              <w:top w:w="60" w:type="dxa"/>
              <w:start w:w="60" w:type="dxa"/>
              <w:bottom w:w="60" w:type="dxa"/>
              <w:end w:w="60" w:type="dxa"/>
            </w:tcMar>
            <w:vAlign w:val="top"/>
          </w:tcPr>
          <w:p>
            <w:r/>
            <w:r>
              <w:rPr>
                <w:rFonts w:ascii="Aptos" w:hAnsi="Aptos"/>
                <w:sz w:val="13"/>
              </w:rPr>
              <w:t>WEB-12</w:t>
            </w:r>
          </w:p>
        </w:tc>
        <w:tc>
          <w:tcPr>
            <w:tcW w:type="dxa" w:w="2608"/>
            <w:tcMar>
              <w:top w:w="60" w:type="dxa"/>
              <w:start w:w="60" w:type="dxa"/>
              <w:bottom w:w="60" w:type="dxa"/>
              <w:end w:w="60" w:type="dxa"/>
            </w:tcMar>
            <w:vAlign w:val="top"/>
          </w:tcPr>
          <w:p>
            <w:r/>
            <w:r>
              <w:rPr>
                <w:rFonts w:ascii="Aptos" w:hAnsi="Aptos"/>
                <w:sz w:val="13"/>
              </w:rPr>
              <w:t>FMDQ — Market Data</w:t>
            </w:r>
          </w:p>
        </w:tc>
        <w:tc>
          <w:tcPr>
            <w:tcW w:type="dxa" w:w="4252"/>
            <w:tcMar>
              <w:top w:w="60" w:type="dxa"/>
              <w:start w:w="60" w:type="dxa"/>
              <w:bottom w:w="60" w:type="dxa"/>
              <w:end w:w="60" w:type="dxa"/>
            </w:tcMar>
            <w:vAlign w:val="top"/>
          </w:tcPr>
          <w:p>
            <w:r/>
            <w:r>
              <w:rPr>
                <w:rFonts w:ascii="Aptos" w:hAnsi="Aptos"/>
                <w:sz w:val="13"/>
              </w:rPr>
              <w:t>https://fmdqgroup.com/exchange/market-data/</w:t>
            </w:r>
          </w:p>
        </w:tc>
        <w:tc>
          <w:tcPr>
            <w:tcW w:type="dxa" w:w="2665"/>
            <w:tcMar>
              <w:top w:w="60" w:type="dxa"/>
              <w:start w:w="60" w:type="dxa"/>
              <w:bottom w:w="60" w:type="dxa"/>
              <w:end w:w="60" w:type="dxa"/>
            </w:tcMar>
            <w:vAlign w:val="top"/>
          </w:tcPr>
          <w:p>
            <w:r/>
            <w:r>
              <w:rPr>
                <w:rFonts w:ascii="Aptos" w:hAnsi="Aptos"/>
                <w:sz w:val="13"/>
              </w:rPr>
              <w:t>Benchmarks et données fixes.</w:t>
            </w:r>
          </w:p>
        </w:tc>
      </w:tr>
      <w:tr>
        <w:tc>
          <w:tcPr>
            <w:tcW w:type="dxa" w:w="1020"/>
            <w:tcMar>
              <w:top w:w="60" w:type="dxa"/>
              <w:start w:w="60" w:type="dxa"/>
              <w:bottom w:w="60" w:type="dxa"/>
              <w:end w:w="60" w:type="dxa"/>
            </w:tcMar>
            <w:vAlign w:val="top"/>
          </w:tcPr>
          <w:p>
            <w:r/>
            <w:r>
              <w:rPr>
                <w:rFonts w:ascii="Aptos" w:hAnsi="Aptos"/>
                <w:sz w:val="13"/>
              </w:rPr>
              <w:t>WEB-13</w:t>
            </w:r>
          </w:p>
        </w:tc>
        <w:tc>
          <w:tcPr>
            <w:tcW w:type="dxa" w:w="2608"/>
            <w:tcMar>
              <w:top w:w="60" w:type="dxa"/>
              <w:start w:w="60" w:type="dxa"/>
              <w:bottom w:w="60" w:type="dxa"/>
              <w:end w:w="60" w:type="dxa"/>
            </w:tcMar>
            <w:vAlign w:val="top"/>
          </w:tcPr>
          <w:p>
            <w:r/>
            <w:r>
              <w:rPr>
                <w:rFonts w:ascii="Aptos" w:hAnsi="Aptos"/>
                <w:sz w:val="13"/>
              </w:rPr>
              <w:t>FMDQ — NIBOR</w:t>
            </w:r>
          </w:p>
        </w:tc>
        <w:tc>
          <w:tcPr>
            <w:tcW w:type="dxa" w:w="4252"/>
            <w:tcMar>
              <w:top w:w="60" w:type="dxa"/>
              <w:start w:w="60" w:type="dxa"/>
              <w:bottom w:w="60" w:type="dxa"/>
              <w:end w:w="60" w:type="dxa"/>
            </w:tcMar>
            <w:vAlign w:val="top"/>
          </w:tcPr>
          <w:p>
            <w:r/>
            <w:r>
              <w:rPr>
                <w:rFonts w:ascii="Aptos" w:hAnsi="Aptos"/>
                <w:sz w:val="13"/>
              </w:rPr>
              <w:t>https://fmdqgroup.com/faqs/what-is-nibor/</w:t>
            </w:r>
          </w:p>
        </w:tc>
        <w:tc>
          <w:tcPr>
            <w:tcW w:type="dxa" w:w="2665"/>
            <w:tcMar>
              <w:top w:w="60" w:type="dxa"/>
              <w:start w:w="60" w:type="dxa"/>
              <w:bottom w:w="60" w:type="dxa"/>
              <w:end w:w="60" w:type="dxa"/>
            </w:tcMar>
            <w:vAlign w:val="top"/>
          </w:tcPr>
          <w:p>
            <w:r/>
            <w:r>
              <w:rPr>
                <w:rFonts w:ascii="Aptos" w:hAnsi="Aptos"/>
                <w:sz w:val="13"/>
              </w:rPr>
              <w:t>Taux interbancaire.</w:t>
            </w:r>
          </w:p>
        </w:tc>
      </w:tr>
      <w:tr>
        <w:tc>
          <w:tcPr>
            <w:tcW w:type="dxa" w:w="1020"/>
            <w:tcMar>
              <w:top w:w="60" w:type="dxa"/>
              <w:start w:w="60" w:type="dxa"/>
              <w:bottom w:w="60" w:type="dxa"/>
              <w:end w:w="60" w:type="dxa"/>
            </w:tcMar>
            <w:vAlign w:val="top"/>
          </w:tcPr>
          <w:p>
            <w:r/>
            <w:r>
              <w:rPr>
                <w:rFonts w:ascii="Aptos" w:hAnsi="Aptos"/>
                <w:sz w:val="13"/>
              </w:rPr>
              <w:t>WEB-14</w:t>
            </w:r>
          </w:p>
        </w:tc>
        <w:tc>
          <w:tcPr>
            <w:tcW w:type="dxa" w:w="2608"/>
            <w:tcMar>
              <w:top w:w="60" w:type="dxa"/>
              <w:start w:w="60" w:type="dxa"/>
              <w:bottom w:w="60" w:type="dxa"/>
              <w:end w:w="60" w:type="dxa"/>
            </w:tcMar>
            <w:vAlign w:val="top"/>
          </w:tcPr>
          <w:p>
            <w:r/>
            <w:r>
              <w:rPr>
                <w:rFonts w:ascii="Aptos" w:hAnsi="Aptos"/>
                <w:sz w:val="13"/>
              </w:rPr>
              <w:t>FMDQ — NITTY</w:t>
            </w:r>
          </w:p>
        </w:tc>
        <w:tc>
          <w:tcPr>
            <w:tcW w:type="dxa" w:w="4252"/>
            <w:tcMar>
              <w:top w:w="60" w:type="dxa"/>
              <w:start w:w="60" w:type="dxa"/>
              <w:bottom w:w="60" w:type="dxa"/>
              <w:end w:w="60" w:type="dxa"/>
            </w:tcMar>
            <w:vAlign w:val="top"/>
          </w:tcPr>
          <w:p>
            <w:r/>
            <w:r>
              <w:rPr>
                <w:rFonts w:ascii="Aptos" w:hAnsi="Aptos"/>
                <w:sz w:val="13"/>
              </w:rPr>
              <w:t>https://fmdqgroup.com/faqs/what-is-nitty/</w:t>
            </w:r>
          </w:p>
        </w:tc>
        <w:tc>
          <w:tcPr>
            <w:tcW w:type="dxa" w:w="2665"/>
            <w:tcMar>
              <w:top w:w="60" w:type="dxa"/>
              <w:start w:w="60" w:type="dxa"/>
              <w:bottom w:w="60" w:type="dxa"/>
              <w:end w:w="60" w:type="dxa"/>
            </w:tcMar>
            <w:vAlign w:val="top"/>
          </w:tcPr>
          <w:p>
            <w:r/>
            <w:r>
              <w:rPr>
                <w:rFonts w:ascii="Aptos" w:hAnsi="Aptos"/>
                <w:sz w:val="13"/>
              </w:rPr>
              <w:t>T-bill true yields.</w:t>
            </w:r>
          </w:p>
        </w:tc>
      </w:tr>
      <w:tr>
        <w:tc>
          <w:tcPr>
            <w:tcW w:type="dxa" w:w="1020"/>
            <w:tcMar>
              <w:top w:w="60" w:type="dxa"/>
              <w:start w:w="60" w:type="dxa"/>
              <w:bottom w:w="60" w:type="dxa"/>
              <w:end w:w="60" w:type="dxa"/>
            </w:tcMar>
            <w:vAlign w:val="top"/>
          </w:tcPr>
          <w:p>
            <w:r/>
            <w:r>
              <w:rPr>
                <w:rFonts w:ascii="Aptos" w:hAnsi="Aptos"/>
                <w:sz w:val="13"/>
              </w:rPr>
              <w:t>WEB-15</w:t>
            </w:r>
          </w:p>
        </w:tc>
        <w:tc>
          <w:tcPr>
            <w:tcW w:type="dxa" w:w="2608"/>
            <w:tcMar>
              <w:top w:w="60" w:type="dxa"/>
              <w:start w:w="60" w:type="dxa"/>
              <w:bottom w:w="60" w:type="dxa"/>
              <w:end w:w="60" w:type="dxa"/>
            </w:tcMar>
            <w:vAlign w:val="top"/>
          </w:tcPr>
          <w:p>
            <w:r/>
            <w:r>
              <w:rPr>
                <w:rFonts w:ascii="Aptos" w:hAnsi="Aptos"/>
                <w:sz w:val="13"/>
              </w:rPr>
              <w:t>CBN — Data &amp; Statistics</w:t>
            </w:r>
          </w:p>
        </w:tc>
        <w:tc>
          <w:tcPr>
            <w:tcW w:type="dxa" w:w="4252"/>
            <w:tcMar>
              <w:top w:w="60" w:type="dxa"/>
              <w:start w:w="60" w:type="dxa"/>
              <w:bottom w:w="60" w:type="dxa"/>
              <w:end w:w="60" w:type="dxa"/>
            </w:tcMar>
            <w:vAlign w:val="top"/>
          </w:tcPr>
          <w:p>
            <w:r/>
            <w:r>
              <w:rPr>
                <w:rFonts w:ascii="Aptos" w:hAnsi="Aptos"/>
                <w:sz w:val="13"/>
              </w:rPr>
              <w:t>https://www.cbn.gov.ng/rates/index.html</w:t>
            </w:r>
          </w:p>
        </w:tc>
        <w:tc>
          <w:tcPr>
            <w:tcW w:type="dxa" w:w="2665"/>
            <w:tcMar>
              <w:top w:w="60" w:type="dxa"/>
              <w:start w:w="60" w:type="dxa"/>
              <w:bottom w:w="60" w:type="dxa"/>
              <w:end w:w="60" w:type="dxa"/>
            </w:tcMar>
            <w:vAlign w:val="top"/>
          </w:tcPr>
          <w:p>
            <w:r/>
            <w:r>
              <w:rPr>
                <w:rFonts w:ascii="Aptos" w:hAnsi="Aptos"/>
                <w:sz w:val="13"/>
              </w:rPr>
              <w:t>FX, taux, statistiques.</w:t>
            </w:r>
          </w:p>
        </w:tc>
      </w:tr>
      <w:tr>
        <w:tc>
          <w:tcPr>
            <w:tcW w:type="dxa" w:w="1020"/>
            <w:tcMar>
              <w:top w:w="60" w:type="dxa"/>
              <w:start w:w="60" w:type="dxa"/>
              <w:bottom w:w="60" w:type="dxa"/>
              <w:end w:w="60" w:type="dxa"/>
            </w:tcMar>
            <w:vAlign w:val="top"/>
          </w:tcPr>
          <w:p>
            <w:r/>
            <w:r>
              <w:rPr>
                <w:rFonts w:ascii="Aptos" w:hAnsi="Aptos"/>
                <w:sz w:val="13"/>
              </w:rPr>
              <w:t>WEB-16</w:t>
            </w:r>
          </w:p>
        </w:tc>
        <w:tc>
          <w:tcPr>
            <w:tcW w:type="dxa" w:w="2608"/>
            <w:tcMar>
              <w:top w:w="60" w:type="dxa"/>
              <w:start w:w="60" w:type="dxa"/>
              <w:bottom w:w="60" w:type="dxa"/>
              <w:end w:w="60" w:type="dxa"/>
            </w:tcMar>
            <w:vAlign w:val="top"/>
          </w:tcPr>
          <w:p>
            <w:r/>
            <w:r>
              <w:rPr>
                <w:rFonts w:ascii="Aptos" w:hAnsi="Aptos"/>
                <w:sz w:val="13"/>
              </w:rPr>
              <w:t>CBN — Exchange Rates</w:t>
            </w:r>
          </w:p>
        </w:tc>
        <w:tc>
          <w:tcPr>
            <w:tcW w:type="dxa" w:w="4252"/>
            <w:tcMar>
              <w:top w:w="60" w:type="dxa"/>
              <w:start w:w="60" w:type="dxa"/>
              <w:bottom w:w="60" w:type="dxa"/>
              <w:end w:w="60" w:type="dxa"/>
            </w:tcMar>
            <w:vAlign w:val="top"/>
          </w:tcPr>
          <w:p>
            <w:r/>
            <w:r>
              <w:rPr>
                <w:rFonts w:ascii="Aptos" w:hAnsi="Aptos"/>
                <w:sz w:val="13"/>
              </w:rPr>
              <w:t>https://www.cbn.gov.ng/rates/ExchRateByCurrency.html</w:t>
            </w:r>
          </w:p>
        </w:tc>
        <w:tc>
          <w:tcPr>
            <w:tcW w:type="dxa" w:w="2665"/>
            <w:tcMar>
              <w:top w:w="60" w:type="dxa"/>
              <w:start w:w="60" w:type="dxa"/>
              <w:bottom w:w="60" w:type="dxa"/>
              <w:end w:w="60" w:type="dxa"/>
            </w:tcMar>
            <w:vAlign w:val="top"/>
          </w:tcPr>
          <w:p>
            <w:r/>
            <w:r>
              <w:rPr>
                <w:rFonts w:ascii="Aptos" w:hAnsi="Aptos"/>
                <w:sz w:val="13"/>
              </w:rPr>
              <w:t>Taux officiels.</w:t>
            </w:r>
          </w:p>
        </w:tc>
      </w:tr>
      <w:tr>
        <w:tc>
          <w:tcPr>
            <w:tcW w:type="dxa" w:w="1020"/>
            <w:tcMar>
              <w:top w:w="60" w:type="dxa"/>
              <w:start w:w="60" w:type="dxa"/>
              <w:bottom w:w="60" w:type="dxa"/>
              <w:end w:w="60" w:type="dxa"/>
            </w:tcMar>
            <w:vAlign w:val="top"/>
          </w:tcPr>
          <w:p>
            <w:r/>
            <w:r>
              <w:rPr>
                <w:rFonts w:ascii="Aptos" w:hAnsi="Aptos"/>
                <w:sz w:val="13"/>
              </w:rPr>
              <w:t>WEB-17</w:t>
            </w:r>
          </w:p>
        </w:tc>
        <w:tc>
          <w:tcPr>
            <w:tcW w:type="dxa" w:w="2608"/>
            <w:tcMar>
              <w:top w:w="60" w:type="dxa"/>
              <w:start w:w="60" w:type="dxa"/>
              <w:bottom w:w="60" w:type="dxa"/>
              <w:end w:w="60" w:type="dxa"/>
            </w:tcMar>
            <w:vAlign w:val="top"/>
          </w:tcPr>
          <w:p>
            <w:r/>
            <w:r>
              <w:rPr>
                <w:rFonts w:ascii="Aptos" w:hAnsi="Aptos"/>
                <w:sz w:val="13"/>
              </w:rPr>
              <w:t>DMO — Bond Auction Results</w:t>
            </w:r>
          </w:p>
        </w:tc>
        <w:tc>
          <w:tcPr>
            <w:tcW w:type="dxa" w:w="4252"/>
            <w:tcMar>
              <w:top w:w="60" w:type="dxa"/>
              <w:start w:w="60" w:type="dxa"/>
              <w:bottom w:w="60" w:type="dxa"/>
              <w:end w:w="60" w:type="dxa"/>
            </w:tcMar>
            <w:vAlign w:val="top"/>
          </w:tcPr>
          <w:p>
            <w:r/>
            <w:r>
              <w:rPr>
                <w:rFonts w:ascii="Aptos" w:hAnsi="Aptos"/>
                <w:sz w:val="13"/>
              </w:rPr>
              <w:t>https://www.dmo.gov.ng/fgn-bonds/bonds-auction-results</w:t>
            </w:r>
          </w:p>
        </w:tc>
        <w:tc>
          <w:tcPr>
            <w:tcW w:type="dxa" w:w="2665"/>
            <w:tcMar>
              <w:top w:w="60" w:type="dxa"/>
              <w:start w:w="60" w:type="dxa"/>
              <w:bottom w:w="60" w:type="dxa"/>
              <w:end w:w="60" w:type="dxa"/>
            </w:tcMar>
            <w:vAlign w:val="top"/>
          </w:tcPr>
          <w:p>
            <w:r/>
            <w:r>
              <w:rPr>
                <w:rFonts w:ascii="Aptos" w:hAnsi="Aptos"/>
                <w:sz w:val="13"/>
              </w:rPr>
              <w:t>Résultats d’adjudication.</w:t>
            </w:r>
          </w:p>
        </w:tc>
      </w:tr>
      <w:tr>
        <w:tc>
          <w:tcPr>
            <w:tcW w:type="dxa" w:w="1020"/>
            <w:tcMar>
              <w:top w:w="60" w:type="dxa"/>
              <w:start w:w="60" w:type="dxa"/>
              <w:bottom w:w="60" w:type="dxa"/>
              <w:end w:w="60" w:type="dxa"/>
            </w:tcMar>
            <w:vAlign w:val="top"/>
          </w:tcPr>
          <w:p>
            <w:r/>
            <w:r>
              <w:rPr>
                <w:rFonts w:ascii="Aptos" w:hAnsi="Aptos"/>
                <w:sz w:val="13"/>
              </w:rPr>
              <w:t>WEB-18</w:t>
            </w:r>
          </w:p>
        </w:tc>
        <w:tc>
          <w:tcPr>
            <w:tcW w:type="dxa" w:w="2608"/>
            <w:tcMar>
              <w:top w:w="60" w:type="dxa"/>
              <w:start w:w="60" w:type="dxa"/>
              <w:bottom w:w="60" w:type="dxa"/>
              <w:end w:w="60" w:type="dxa"/>
            </w:tcMar>
            <w:vAlign w:val="top"/>
          </w:tcPr>
          <w:p>
            <w:r/>
            <w:r>
              <w:rPr>
                <w:rFonts w:ascii="Aptos" w:hAnsi="Aptos"/>
                <w:sz w:val="13"/>
              </w:rPr>
              <w:t>NBS — Official Statistics</w:t>
            </w:r>
          </w:p>
        </w:tc>
        <w:tc>
          <w:tcPr>
            <w:tcW w:type="dxa" w:w="4252"/>
            <w:tcMar>
              <w:top w:w="60" w:type="dxa"/>
              <w:start w:w="60" w:type="dxa"/>
              <w:bottom w:w="60" w:type="dxa"/>
              <w:end w:w="60" w:type="dxa"/>
            </w:tcMar>
            <w:vAlign w:val="top"/>
          </w:tcPr>
          <w:p>
            <w:r/>
            <w:r>
              <w:rPr>
                <w:rFonts w:ascii="Aptos" w:hAnsi="Aptos"/>
                <w:sz w:val="13"/>
              </w:rPr>
              <w:t>https://www.nigerianstat.gov.ng/</w:t>
            </w:r>
          </w:p>
        </w:tc>
        <w:tc>
          <w:tcPr>
            <w:tcW w:type="dxa" w:w="2665"/>
            <w:tcMar>
              <w:top w:w="60" w:type="dxa"/>
              <w:start w:w="60" w:type="dxa"/>
              <w:bottom w:w="60" w:type="dxa"/>
              <w:end w:w="60" w:type="dxa"/>
            </w:tcMar>
            <w:vAlign w:val="top"/>
          </w:tcPr>
          <w:p>
            <w:r/>
            <w:r>
              <w:rPr>
                <w:rFonts w:ascii="Aptos" w:hAnsi="Aptos"/>
                <w:sz w:val="13"/>
              </w:rPr>
              <w:t>Inflation et macro.</w:t>
            </w:r>
          </w:p>
        </w:tc>
      </w:tr>
      <w:tr>
        <w:tc>
          <w:tcPr>
            <w:tcW w:type="dxa" w:w="1020"/>
            <w:tcMar>
              <w:top w:w="60" w:type="dxa"/>
              <w:start w:w="60" w:type="dxa"/>
              <w:bottom w:w="60" w:type="dxa"/>
              <w:end w:w="60" w:type="dxa"/>
            </w:tcMar>
            <w:vAlign w:val="top"/>
          </w:tcPr>
          <w:p>
            <w:r/>
            <w:r>
              <w:rPr>
                <w:rFonts w:ascii="Aptos" w:hAnsi="Aptos"/>
                <w:sz w:val="13"/>
              </w:rPr>
              <w:t>WEB-19</w:t>
            </w:r>
          </w:p>
        </w:tc>
        <w:tc>
          <w:tcPr>
            <w:tcW w:type="dxa" w:w="2608"/>
            <w:tcMar>
              <w:top w:w="60" w:type="dxa"/>
              <w:start w:w="60" w:type="dxa"/>
              <w:bottom w:w="60" w:type="dxa"/>
              <w:end w:w="60" w:type="dxa"/>
            </w:tcMar>
            <w:vAlign w:val="top"/>
          </w:tcPr>
          <w:p>
            <w:r/>
            <w:r>
              <w:rPr>
                <w:rFonts w:ascii="Aptos" w:hAnsi="Aptos"/>
                <w:sz w:val="13"/>
              </w:rPr>
              <w:t>Wayback Machine</w:t>
            </w:r>
          </w:p>
        </w:tc>
        <w:tc>
          <w:tcPr>
            <w:tcW w:type="dxa" w:w="4252"/>
            <w:tcMar>
              <w:top w:w="60" w:type="dxa"/>
              <w:start w:w="60" w:type="dxa"/>
              <w:bottom w:w="60" w:type="dxa"/>
              <w:end w:w="60" w:type="dxa"/>
            </w:tcMar>
            <w:vAlign w:val="top"/>
          </w:tcPr>
          <w:p>
            <w:r/>
            <w:r>
              <w:rPr>
                <w:rFonts w:ascii="Aptos" w:hAnsi="Aptos"/>
                <w:sz w:val="13"/>
              </w:rPr>
              <w:t>https://web.archive.org/</w:t>
            </w:r>
          </w:p>
        </w:tc>
        <w:tc>
          <w:tcPr>
            <w:tcW w:type="dxa" w:w="2665"/>
            <w:tcMar>
              <w:top w:w="60" w:type="dxa"/>
              <w:start w:w="60" w:type="dxa"/>
              <w:bottom w:w="60" w:type="dxa"/>
              <w:end w:w="60" w:type="dxa"/>
            </w:tcMar>
            <w:vAlign w:val="top"/>
          </w:tcPr>
          <w:p>
            <w:r/>
            <w:r>
              <w:rPr>
                <w:rFonts w:ascii="Aptos" w:hAnsi="Aptos"/>
                <w:sz w:val="13"/>
              </w:rPr>
              <w:t>Pages historiques.</w:t>
            </w:r>
          </w:p>
        </w:tc>
      </w:tr>
      <w:tr>
        <w:tc>
          <w:tcPr>
            <w:tcW w:type="dxa" w:w="1020"/>
            <w:tcMar>
              <w:top w:w="60" w:type="dxa"/>
              <w:start w:w="60" w:type="dxa"/>
              <w:bottom w:w="60" w:type="dxa"/>
              <w:end w:w="60" w:type="dxa"/>
            </w:tcMar>
            <w:vAlign w:val="top"/>
          </w:tcPr>
          <w:p>
            <w:r/>
            <w:r>
              <w:rPr>
                <w:rFonts w:ascii="Aptos" w:hAnsi="Aptos"/>
                <w:sz w:val="13"/>
              </w:rPr>
              <w:t>INT-01</w:t>
            </w:r>
          </w:p>
        </w:tc>
        <w:tc>
          <w:tcPr>
            <w:tcW w:type="dxa" w:w="2608"/>
            <w:tcMar>
              <w:top w:w="60" w:type="dxa"/>
              <w:start w:w="60" w:type="dxa"/>
              <w:bottom w:w="60" w:type="dxa"/>
              <w:end w:w="60" w:type="dxa"/>
            </w:tcMar>
            <w:vAlign w:val="top"/>
          </w:tcPr>
          <w:p>
            <w:r/>
            <w:r>
              <w:rPr>
                <w:rFonts w:ascii="Aptos" w:hAnsi="Aptos"/>
                <w:sz w:val="13"/>
              </w:rPr>
              <w:t>OBJECTIF GLOBAL DE LA NOUVELLE PHASE 1</w:t>
            </w:r>
          </w:p>
        </w:tc>
        <w:tc>
          <w:tcPr>
            <w:tcW w:type="dxa" w:w="4252"/>
            <w:tcMar>
              <w:top w:w="60" w:type="dxa"/>
              <w:start w:w="60" w:type="dxa"/>
              <w:bottom w:w="60" w:type="dxa"/>
              <w:end w:w="60" w:type="dxa"/>
            </w:tcMar>
            <w:vAlign w:val="top"/>
          </w:tcPr>
          <w:p>
            <w:r/>
            <w:r>
              <w:rPr>
                <w:rFonts w:ascii="Aptos" w:hAnsi="Aptos"/>
                <w:sz w:val="13"/>
              </w:rPr>
              <w:t>Document interne fourni</w:t>
            </w:r>
          </w:p>
        </w:tc>
        <w:tc>
          <w:tcPr>
            <w:tcW w:type="dxa" w:w="2665"/>
            <w:tcMar>
              <w:top w:w="60" w:type="dxa"/>
              <w:start w:w="60" w:type="dxa"/>
              <w:bottom w:w="60" w:type="dxa"/>
              <w:end w:w="60" w:type="dxa"/>
            </w:tcMar>
            <w:vAlign w:val="top"/>
          </w:tcPr>
          <w:p>
            <w:r/>
            <w:r>
              <w:rPr>
                <w:rFonts w:ascii="Aptos" w:hAnsi="Aptos"/>
                <w:sz w:val="13"/>
              </w:rPr>
              <w:t>Méthode ligne par ligne et colonnes A/D/L/O.</w:t>
            </w:r>
          </w:p>
        </w:tc>
      </w:tr>
      <w:tr>
        <w:tc>
          <w:tcPr>
            <w:tcW w:type="dxa" w:w="1020"/>
            <w:tcMar>
              <w:top w:w="60" w:type="dxa"/>
              <w:start w:w="60" w:type="dxa"/>
              <w:bottom w:w="60" w:type="dxa"/>
              <w:end w:w="60" w:type="dxa"/>
            </w:tcMar>
            <w:vAlign w:val="top"/>
          </w:tcPr>
          <w:p>
            <w:r/>
            <w:r>
              <w:rPr>
                <w:rFonts w:ascii="Aptos" w:hAnsi="Aptos"/>
                <w:sz w:val="13"/>
              </w:rPr>
              <w:t>INT-02</w:t>
            </w:r>
          </w:p>
        </w:tc>
        <w:tc>
          <w:tcPr>
            <w:tcW w:type="dxa" w:w="2608"/>
            <w:tcMar>
              <w:top w:w="60" w:type="dxa"/>
              <w:start w:w="60" w:type="dxa"/>
              <w:bottom w:w="60" w:type="dxa"/>
              <w:end w:w="60" w:type="dxa"/>
            </w:tcMar>
            <w:vAlign w:val="top"/>
          </w:tcPr>
          <w:p>
            <w:r/>
            <w:r>
              <w:rPr>
                <w:rFonts w:ascii="Aptos" w:hAnsi="Aptos"/>
                <w:sz w:val="13"/>
              </w:rPr>
              <w:t>Nigeria_SEC_OPCVM_NAV_2011_2026.xlsx</w:t>
            </w:r>
          </w:p>
        </w:tc>
        <w:tc>
          <w:tcPr>
            <w:tcW w:type="dxa" w:w="4252"/>
            <w:tcMar>
              <w:top w:w="60" w:type="dxa"/>
              <w:start w:w="60" w:type="dxa"/>
              <w:bottom w:w="60" w:type="dxa"/>
              <w:end w:w="60" w:type="dxa"/>
            </w:tcMar>
            <w:vAlign w:val="top"/>
          </w:tcPr>
          <w:p>
            <w:r/>
            <w:r>
              <w:rPr>
                <w:rFonts w:ascii="Aptos" w:hAnsi="Aptos"/>
                <w:sz w:val="13"/>
              </w:rPr>
              <w:t>Classeur interne fourni</w:t>
            </w:r>
          </w:p>
        </w:tc>
        <w:tc>
          <w:tcPr>
            <w:tcW w:type="dxa" w:w="2665"/>
            <w:tcMar>
              <w:top w:w="60" w:type="dxa"/>
              <w:start w:w="60" w:type="dxa"/>
              <w:bottom w:w="60" w:type="dxa"/>
              <w:end w:w="60" w:type="dxa"/>
            </w:tcMar>
            <w:vAlign w:val="top"/>
          </w:tcPr>
          <w:p>
            <w:r/>
            <w:r>
              <w:rPr>
                <w:rFonts w:ascii="Aptos" w:hAnsi="Aptos"/>
                <w:sz w:val="13"/>
              </w:rPr>
              <w:t>État de travail de l’extraction, contrôles et méthodologie.</w:t>
            </w:r>
          </w:p>
        </w:tc>
      </w:tr>
      <w:tr>
        <w:tc>
          <w:tcPr>
            <w:tcW w:type="dxa" w:w="1020"/>
            <w:tcMar>
              <w:top w:w="60" w:type="dxa"/>
              <w:start w:w="60" w:type="dxa"/>
              <w:bottom w:w="60" w:type="dxa"/>
              <w:end w:w="60" w:type="dxa"/>
            </w:tcMar>
            <w:vAlign w:val="top"/>
          </w:tcPr>
          <w:p>
            <w:r/>
            <w:r>
              <w:rPr>
                <w:rFonts w:ascii="Aptos" w:hAnsi="Aptos"/>
                <w:sz w:val="13"/>
              </w:rPr>
              <w:t>INT-03</w:t>
            </w:r>
          </w:p>
        </w:tc>
        <w:tc>
          <w:tcPr>
            <w:tcW w:type="dxa" w:w="2608"/>
            <w:tcMar>
              <w:top w:w="60" w:type="dxa"/>
              <w:start w:w="60" w:type="dxa"/>
              <w:bottom w:w="60" w:type="dxa"/>
              <w:end w:w="60" w:type="dxa"/>
            </w:tcMar>
            <w:vAlign w:val="top"/>
          </w:tcPr>
          <w:p>
            <w:r/>
            <w:r>
              <w:rPr>
                <w:rFonts w:ascii="Aptos" w:hAnsi="Aptos"/>
                <w:sz w:val="13"/>
              </w:rPr>
              <w:t>1_feuille· NIGERIA OPCVM EXTRACT.pdf</w:t>
            </w:r>
          </w:p>
        </w:tc>
        <w:tc>
          <w:tcPr>
            <w:tcW w:type="dxa" w:w="4252"/>
            <w:tcMar>
              <w:top w:w="60" w:type="dxa"/>
              <w:start w:w="60" w:type="dxa"/>
              <w:bottom w:w="60" w:type="dxa"/>
              <w:end w:w="60" w:type="dxa"/>
            </w:tcMar>
            <w:vAlign w:val="top"/>
          </w:tcPr>
          <w:p>
            <w:r/>
            <w:r>
              <w:rPr>
                <w:rFonts w:ascii="Aptos" w:hAnsi="Aptos"/>
                <w:sz w:val="13"/>
              </w:rPr>
              <w:t>PDF interne fourni</w:t>
            </w:r>
          </w:p>
        </w:tc>
        <w:tc>
          <w:tcPr>
            <w:tcW w:type="dxa" w:w="2665"/>
            <w:tcMar>
              <w:top w:w="60" w:type="dxa"/>
              <w:start w:w="60" w:type="dxa"/>
              <w:bottom w:w="60" w:type="dxa"/>
              <w:end w:w="60" w:type="dxa"/>
            </w:tcMar>
            <w:vAlign w:val="top"/>
          </w:tcPr>
          <w:p>
            <w:r/>
            <w:r>
              <w:rPr>
                <w:rFonts w:ascii="Aptos" w:hAnsi="Aptos"/>
                <w:sz w:val="13"/>
              </w:rPr>
              <w:t>Compréhension corrigée des structures et audit ProAfricaFund.</w:t>
            </w:r>
          </w:p>
        </w:tc>
      </w:tr>
      <w:tr>
        <w:tc>
          <w:tcPr>
            <w:tcW w:type="dxa" w:w="1020"/>
            <w:tcMar>
              <w:top w:w="60" w:type="dxa"/>
              <w:start w:w="60" w:type="dxa"/>
              <w:bottom w:w="60" w:type="dxa"/>
              <w:end w:w="60" w:type="dxa"/>
            </w:tcMar>
            <w:vAlign w:val="top"/>
          </w:tcPr>
          <w:p>
            <w:r/>
            <w:r>
              <w:rPr>
                <w:rFonts w:ascii="Aptos" w:hAnsi="Aptos"/>
                <w:sz w:val="13"/>
              </w:rPr>
              <w:t>INT-04</w:t>
            </w:r>
          </w:p>
        </w:tc>
        <w:tc>
          <w:tcPr>
            <w:tcW w:type="dxa" w:w="2608"/>
            <w:tcMar>
              <w:top w:w="60" w:type="dxa"/>
              <w:start w:w="60" w:type="dxa"/>
              <w:bottom w:w="60" w:type="dxa"/>
              <w:end w:w="60" w:type="dxa"/>
            </w:tcMar>
            <w:vAlign w:val="top"/>
          </w:tcPr>
          <w:p>
            <w:r/>
            <w:r>
              <w:rPr>
                <w:rFonts w:ascii="Aptos" w:hAnsi="Aptos"/>
                <w:sz w:val="13"/>
              </w:rPr>
              <w:t>PROMPT_CLAUDE_CODE_NIGERIA_OPCVM_ZERO_REGRESSION_V2.md</w:t>
            </w:r>
          </w:p>
        </w:tc>
        <w:tc>
          <w:tcPr>
            <w:tcW w:type="dxa" w:w="4252"/>
            <w:tcMar>
              <w:top w:w="60" w:type="dxa"/>
              <w:start w:w="60" w:type="dxa"/>
              <w:bottom w:w="60" w:type="dxa"/>
              <w:end w:w="60" w:type="dxa"/>
            </w:tcMar>
            <w:vAlign w:val="top"/>
          </w:tcPr>
          <w:p>
            <w:r/>
            <w:r>
              <w:rPr>
                <w:rFonts w:ascii="Aptos" w:hAnsi="Aptos"/>
                <w:sz w:val="13"/>
              </w:rPr>
              <w:t>Prompt interne fourni</w:t>
            </w:r>
          </w:p>
        </w:tc>
        <w:tc>
          <w:tcPr>
            <w:tcW w:type="dxa" w:w="2665"/>
            <w:tcMar>
              <w:top w:w="60" w:type="dxa"/>
              <w:start w:w="60" w:type="dxa"/>
              <w:bottom w:w="60" w:type="dxa"/>
              <w:end w:w="60" w:type="dxa"/>
            </w:tcMar>
            <w:vAlign w:val="top"/>
          </w:tcPr>
          <w:p>
            <w:r/>
            <w:r>
              <w:rPr>
                <w:rFonts w:ascii="Aptos" w:hAnsi="Aptos"/>
                <w:sz w:val="13"/>
              </w:rPr>
              <w:t>Contraintes de production et parsing numérique.</w:t>
            </w:r>
          </w:p>
        </w:tc>
      </w:tr>
    </w:tbl>
    <w:p>
      <w:pPr>
        <w:widowControl/>
        <w:spacing w:after="0"/>
      </w:pPr>
    </w:p>
    <w:p>
      <w:pPr>
        <w:pStyle w:val="Heading2"/>
        <w:widowControl/>
      </w:pPr>
      <w:r>
        <w:t>Notes de conservation des liens</w:t>
      </w:r>
    </w:p>
    <w:p>
      <w:pPr>
        <w:pStyle w:val="ListBullet"/>
        <w:widowControl/>
        <w:ind w:left="397" w:hanging="142"/>
      </w:pPr>
      <w:r>
        <w:rPr>
          <w:rFonts w:ascii="Aptos" w:hAnsi="Aptos"/>
          <w:sz w:val="18"/>
        </w:rPr>
        <w:t>Les domaines sec.gov.ng et home.sec.gov.ng peuvent coexister ; conserver l'URL rencontrée et suivre les redirections.</w:t>
      </w:r>
    </w:p>
    <w:p>
      <w:pPr>
        <w:pStyle w:val="ListBullet"/>
        <w:widowControl/>
        <w:ind w:left="397" w:hanging="142"/>
      </w:pPr>
      <w:r>
        <w:rPr>
          <w:rFonts w:ascii="Aptos" w:hAnsi="Aptos"/>
          <w:sz w:val="18"/>
        </w:rPr>
        <w:t>Les liens peuvent changer. Enregistrer l'URL, le document, le hash et une capture d'archive lorsqu'elle est autorisée.</w:t>
      </w:r>
    </w:p>
    <w:p>
      <w:pPr>
        <w:pStyle w:val="ListBullet"/>
        <w:widowControl/>
        <w:ind w:left="397" w:hanging="142"/>
      </w:pPr>
      <w:r>
        <w:rPr>
          <w:rFonts w:ascii="Aptos" w:hAnsi="Aptos"/>
          <w:sz w:val="18"/>
        </w:rPr>
        <w:t>La date d'accès de cette édition est le 28/07/2026.</w:t>
      </w:r>
    </w:p>
    <w:p>
      <w:pPr>
        <w:pStyle w:val="ListBullet"/>
        <w:widowControl/>
        <w:ind w:left="397" w:hanging="142"/>
      </w:pPr>
      <w:r>
        <w:rPr>
          <w:rFonts w:ascii="Aptos" w:hAnsi="Aptos"/>
          <w:sz w:val="18"/>
        </w:rPr>
        <w:t>Le registre doit être mis à jour sans supprimer les anciennes URLs.</w:t>
      </w:r>
    </w:p>
    <w:p>
      <w:pPr>
        <w:widowControl/>
      </w:pPr>
      <w:r>
        <w:br w:type="page"/>
      </w:r>
    </w:p>
    <w:p>
      <w:pPr>
        <w:widowControl/>
        <w:jc w:val="center"/>
      </w:pPr>
      <w:r>
        <w:rPr>
          <w:rFonts w:ascii="Aptos Display" w:hAnsi="Aptos Display"/>
          <w:b/>
          <w:color w:val="123E5E"/>
          <w:sz w:val="44"/>
        </w:rPr>
        <w:t>ANNEXE B — CODES DE QUALITÉ ET DE REVUE</w:t>
      </w:r>
    </w:p>
    <w:p>
      <w:pPr>
        <w:widowControl/>
        <w:jc w:val="center"/>
      </w:pPr>
      <w:r>
        <w:rPr>
          <w:rFonts w:ascii="Aptos" w:hAnsi="Aptos"/>
          <w:i/>
          <w:color w:val="505050"/>
          <w:sz w:val="22"/>
        </w:rPr>
        <w:t>Vocabulaire commun pour les pipelines et le DataFrame</w:t>
      </w:r>
    </w:p>
    <w:p>
      <w:pPr>
        <w:widowControl/>
      </w:pP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835"/>
            <w:shd w:fill="D9EAF2"/>
            <w:tcMar>
              <w:top w:w="70" w:type="dxa"/>
              <w:start w:w="70" w:type="dxa"/>
              <w:bottom w:w="70" w:type="dxa"/>
              <w:end w:w="70" w:type="dxa"/>
            </w:tcMar>
            <w:vAlign w:val="center"/>
          </w:tcPr>
          <w:p>
            <w:r/>
            <w:r>
              <w:rPr>
                <w:rFonts w:ascii="Aptos" w:hAnsi="Aptos"/>
                <w:b/>
                <w:color w:val="123E5E"/>
                <w:sz w:val="16"/>
              </w:rPr>
              <w:t>Code</w:t>
            </w:r>
          </w:p>
        </w:tc>
        <w:tc>
          <w:tcPr>
            <w:tcW w:type="dxa" w:w="6463"/>
            <w:shd w:fill="D9EAF2"/>
            <w:tcMar>
              <w:top w:w="70" w:type="dxa"/>
              <w:start w:w="70" w:type="dxa"/>
              <w:bottom w:w="70" w:type="dxa"/>
              <w:end w:w="70" w:type="dxa"/>
            </w:tcMar>
            <w:vAlign w:val="center"/>
          </w:tcPr>
          <w:p>
            <w:r/>
            <w:r>
              <w:rPr>
                <w:rFonts w:ascii="Aptos" w:hAnsi="Aptos"/>
                <w:b/>
                <w:color w:val="123E5E"/>
                <w:sz w:val="16"/>
              </w:rPr>
              <w:t>Définition</w:t>
            </w:r>
          </w:p>
        </w:tc>
      </w:tr>
      <w:tr>
        <w:tc>
          <w:tcPr>
            <w:tcW w:type="dxa" w:w="2835"/>
            <w:tcMar>
              <w:top w:w="60" w:type="dxa"/>
              <w:start w:w="60" w:type="dxa"/>
              <w:bottom w:w="60" w:type="dxa"/>
              <w:end w:w="60" w:type="dxa"/>
            </w:tcMar>
            <w:vAlign w:val="top"/>
          </w:tcPr>
          <w:p>
            <w:r/>
            <w:r>
              <w:rPr>
                <w:rFonts w:ascii="Aptos" w:hAnsi="Aptos"/>
                <w:sz w:val="16"/>
              </w:rPr>
              <w:t>OK</w:t>
            </w:r>
          </w:p>
        </w:tc>
        <w:tc>
          <w:tcPr>
            <w:tcW w:type="dxa" w:w="6463"/>
            <w:tcMar>
              <w:top w:w="60" w:type="dxa"/>
              <w:start w:w="60" w:type="dxa"/>
              <w:bottom w:w="60" w:type="dxa"/>
              <w:end w:w="60" w:type="dxa"/>
            </w:tcMar>
            <w:vAlign w:val="top"/>
          </w:tcPr>
          <w:p>
            <w:r/>
            <w:r>
              <w:rPr>
                <w:rFonts w:ascii="Aptos" w:hAnsi="Aptos"/>
                <w:sz w:val="16"/>
              </w:rPr>
              <w:t>Valeur explicite, source et structure cohérentes.</w:t>
            </w:r>
          </w:p>
        </w:tc>
      </w:tr>
      <w:tr>
        <w:tc>
          <w:tcPr>
            <w:tcW w:type="dxa" w:w="2835"/>
            <w:tcMar>
              <w:top w:w="60" w:type="dxa"/>
              <w:start w:w="60" w:type="dxa"/>
              <w:bottom w:w="60" w:type="dxa"/>
              <w:end w:w="60" w:type="dxa"/>
            </w:tcMar>
            <w:vAlign w:val="top"/>
          </w:tcPr>
          <w:p>
            <w:r/>
            <w:r>
              <w:rPr>
                <w:rFonts w:ascii="Aptos" w:hAnsi="Aptos"/>
                <w:sz w:val="16"/>
              </w:rPr>
              <w:t>PARTIAL</w:t>
            </w:r>
          </w:p>
        </w:tc>
        <w:tc>
          <w:tcPr>
            <w:tcW w:type="dxa" w:w="6463"/>
            <w:tcMar>
              <w:top w:w="60" w:type="dxa"/>
              <w:start w:w="60" w:type="dxa"/>
              <w:bottom w:w="60" w:type="dxa"/>
              <w:end w:w="60" w:type="dxa"/>
            </w:tcMar>
            <w:vAlign w:val="top"/>
          </w:tcPr>
          <w:p>
            <w:r/>
            <w:r>
              <w:rPr>
                <w:rFonts w:ascii="Aptos" w:hAnsi="Aptos"/>
                <w:sz w:val="16"/>
              </w:rPr>
              <w:t>Une ou plusieurs mesures principales manquent.</w:t>
            </w:r>
          </w:p>
        </w:tc>
      </w:tr>
      <w:tr>
        <w:tc>
          <w:tcPr>
            <w:tcW w:type="dxa" w:w="2835"/>
            <w:tcMar>
              <w:top w:w="60" w:type="dxa"/>
              <w:start w:w="60" w:type="dxa"/>
              <w:bottom w:w="60" w:type="dxa"/>
              <w:end w:w="60" w:type="dxa"/>
            </w:tcMar>
            <w:vAlign w:val="top"/>
          </w:tcPr>
          <w:p>
            <w:r/>
            <w:r>
              <w:rPr>
                <w:rFonts w:ascii="Aptos" w:hAnsi="Aptos"/>
                <w:sz w:val="16"/>
              </w:rPr>
              <w:t>SOURCE_ZERO</w:t>
            </w:r>
          </w:p>
        </w:tc>
        <w:tc>
          <w:tcPr>
            <w:tcW w:type="dxa" w:w="6463"/>
            <w:tcMar>
              <w:top w:w="60" w:type="dxa"/>
              <w:start w:w="60" w:type="dxa"/>
              <w:bottom w:w="60" w:type="dxa"/>
              <w:end w:w="60" w:type="dxa"/>
            </w:tcMar>
            <w:vAlign w:val="top"/>
          </w:tcPr>
          <w:p>
            <w:r/>
            <w:r>
              <w:rPr>
                <w:rFonts w:ascii="Aptos" w:hAnsi="Aptos"/>
                <w:sz w:val="16"/>
              </w:rPr>
              <w:t>Zéro explicitement publié.</w:t>
            </w:r>
          </w:p>
        </w:tc>
      </w:tr>
      <w:tr>
        <w:tc>
          <w:tcPr>
            <w:tcW w:type="dxa" w:w="2835"/>
            <w:tcMar>
              <w:top w:w="60" w:type="dxa"/>
              <w:start w:w="60" w:type="dxa"/>
              <w:bottom w:w="60" w:type="dxa"/>
              <w:end w:w="60" w:type="dxa"/>
            </w:tcMar>
            <w:vAlign w:val="top"/>
          </w:tcPr>
          <w:p>
            <w:r/>
            <w:r>
              <w:rPr>
                <w:rFonts w:ascii="Aptos" w:hAnsi="Aptos"/>
                <w:sz w:val="16"/>
              </w:rPr>
              <w:t>REVIEW</w:t>
            </w:r>
          </w:p>
        </w:tc>
        <w:tc>
          <w:tcPr>
            <w:tcW w:type="dxa" w:w="6463"/>
            <w:tcMar>
              <w:top w:w="60" w:type="dxa"/>
              <w:start w:w="60" w:type="dxa"/>
              <w:bottom w:w="60" w:type="dxa"/>
              <w:end w:w="60" w:type="dxa"/>
            </w:tcMar>
            <w:vAlign w:val="top"/>
          </w:tcPr>
          <w:p>
            <w:r/>
            <w:r>
              <w:rPr>
                <w:rFonts w:ascii="Aptos" w:hAnsi="Aptos"/>
                <w:sz w:val="16"/>
              </w:rPr>
              <w:t>Revue humaine requise.</w:t>
            </w:r>
          </w:p>
        </w:tc>
      </w:tr>
      <w:tr>
        <w:tc>
          <w:tcPr>
            <w:tcW w:type="dxa" w:w="2835"/>
            <w:tcMar>
              <w:top w:w="60" w:type="dxa"/>
              <w:start w:w="60" w:type="dxa"/>
              <w:bottom w:w="60" w:type="dxa"/>
              <w:end w:w="60" w:type="dxa"/>
            </w:tcMar>
            <w:vAlign w:val="top"/>
          </w:tcPr>
          <w:p>
            <w:r/>
            <w:r>
              <w:rPr>
                <w:rFonts w:ascii="Aptos" w:hAnsi="Aptos"/>
                <w:sz w:val="16"/>
              </w:rPr>
              <w:t>CONFLICT</w:t>
            </w:r>
          </w:p>
        </w:tc>
        <w:tc>
          <w:tcPr>
            <w:tcW w:type="dxa" w:w="6463"/>
            <w:tcMar>
              <w:top w:w="60" w:type="dxa"/>
              <w:start w:w="60" w:type="dxa"/>
              <w:bottom w:w="60" w:type="dxa"/>
              <w:end w:w="60" w:type="dxa"/>
            </w:tcMar>
            <w:vAlign w:val="top"/>
          </w:tcPr>
          <w:p>
            <w:r/>
            <w:r>
              <w:rPr>
                <w:rFonts w:ascii="Aptos" w:hAnsi="Aptos"/>
                <w:sz w:val="16"/>
              </w:rPr>
              <w:t>Sources divergentes.</w:t>
            </w:r>
          </w:p>
        </w:tc>
      </w:tr>
      <w:tr>
        <w:tc>
          <w:tcPr>
            <w:tcW w:type="dxa" w:w="2835"/>
            <w:tcMar>
              <w:top w:w="60" w:type="dxa"/>
              <w:start w:w="60" w:type="dxa"/>
              <w:bottom w:w="60" w:type="dxa"/>
              <w:end w:w="60" w:type="dxa"/>
            </w:tcMar>
            <w:vAlign w:val="top"/>
          </w:tcPr>
          <w:p>
            <w:r/>
            <w:r>
              <w:rPr>
                <w:rFonts w:ascii="Aptos" w:hAnsi="Aptos"/>
                <w:sz w:val="16"/>
              </w:rPr>
              <w:t>DATE_CONFLICT</w:t>
            </w:r>
          </w:p>
        </w:tc>
        <w:tc>
          <w:tcPr>
            <w:tcW w:type="dxa" w:w="6463"/>
            <w:tcMar>
              <w:top w:w="60" w:type="dxa"/>
              <w:start w:w="60" w:type="dxa"/>
              <w:bottom w:w="60" w:type="dxa"/>
              <w:end w:w="60" w:type="dxa"/>
            </w:tcMar>
            <w:vAlign w:val="top"/>
          </w:tcPr>
          <w:p>
            <w:r/>
            <w:r>
              <w:rPr>
                <w:rFonts w:ascii="Aptos" w:hAnsi="Aptos"/>
                <w:sz w:val="16"/>
              </w:rPr>
              <w:t>Dates contradictoires.</w:t>
            </w:r>
          </w:p>
        </w:tc>
      </w:tr>
      <w:tr>
        <w:tc>
          <w:tcPr>
            <w:tcW w:type="dxa" w:w="2835"/>
            <w:tcMar>
              <w:top w:w="60" w:type="dxa"/>
              <w:start w:w="60" w:type="dxa"/>
              <w:bottom w:w="60" w:type="dxa"/>
              <w:end w:w="60" w:type="dxa"/>
            </w:tcMar>
            <w:vAlign w:val="top"/>
          </w:tcPr>
          <w:p>
            <w:r/>
            <w:r>
              <w:rPr>
                <w:rFonts w:ascii="Aptos" w:hAnsi="Aptos"/>
                <w:sz w:val="16"/>
              </w:rPr>
              <w:t>CURRENCY_AMBIGUOUS</w:t>
            </w:r>
          </w:p>
        </w:tc>
        <w:tc>
          <w:tcPr>
            <w:tcW w:type="dxa" w:w="6463"/>
            <w:tcMar>
              <w:top w:w="60" w:type="dxa"/>
              <w:start w:w="60" w:type="dxa"/>
              <w:bottom w:w="60" w:type="dxa"/>
              <w:end w:w="60" w:type="dxa"/>
            </w:tcMar>
            <w:vAlign w:val="top"/>
          </w:tcPr>
          <w:p>
            <w:r/>
            <w:r>
              <w:rPr>
                <w:rFonts w:ascii="Aptos" w:hAnsi="Aptos"/>
                <w:sz w:val="16"/>
              </w:rPr>
              <w:t>Devise non résolue.</w:t>
            </w:r>
          </w:p>
        </w:tc>
      </w:tr>
      <w:tr>
        <w:tc>
          <w:tcPr>
            <w:tcW w:type="dxa" w:w="2835"/>
            <w:tcMar>
              <w:top w:w="60" w:type="dxa"/>
              <w:start w:w="60" w:type="dxa"/>
              <w:bottom w:w="60" w:type="dxa"/>
              <w:end w:w="60" w:type="dxa"/>
            </w:tcMar>
            <w:vAlign w:val="top"/>
          </w:tcPr>
          <w:p>
            <w:r/>
            <w:r>
              <w:rPr>
                <w:rFonts w:ascii="Aptos" w:hAnsi="Aptos"/>
                <w:sz w:val="16"/>
              </w:rPr>
              <w:t>MEASURE_AMBIGUOUS</w:t>
            </w:r>
          </w:p>
        </w:tc>
        <w:tc>
          <w:tcPr>
            <w:tcW w:type="dxa" w:w="6463"/>
            <w:tcMar>
              <w:top w:w="60" w:type="dxa"/>
              <w:start w:w="60" w:type="dxa"/>
              <w:bottom w:w="60" w:type="dxa"/>
              <w:end w:w="60" w:type="dxa"/>
            </w:tcMar>
            <w:vAlign w:val="top"/>
          </w:tcPr>
          <w:p>
            <w:r/>
            <w:r>
              <w:rPr>
                <w:rFonts w:ascii="Aptos" w:hAnsi="Aptos"/>
                <w:sz w:val="16"/>
              </w:rPr>
              <w:t>NAV/price non résolu.</w:t>
            </w:r>
          </w:p>
        </w:tc>
      </w:tr>
      <w:tr>
        <w:tc>
          <w:tcPr>
            <w:tcW w:type="dxa" w:w="2835"/>
            <w:tcMar>
              <w:top w:w="60" w:type="dxa"/>
              <w:start w:w="60" w:type="dxa"/>
              <w:bottom w:w="60" w:type="dxa"/>
              <w:end w:w="60" w:type="dxa"/>
            </w:tcMar>
            <w:vAlign w:val="top"/>
          </w:tcPr>
          <w:p>
            <w:r/>
            <w:r>
              <w:rPr>
                <w:rFonts w:ascii="Aptos" w:hAnsi="Aptos"/>
                <w:sz w:val="16"/>
              </w:rPr>
              <w:t>FUND_UNRESOLVED</w:t>
            </w:r>
          </w:p>
        </w:tc>
        <w:tc>
          <w:tcPr>
            <w:tcW w:type="dxa" w:w="6463"/>
            <w:tcMar>
              <w:top w:w="60" w:type="dxa"/>
              <w:start w:w="60" w:type="dxa"/>
              <w:bottom w:w="60" w:type="dxa"/>
              <w:end w:w="60" w:type="dxa"/>
            </w:tcMar>
            <w:vAlign w:val="top"/>
          </w:tcPr>
          <w:p>
            <w:r/>
            <w:r>
              <w:rPr>
                <w:rFonts w:ascii="Aptos" w:hAnsi="Aptos"/>
                <w:sz w:val="16"/>
              </w:rPr>
              <w:t>Identité du fonds non résolue.</w:t>
            </w:r>
          </w:p>
        </w:tc>
      </w:tr>
      <w:tr>
        <w:tc>
          <w:tcPr>
            <w:tcW w:type="dxa" w:w="2835"/>
            <w:tcMar>
              <w:top w:w="60" w:type="dxa"/>
              <w:start w:w="60" w:type="dxa"/>
              <w:bottom w:w="60" w:type="dxa"/>
              <w:end w:w="60" w:type="dxa"/>
            </w:tcMar>
            <w:vAlign w:val="top"/>
          </w:tcPr>
          <w:p>
            <w:r/>
            <w:r>
              <w:rPr>
                <w:rFonts w:ascii="Aptos" w:hAnsi="Aptos"/>
                <w:sz w:val="16"/>
              </w:rPr>
              <w:t>MANAGER_UNRESOLVED</w:t>
            </w:r>
          </w:p>
        </w:tc>
        <w:tc>
          <w:tcPr>
            <w:tcW w:type="dxa" w:w="6463"/>
            <w:tcMar>
              <w:top w:w="60" w:type="dxa"/>
              <w:start w:w="60" w:type="dxa"/>
              <w:bottom w:w="60" w:type="dxa"/>
              <w:end w:w="60" w:type="dxa"/>
            </w:tcMar>
            <w:vAlign w:val="top"/>
          </w:tcPr>
          <w:p>
            <w:r/>
            <w:r>
              <w:rPr>
                <w:rFonts w:ascii="Aptos" w:hAnsi="Aptos"/>
                <w:sz w:val="16"/>
              </w:rPr>
              <w:t>Gestionnaire non résolu.</w:t>
            </w:r>
          </w:p>
        </w:tc>
      </w:tr>
      <w:tr>
        <w:tc>
          <w:tcPr>
            <w:tcW w:type="dxa" w:w="2835"/>
            <w:tcMar>
              <w:top w:w="60" w:type="dxa"/>
              <w:start w:w="60" w:type="dxa"/>
              <w:bottom w:w="60" w:type="dxa"/>
              <w:end w:w="60" w:type="dxa"/>
            </w:tcMar>
            <w:vAlign w:val="top"/>
          </w:tcPr>
          <w:p>
            <w:r/>
            <w:r>
              <w:rPr>
                <w:rFonts w:ascii="Aptos" w:hAnsi="Aptos"/>
                <w:sz w:val="16"/>
              </w:rPr>
              <w:t>PARSER_ERROR</w:t>
            </w:r>
          </w:p>
        </w:tc>
        <w:tc>
          <w:tcPr>
            <w:tcW w:type="dxa" w:w="6463"/>
            <w:tcMar>
              <w:top w:w="60" w:type="dxa"/>
              <w:start w:w="60" w:type="dxa"/>
              <w:bottom w:w="60" w:type="dxa"/>
              <w:end w:w="60" w:type="dxa"/>
            </w:tcMar>
            <w:vAlign w:val="top"/>
          </w:tcPr>
          <w:p>
            <w:r/>
            <w:r>
              <w:rPr>
                <w:rFonts w:ascii="Aptos" w:hAnsi="Aptos"/>
                <w:sz w:val="16"/>
              </w:rPr>
              <w:t>Ligne ou cellule mal interprétée.</w:t>
            </w:r>
          </w:p>
        </w:tc>
      </w:tr>
      <w:tr>
        <w:tc>
          <w:tcPr>
            <w:tcW w:type="dxa" w:w="2835"/>
            <w:tcMar>
              <w:top w:w="60" w:type="dxa"/>
              <w:start w:w="60" w:type="dxa"/>
              <w:bottom w:w="60" w:type="dxa"/>
              <w:end w:w="60" w:type="dxa"/>
            </w:tcMar>
            <w:vAlign w:val="top"/>
          </w:tcPr>
          <w:p>
            <w:r/>
            <w:r>
              <w:rPr>
                <w:rFonts w:ascii="Aptos" w:hAnsi="Aptos"/>
                <w:sz w:val="16"/>
              </w:rPr>
              <w:t>CORRUPT_SOURCE</w:t>
            </w:r>
          </w:p>
        </w:tc>
        <w:tc>
          <w:tcPr>
            <w:tcW w:type="dxa" w:w="6463"/>
            <w:tcMar>
              <w:top w:w="60" w:type="dxa"/>
              <w:start w:w="60" w:type="dxa"/>
              <w:bottom w:w="60" w:type="dxa"/>
              <w:end w:w="60" w:type="dxa"/>
            </w:tcMar>
            <w:vAlign w:val="top"/>
          </w:tcPr>
          <w:p>
            <w:r/>
            <w:r>
              <w:rPr>
                <w:rFonts w:ascii="Aptos" w:hAnsi="Aptos"/>
                <w:sz w:val="16"/>
              </w:rPr>
              <w:t>Fichier corrompu.</w:t>
            </w:r>
          </w:p>
        </w:tc>
      </w:tr>
      <w:tr>
        <w:tc>
          <w:tcPr>
            <w:tcW w:type="dxa" w:w="2835"/>
            <w:tcMar>
              <w:top w:w="60" w:type="dxa"/>
              <w:start w:w="60" w:type="dxa"/>
              <w:bottom w:w="60" w:type="dxa"/>
              <w:end w:w="60" w:type="dxa"/>
            </w:tcMar>
            <w:vAlign w:val="top"/>
          </w:tcPr>
          <w:p>
            <w:r/>
            <w:r>
              <w:rPr>
                <w:rFonts w:ascii="Aptos" w:hAnsi="Aptos"/>
                <w:sz w:val="16"/>
              </w:rPr>
              <w:t>MISSING_SOURCE</w:t>
            </w:r>
          </w:p>
        </w:tc>
        <w:tc>
          <w:tcPr>
            <w:tcW w:type="dxa" w:w="6463"/>
            <w:tcMar>
              <w:top w:w="60" w:type="dxa"/>
              <w:start w:w="60" w:type="dxa"/>
              <w:bottom w:w="60" w:type="dxa"/>
              <w:end w:w="60" w:type="dxa"/>
            </w:tcMar>
            <w:vAlign w:val="top"/>
          </w:tcPr>
          <w:p>
            <w:r/>
            <w:r>
              <w:rPr>
                <w:rFonts w:ascii="Aptos" w:hAnsi="Aptos"/>
                <w:sz w:val="16"/>
              </w:rPr>
              <w:t>Source attendue non trouvée.</w:t>
            </w:r>
          </w:p>
        </w:tc>
      </w:tr>
      <w:tr>
        <w:tc>
          <w:tcPr>
            <w:tcW w:type="dxa" w:w="2835"/>
            <w:tcMar>
              <w:top w:w="60" w:type="dxa"/>
              <w:start w:w="60" w:type="dxa"/>
              <w:bottom w:w="60" w:type="dxa"/>
              <w:end w:w="60" w:type="dxa"/>
            </w:tcMar>
            <w:vAlign w:val="top"/>
          </w:tcPr>
          <w:p>
            <w:r/>
            <w:r>
              <w:rPr>
                <w:rFonts w:ascii="Aptos" w:hAnsi="Aptos"/>
                <w:sz w:val="16"/>
              </w:rPr>
              <w:t>DERIVED_VALUE</w:t>
            </w:r>
          </w:p>
        </w:tc>
        <w:tc>
          <w:tcPr>
            <w:tcW w:type="dxa" w:w="6463"/>
            <w:tcMar>
              <w:top w:w="60" w:type="dxa"/>
              <w:start w:w="60" w:type="dxa"/>
              <w:bottom w:w="60" w:type="dxa"/>
              <w:end w:w="60" w:type="dxa"/>
            </w:tcMar>
            <w:vAlign w:val="top"/>
          </w:tcPr>
          <w:p>
            <w:r/>
            <w:r>
              <w:rPr>
                <w:rFonts w:ascii="Aptos" w:hAnsi="Aptos"/>
                <w:sz w:val="16"/>
              </w:rPr>
              <w:t>Valeur calculée, non publiée.</w:t>
            </w:r>
          </w:p>
        </w:tc>
      </w:tr>
      <w:tr>
        <w:tc>
          <w:tcPr>
            <w:tcW w:type="dxa" w:w="2835"/>
            <w:tcMar>
              <w:top w:w="60" w:type="dxa"/>
              <w:start w:w="60" w:type="dxa"/>
              <w:bottom w:w="60" w:type="dxa"/>
              <w:end w:w="60" w:type="dxa"/>
            </w:tcMar>
            <w:vAlign w:val="top"/>
          </w:tcPr>
          <w:p>
            <w:r/>
            <w:r>
              <w:rPr>
                <w:rFonts w:ascii="Aptos" w:hAnsi="Aptos"/>
                <w:sz w:val="16"/>
              </w:rPr>
              <w:t>SECONDARY_ONLY</w:t>
            </w:r>
          </w:p>
        </w:tc>
        <w:tc>
          <w:tcPr>
            <w:tcW w:type="dxa" w:w="6463"/>
            <w:tcMar>
              <w:top w:w="60" w:type="dxa"/>
              <w:start w:w="60" w:type="dxa"/>
              <w:bottom w:w="60" w:type="dxa"/>
              <w:end w:w="60" w:type="dxa"/>
            </w:tcMar>
            <w:vAlign w:val="top"/>
          </w:tcPr>
          <w:p>
            <w:r/>
            <w:r>
              <w:rPr>
                <w:rFonts w:ascii="Aptos" w:hAnsi="Aptos"/>
                <w:sz w:val="16"/>
              </w:rPr>
              <w:t>Uniquement source secondaire.</w:t>
            </w:r>
          </w:p>
        </w:tc>
      </w:tr>
      <w:tr>
        <w:tc>
          <w:tcPr>
            <w:tcW w:type="dxa" w:w="2835"/>
            <w:tcMar>
              <w:top w:w="60" w:type="dxa"/>
              <w:start w:w="60" w:type="dxa"/>
              <w:bottom w:w="60" w:type="dxa"/>
              <w:end w:w="60" w:type="dxa"/>
            </w:tcMar>
            <w:vAlign w:val="top"/>
          </w:tcPr>
          <w:p>
            <w:r/>
            <w:r>
              <w:rPr>
                <w:rFonts w:ascii="Aptos" w:hAnsi="Aptos"/>
                <w:sz w:val="16"/>
              </w:rPr>
              <w:t>OUTLIER</w:t>
            </w:r>
          </w:p>
        </w:tc>
        <w:tc>
          <w:tcPr>
            <w:tcW w:type="dxa" w:w="6463"/>
            <w:tcMar>
              <w:top w:w="60" w:type="dxa"/>
              <w:start w:w="60" w:type="dxa"/>
              <w:bottom w:w="60" w:type="dxa"/>
              <w:end w:w="60" w:type="dxa"/>
            </w:tcMar>
            <w:vAlign w:val="top"/>
          </w:tcPr>
          <w:p>
            <w:r/>
            <w:r>
              <w:rPr>
                <w:rFonts w:ascii="Aptos" w:hAnsi="Aptos"/>
                <w:sz w:val="16"/>
              </w:rPr>
              <w:t>Valeur extrême à contrôler.</w:t>
            </w:r>
          </w:p>
        </w:tc>
      </w:tr>
      <w:tr>
        <w:tc>
          <w:tcPr>
            <w:tcW w:type="dxa" w:w="2835"/>
            <w:tcMar>
              <w:top w:w="60" w:type="dxa"/>
              <w:start w:w="60" w:type="dxa"/>
              <w:bottom w:w="60" w:type="dxa"/>
              <w:end w:w="60" w:type="dxa"/>
            </w:tcMar>
            <w:vAlign w:val="top"/>
          </w:tcPr>
          <w:p>
            <w:r/>
            <w:r>
              <w:rPr>
                <w:rFonts w:ascii="Aptos" w:hAnsi="Aptos"/>
                <w:sz w:val="16"/>
              </w:rPr>
              <w:t>DUPLICATE_REDUNDANT</w:t>
            </w:r>
          </w:p>
        </w:tc>
        <w:tc>
          <w:tcPr>
            <w:tcW w:type="dxa" w:w="6463"/>
            <w:tcMar>
              <w:top w:w="60" w:type="dxa"/>
              <w:start w:w="60" w:type="dxa"/>
              <w:bottom w:w="60" w:type="dxa"/>
              <w:end w:w="60" w:type="dxa"/>
            </w:tcMar>
            <w:vAlign w:val="top"/>
          </w:tcPr>
          <w:p>
            <w:r/>
            <w:r>
              <w:rPr>
                <w:rFonts w:ascii="Aptos" w:hAnsi="Aptos"/>
                <w:sz w:val="16"/>
              </w:rPr>
              <w:t>Répétition cohérente.</w:t>
            </w:r>
          </w:p>
        </w:tc>
      </w:tr>
      <w:tr>
        <w:tc>
          <w:tcPr>
            <w:tcW w:type="dxa" w:w="2835"/>
            <w:tcMar>
              <w:top w:w="60" w:type="dxa"/>
              <w:start w:w="60" w:type="dxa"/>
              <w:bottom w:w="60" w:type="dxa"/>
              <w:end w:w="60" w:type="dxa"/>
            </w:tcMar>
            <w:vAlign w:val="top"/>
          </w:tcPr>
          <w:p>
            <w:r/>
            <w:r>
              <w:rPr>
                <w:rFonts w:ascii="Aptos" w:hAnsi="Aptos"/>
                <w:sz w:val="16"/>
              </w:rPr>
              <w:t>SUPERSEDED</w:t>
            </w:r>
          </w:p>
        </w:tc>
        <w:tc>
          <w:tcPr>
            <w:tcW w:type="dxa" w:w="6463"/>
            <w:tcMar>
              <w:top w:w="60" w:type="dxa"/>
              <w:start w:w="60" w:type="dxa"/>
              <w:bottom w:w="60" w:type="dxa"/>
              <w:end w:w="60" w:type="dxa"/>
            </w:tcMar>
            <w:vAlign w:val="top"/>
          </w:tcPr>
          <w:p>
            <w:r/>
            <w:r>
              <w:rPr>
                <w:rFonts w:ascii="Aptos" w:hAnsi="Aptos"/>
                <w:sz w:val="16"/>
              </w:rPr>
              <w:t>Publication remplacée.</w:t>
            </w:r>
          </w:p>
        </w:tc>
      </w:tr>
      <w:tr>
        <w:tc>
          <w:tcPr>
            <w:tcW w:type="dxa" w:w="2835"/>
            <w:tcMar>
              <w:top w:w="60" w:type="dxa"/>
              <w:start w:w="60" w:type="dxa"/>
              <w:bottom w:w="60" w:type="dxa"/>
              <w:end w:w="60" w:type="dxa"/>
            </w:tcMar>
            <w:vAlign w:val="top"/>
          </w:tcPr>
          <w:p>
            <w:r/>
            <w:r>
              <w:rPr>
                <w:rFonts w:ascii="Aptos" w:hAnsi="Aptos"/>
                <w:sz w:val="16"/>
              </w:rPr>
              <w:t>NOT_APPLICABLE</w:t>
            </w:r>
          </w:p>
        </w:tc>
        <w:tc>
          <w:tcPr>
            <w:tcW w:type="dxa" w:w="6463"/>
            <w:tcMar>
              <w:top w:w="60" w:type="dxa"/>
              <w:start w:w="60" w:type="dxa"/>
              <w:bottom w:w="60" w:type="dxa"/>
              <w:end w:w="60" w:type="dxa"/>
            </w:tcMar>
            <w:vAlign w:val="top"/>
          </w:tcPr>
          <w:p>
            <w:r/>
            <w:r>
              <w:rPr>
                <w:rFonts w:ascii="Aptos" w:hAnsi="Aptos"/>
                <w:sz w:val="16"/>
              </w:rPr>
              <w:t>Champ non applicable.</w:t>
            </w:r>
          </w:p>
        </w:tc>
      </w:tr>
      <w:tr>
        <w:tc>
          <w:tcPr>
            <w:tcW w:type="dxa" w:w="2835"/>
            <w:tcMar>
              <w:top w:w="60" w:type="dxa"/>
              <w:start w:w="60" w:type="dxa"/>
              <w:bottom w:w="60" w:type="dxa"/>
              <w:end w:w="60" w:type="dxa"/>
            </w:tcMar>
            <w:vAlign w:val="top"/>
          </w:tcPr>
          <w:p>
            <w:r/>
            <w:r>
              <w:rPr>
                <w:rFonts w:ascii="Aptos" w:hAnsi="Aptos"/>
                <w:sz w:val="16"/>
              </w:rPr>
              <w:t>NOT_FOUND</w:t>
            </w:r>
          </w:p>
        </w:tc>
        <w:tc>
          <w:tcPr>
            <w:tcW w:type="dxa" w:w="6463"/>
            <w:tcMar>
              <w:top w:w="60" w:type="dxa"/>
              <w:start w:w="60" w:type="dxa"/>
              <w:bottom w:w="60" w:type="dxa"/>
              <w:end w:w="60" w:type="dxa"/>
            </w:tcMar>
            <w:vAlign w:val="top"/>
          </w:tcPr>
          <w:p>
            <w:r/>
            <w:r>
              <w:rPr>
                <w:rFonts w:ascii="Aptos" w:hAnsi="Aptos"/>
                <w:sz w:val="16"/>
              </w:rPr>
              <w:t>Recherche effectuée sans résultat.</w:t>
            </w:r>
          </w:p>
        </w:tc>
      </w:tr>
    </w:tbl>
    <w:p>
      <w:pPr>
        <w:widowControl/>
        <w:spacing w:after="0"/>
      </w:pPr>
    </w:p>
    <w:p>
      <w:pPr>
        <w:widowControl/>
      </w:pPr>
      <w:r>
        <w:br w:type="page"/>
      </w:r>
    </w:p>
    <w:p>
      <w:pPr>
        <w:widowControl/>
        <w:jc w:val="center"/>
      </w:pPr>
      <w:r>
        <w:rPr>
          <w:rFonts w:ascii="Aptos Display" w:hAnsi="Aptos Display"/>
          <w:b/>
          <w:color w:val="123E5E"/>
          <w:sz w:val="44"/>
        </w:rPr>
        <w:t>ANNEXE C — EXEMPLES DE NARRATIONS HISTORIQUES</w:t>
      </w:r>
    </w:p>
    <w:p>
      <w:pPr>
        <w:widowControl/>
        <w:jc w:val="center"/>
      </w:pPr>
      <w:r>
        <w:rPr>
          <w:rFonts w:ascii="Aptos" w:hAnsi="Aptos"/>
          <w:i/>
          <w:color w:val="505050"/>
          <w:sz w:val="22"/>
        </w:rPr>
        <w:t>Formats neutres et auditables</w:t>
      </w:r>
    </w:p>
    <w:p>
      <w:pPr>
        <w:widowControl/>
      </w:pPr>
    </w:p>
    <w:p>
      <w:pPr>
        <w:pStyle w:val="Heading1"/>
        <w:widowControl/>
      </w:pPr>
      <w:r>
        <w:t>C.1 Renommage confirmé</w:t>
      </w:r>
    </w:p>
    <w:p>
      <w:pPr>
        <w:pStyle w:val="CodeNigeria"/>
        <w:widowControl/>
        <w:shd w:fill="F4F6F7"/>
      </w:pPr>
      <w:r>
        <w:rPr>
          <w:rFonts w:ascii="Liberation Mono" w:hAnsi="Liberation Mono"/>
          <w:color w:val="1E1E1E"/>
          <w:sz w:val="15"/>
        </w:rPr>
        <w:t>Le fonds apparaît dans les archives SEC sous le nom « X » à compter du [date]. Le prospectus [référence] indique un lancement le [date] avec un prix initial de [montant/devise]. Un avis officiel daté du [date] confirme le changement de nom en « Y », effectif le [date]. La série antérieure reste rattachée au même canonical_fund_id ; les noms sont historisés séparément.</w:t>
      </w:r>
    </w:p>
    <w:p>
      <w:pPr>
        <w:pStyle w:val="Heading1"/>
        <w:widowControl/>
      </w:pPr>
      <w:r>
        <w:t>C.2 Transfert de gestionnaire</w:t>
      </w:r>
    </w:p>
    <w:p>
      <w:pPr>
        <w:pStyle w:val="CodeNigeria"/>
        <w:widowControl/>
        <w:shd w:fill="F4F6F7"/>
      </w:pPr>
      <w:r>
        <w:rPr>
          <w:rFonts w:ascii="Liberation Mono" w:hAnsi="Liberation Mono"/>
          <w:color w:val="1E1E1E"/>
          <w:sz w:val="15"/>
        </w:rPr>
        <w:t>Le fonds était initialement géré par A. Le rapport/avis [référence] annonce le transfert du mandat à B, effectif le [date]. Les publications SEC utilisent B à compter du [date observée]. Le changement de gestionnaire est enregistré comme événement ; l'identité du fonds n'est pas recréée.</w:t>
      </w:r>
    </w:p>
    <w:p>
      <w:pPr>
        <w:pStyle w:val="Heading1"/>
        <w:widowControl/>
      </w:pPr>
      <w:r>
        <w:t>C.3 Absorption</w:t>
      </w:r>
    </w:p>
    <w:p>
      <w:pPr>
        <w:pStyle w:val="CodeNigeria"/>
        <w:widowControl/>
        <w:shd w:fill="F4F6F7"/>
      </w:pPr>
      <w:r>
        <w:rPr>
          <w:rFonts w:ascii="Liberation Mono" w:hAnsi="Liberation Mono"/>
          <w:color w:val="1E1E1E"/>
          <w:sz w:val="15"/>
        </w:rPr>
        <w:t>Le fonds X a cessé d'être publié après le [date]. L'avis [référence] confirme son absorption par Y le [date], selon le ratio [si publié]. X et Y restent deux entités historiques reliées par un événement ABSORPTION ; la série de X n'est pas fusionnée silencieusement avec celle de Y.</w:t>
      </w:r>
    </w:p>
    <w:p>
      <w:pPr>
        <w:pStyle w:val="Heading1"/>
        <w:widowControl/>
      </w:pPr>
      <w:r>
        <w:t>C.4 Cas non résolu</w:t>
      </w:r>
    </w:p>
    <w:p>
      <w:pPr>
        <w:pStyle w:val="CodeNigeria"/>
        <w:widowControl/>
        <w:shd w:fill="F4F6F7"/>
      </w:pPr>
      <w:r>
        <w:rPr>
          <w:rFonts w:ascii="Liberation Mono" w:hAnsi="Liberation Mono"/>
          <w:color w:val="1E1E1E"/>
          <w:sz w:val="15"/>
        </w:rPr>
        <w:t>Les noms X et Y présentent une forte similarité et partagent [signaux]. Aucun document officiel de renommage ou de transfert n'a été retrouvé à la date de vérification. Le rapprochement reste CANDIDATE, confiance [score], et les deux entités ne sont pas fusionnées.</w:t>
      </w:r>
    </w:p>
    <w:p>
      <w:pPr>
        <w:widowControl/>
      </w:pPr>
      <w:r>
        <w:br w:type="page"/>
      </w:r>
    </w:p>
    <w:p>
      <w:pPr>
        <w:widowControl/>
        <w:jc w:val="center"/>
      </w:pPr>
      <w:r>
        <w:rPr>
          <w:rFonts w:ascii="Aptos Display" w:hAnsi="Aptos Display"/>
          <w:b/>
          <w:color w:val="123E5E"/>
          <w:sz w:val="44"/>
        </w:rPr>
        <w:t>ANNEXE D — CHECK-LIST COMPLÈTE PAR FONDS</w:t>
      </w:r>
    </w:p>
    <w:p>
      <w:pPr>
        <w:widowControl/>
        <w:jc w:val="center"/>
      </w:pPr>
      <w:r>
        <w:rPr>
          <w:rFonts w:ascii="Aptos" w:hAnsi="Aptos"/>
          <w:i/>
          <w:color w:val="505050"/>
          <w:sz w:val="22"/>
        </w:rPr>
        <w:t>Contrôle avant validation de la ligne</w:t>
      </w:r>
    </w:p>
    <w:p>
      <w:pPr>
        <w:widowControl/>
      </w:pPr>
    </w:p>
    <w:p>
      <w:pPr>
        <w:widowControl/>
      </w:pPr>
      <w:r>
        <w:rPr>
          <w:rFonts w:ascii="Aptos" w:hAnsi="Aptos"/>
          <w:sz w:val="18"/>
        </w:rPr>
        <w:t>☐ 01. Nom historique exact conservé</w:t>
      </w:r>
    </w:p>
    <w:p>
      <w:pPr>
        <w:widowControl/>
      </w:pPr>
      <w:r>
        <w:rPr>
          <w:rFonts w:ascii="Aptos" w:hAnsi="Aptos"/>
          <w:sz w:val="18"/>
        </w:rPr>
        <w:t>☐ 02. Variantes recherchées</w:t>
      </w:r>
    </w:p>
    <w:p>
      <w:pPr>
        <w:widowControl/>
      </w:pPr>
      <w:r>
        <w:rPr>
          <w:rFonts w:ascii="Aptos" w:hAnsi="Aptos"/>
          <w:sz w:val="18"/>
        </w:rPr>
        <w:t>☐ 03. Nom actuel vérifié</w:t>
      </w:r>
    </w:p>
    <w:p>
      <w:pPr>
        <w:widowControl/>
      </w:pPr>
      <w:r>
        <w:rPr>
          <w:rFonts w:ascii="Aptos" w:hAnsi="Aptos"/>
          <w:sz w:val="18"/>
        </w:rPr>
        <w:t>☐ 04. Gestionnaire actuel vérifié dans le registre SEC</w:t>
      </w:r>
    </w:p>
    <w:p>
      <w:pPr>
        <w:widowControl/>
      </w:pPr>
      <w:r>
        <w:rPr>
          <w:rFonts w:ascii="Aptos" w:hAnsi="Aptos"/>
          <w:sz w:val="18"/>
        </w:rPr>
        <w:t>☐ 05. Date d’inception précise ou précision indiquée</w:t>
      </w:r>
    </w:p>
    <w:p>
      <w:pPr>
        <w:widowControl/>
      </w:pPr>
      <w:r>
        <w:rPr>
          <w:rFonts w:ascii="Aptos" w:hAnsi="Aptos"/>
          <w:sz w:val="18"/>
        </w:rPr>
        <w:t>☐ 06. Date d’approbation distincte</w:t>
      </w:r>
    </w:p>
    <w:p>
      <w:pPr>
        <w:widowControl/>
      </w:pPr>
      <w:r>
        <w:rPr>
          <w:rFonts w:ascii="Aptos" w:hAnsi="Aptos"/>
          <w:sz w:val="18"/>
        </w:rPr>
        <w:t>☐ 07. Première valorisation identifiée</w:t>
      </w:r>
    </w:p>
    <w:p>
      <w:pPr>
        <w:widowControl/>
      </w:pPr>
      <w:r>
        <w:rPr>
          <w:rFonts w:ascii="Aptos" w:hAnsi="Aptos"/>
          <w:sz w:val="18"/>
        </w:rPr>
        <w:t>☐ 08. Prix initial et devise vérifiés</w:t>
      </w:r>
    </w:p>
    <w:p>
      <w:pPr>
        <w:widowControl/>
      </w:pPr>
      <w:r>
        <w:rPr>
          <w:rFonts w:ascii="Aptos" w:hAnsi="Aptos"/>
          <w:sz w:val="18"/>
        </w:rPr>
        <w:t>☐ 09. Forme juridique identifiée</w:t>
      </w:r>
    </w:p>
    <w:p>
      <w:pPr>
        <w:widowControl/>
      </w:pPr>
      <w:r>
        <w:rPr>
          <w:rFonts w:ascii="Aptos" w:hAnsi="Aptos"/>
          <w:sz w:val="18"/>
        </w:rPr>
        <w:t>☐ 10. Fonds vs classe résolu</w:t>
      </w:r>
    </w:p>
    <w:p>
      <w:pPr>
        <w:widowControl/>
      </w:pPr>
      <w:r>
        <w:rPr>
          <w:rFonts w:ascii="Aptos" w:hAnsi="Aptos"/>
          <w:sz w:val="18"/>
        </w:rPr>
        <w:t>☐ 11. Trustee vérifié</w:t>
      </w:r>
    </w:p>
    <w:p>
      <w:pPr>
        <w:widowControl/>
      </w:pPr>
      <w:r>
        <w:rPr>
          <w:rFonts w:ascii="Aptos" w:hAnsi="Aptos"/>
          <w:sz w:val="18"/>
        </w:rPr>
        <w:t>☐ 12. Custodian vérifié</w:t>
      </w:r>
    </w:p>
    <w:p>
      <w:pPr>
        <w:widowControl/>
      </w:pPr>
      <w:r>
        <w:rPr>
          <w:rFonts w:ascii="Aptos" w:hAnsi="Aptos"/>
          <w:sz w:val="18"/>
        </w:rPr>
        <w:t>☐ 13. Registrar vérifié</w:t>
      </w:r>
    </w:p>
    <w:p>
      <w:pPr>
        <w:widowControl/>
      </w:pPr>
      <w:r>
        <w:rPr>
          <w:rFonts w:ascii="Aptos" w:hAnsi="Aptos"/>
          <w:sz w:val="18"/>
        </w:rPr>
        <w:t>☐ 14. Auditeur vérifié</w:t>
      </w:r>
    </w:p>
    <w:p>
      <w:pPr>
        <w:widowControl/>
      </w:pPr>
      <w:r>
        <w:rPr>
          <w:rFonts w:ascii="Aptos" w:hAnsi="Aptos"/>
          <w:sz w:val="18"/>
        </w:rPr>
        <w:t>☐ 15. Objectif versionné</w:t>
      </w:r>
    </w:p>
    <w:p>
      <w:pPr>
        <w:widowControl/>
      </w:pPr>
      <w:r>
        <w:rPr>
          <w:rFonts w:ascii="Aptos" w:hAnsi="Aptos"/>
          <w:sz w:val="18"/>
        </w:rPr>
        <w:t>☐ 16. Stratégie versionnée</w:t>
      </w:r>
    </w:p>
    <w:p>
      <w:pPr>
        <w:widowControl/>
      </w:pPr>
      <w:r>
        <w:rPr>
          <w:rFonts w:ascii="Aptos" w:hAnsi="Aptos"/>
          <w:sz w:val="18"/>
        </w:rPr>
        <w:t>☐ 17. Classe d’actifs sourcée</w:t>
      </w:r>
    </w:p>
    <w:p>
      <w:pPr>
        <w:widowControl/>
      </w:pPr>
      <w:r>
        <w:rPr>
          <w:rFonts w:ascii="Aptos" w:hAnsi="Aptos"/>
          <w:sz w:val="18"/>
        </w:rPr>
        <w:t>☐ 18. Benchmark sourcé</w:t>
      </w:r>
    </w:p>
    <w:p>
      <w:pPr>
        <w:widowControl/>
      </w:pPr>
      <w:r>
        <w:rPr>
          <w:rFonts w:ascii="Aptos" w:hAnsi="Aptos"/>
          <w:sz w:val="18"/>
        </w:rPr>
        <w:t>☐ 19. Politique de distribution sourcée</w:t>
      </w:r>
    </w:p>
    <w:p>
      <w:pPr>
        <w:widowControl/>
      </w:pPr>
      <w:r>
        <w:rPr>
          <w:rFonts w:ascii="Aptos" w:hAnsi="Aptos"/>
          <w:sz w:val="18"/>
        </w:rPr>
        <w:t>☐ 20. Frais sourcés</w:t>
      </w:r>
    </w:p>
    <w:p>
      <w:pPr>
        <w:widowControl/>
      </w:pPr>
      <w:r>
        <w:rPr>
          <w:rFonts w:ascii="Aptos" w:hAnsi="Aptos"/>
          <w:sz w:val="18"/>
        </w:rPr>
        <w:t>☐ 21. URLs officielles testées</w:t>
      </w:r>
    </w:p>
    <w:p>
      <w:pPr>
        <w:widowControl/>
      </w:pPr>
      <w:r>
        <w:rPr>
          <w:rFonts w:ascii="Aptos" w:hAnsi="Aptos"/>
          <w:sz w:val="18"/>
        </w:rPr>
        <w:t>☐ 22. Prospectus archivé</w:t>
      </w:r>
    </w:p>
    <w:p>
      <w:pPr>
        <w:widowControl/>
      </w:pPr>
      <w:r>
        <w:rPr>
          <w:rFonts w:ascii="Aptos" w:hAnsi="Aptos"/>
          <w:sz w:val="18"/>
        </w:rPr>
        <w:t>☐ 23. Factsheets datées</w:t>
      </w:r>
    </w:p>
    <w:p>
      <w:pPr>
        <w:widowControl/>
      </w:pPr>
      <w:r>
        <w:rPr>
          <w:rFonts w:ascii="Aptos" w:hAnsi="Aptos"/>
          <w:sz w:val="18"/>
        </w:rPr>
        <w:t>☐ 24. Rapports annuels indexés</w:t>
      </w:r>
    </w:p>
    <w:p>
      <w:pPr>
        <w:widowControl/>
      </w:pPr>
      <w:r>
        <w:rPr>
          <w:rFonts w:ascii="Aptos" w:hAnsi="Aptos"/>
          <w:sz w:val="18"/>
        </w:rPr>
        <w:t>☐ 25. Avis SEC recherchés</w:t>
      </w:r>
    </w:p>
    <w:p>
      <w:pPr>
        <w:widowControl/>
      </w:pPr>
      <w:r>
        <w:rPr>
          <w:rFonts w:ascii="Aptos" w:hAnsi="Aptos"/>
          <w:sz w:val="18"/>
        </w:rPr>
        <w:t>☐ 26. Wayback exploré</w:t>
      </w:r>
    </w:p>
    <w:p>
      <w:pPr>
        <w:widowControl/>
      </w:pPr>
      <w:r>
        <w:rPr>
          <w:rFonts w:ascii="Aptos" w:hAnsi="Aptos"/>
          <w:sz w:val="18"/>
        </w:rPr>
        <w:t>☐ 27. Presse utilisée seulement comme piste</w:t>
      </w:r>
    </w:p>
    <w:p>
      <w:pPr>
        <w:widowControl/>
      </w:pPr>
      <w:r>
        <w:rPr>
          <w:rFonts w:ascii="Aptos" w:hAnsi="Aptos"/>
          <w:sz w:val="18"/>
        </w:rPr>
        <w:t>☐ 28. Changements de nom enregistrés</w:t>
      </w:r>
    </w:p>
    <w:p>
      <w:pPr>
        <w:widowControl/>
      </w:pPr>
      <w:r>
        <w:rPr>
          <w:rFonts w:ascii="Aptos" w:hAnsi="Aptos"/>
          <w:sz w:val="18"/>
        </w:rPr>
        <w:t>☐ 29. Changements de gestionnaire enregistrés</w:t>
      </w:r>
    </w:p>
    <w:p>
      <w:pPr>
        <w:widowControl/>
      </w:pPr>
      <w:r>
        <w:rPr>
          <w:rFonts w:ascii="Aptos" w:hAnsi="Aptos"/>
          <w:sz w:val="18"/>
        </w:rPr>
        <w:t>☐ 30. Fusion/absorption recherchée</w:t>
      </w:r>
    </w:p>
    <w:p>
      <w:pPr>
        <w:widowControl/>
      </w:pPr>
      <w:r>
        <w:rPr>
          <w:rFonts w:ascii="Aptos" w:hAnsi="Aptos"/>
          <w:sz w:val="18"/>
        </w:rPr>
        <w:t>☐ 31. Suspension/liquidation recherchée</w:t>
      </w:r>
    </w:p>
    <w:p>
      <w:pPr>
        <w:widowControl/>
      </w:pPr>
      <w:r>
        <w:rPr>
          <w:rFonts w:ascii="Aptos" w:hAnsi="Aptos"/>
          <w:sz w:val="18"/>
        </w:rPr>
        <w:t>☐ 32. Split/consolidation recherchée</w:t>
      </w:r>
    </w:p>
    <w:p>
      <w:pPr>
        <w:widowControl/>
      </w:pPr>
      <w:r>
        <w:rPr>
          <w:rFonts w:ascii="Aptos" w:hAnsi="Aptos"/>
          <w:sz w:val="18"/>
        </w:rPr>
        <w:t>☐ 33. Changements de benchmark/objectif recherchés</w:t>
      </w:r>
    </w:p>
    <w:p>
      <w:pPr>
        <w:widowControl/>
      </w:pPr>
      <w:r>
        <w:rPr>
          <w:rFonts w:ascii="Aptos" w:hAnsi="Aptos"/>
          <w:sz w:val="18"/>
        </w:rPr>
        <w:t>☐ 34. Chronologie annuelle 2012–2025 complétée ou motivée</w:t>
      </w:r>
    </w:p>
    <w:p>
      <w:pPr>
        <w:widowControl/>
      </w:pPr>
      <w:r>
        <w:rPr>
          <w:rFonts w:ascii="Aptos" w:hAnsi="Aptos"/>
          <w:sz w:val="18"/>
        </w:rPr>
        <w:t>☐ 35. Unit Price séparé de NAV total</w:t>
      </w:r>
    </w:p>
    <w:p>
      <w:pPr>
        <w:widowControl/>
      </w:pPr>
      <w:r>
        <w:rPr>
          <w:rFonts w:ascii="Aptos" w:hAnsi="Aptos"/>
          <w:sz w:val="18"/>
        </w:rPr>
        <w:t>☐ 36. Bid/Offer séparés</w:t>
      </w:r>
    </w:p>
    <w:p>
      <w:pPr>
        <w:widowControl/>
      </w:pPr>
      <w:r>
        <w:rPr>
          <w:rFonts w:ascii="Aptos" w:hAnsi="Aptos"/>
          <w:sz w:val="18"/>
        </w:rPr>
        <w:t>☐ 37. Devises par mesure</w:t>
      </w:r>
    </w:p>
    <w:p>
      <w:pPr>
        <w:widowControl/>
      </w:pPr>
      <w:r>
        <w:rPr>
          <w:rFonts w:ascii="Aptos" w:hAnsi="Aptos"/>
          <w:sz w:val="18"/>
        </w:rPr>
        <w:t>☐ 38. Dividendes séparés</w:t>
      </w:r>
    </w:p>
    <w:p>
      <w:pPr>
        <w:widowControl/>
      </w:pPr>
      <w:r>
        <w:rPr>
          <w:rFonts w:ascii="Aptos" w:hAnsi="Aptos"/>
          <w:sz w:val="18"/>
        </w:rPr>
        <w:t>☐ 39. Narration factuelle</w:t>
      </w:r>
    </w:p>
    <w:p>
      <w:pPr>
        <w:widowControl/>
      </w:pPr>
      <w:r>
        <w:rPr>
          <w:rFonts w:ascii="Aptos" w:hAnsi="Aptos"/>
          <w:sz w:val="18"/>
        </w:rPr>
        <w:t>☐ 40. Chaque claim relié à une preuve</w:t>
      </w:r>
    </w:p>
    <w:p>
      <w:pPr>
        <w:widowControl/>
      </w:pPr>
      <w:r>
        <w:rPr>
          <w:rFonts w:ascii="Aptos" w:hAnsi="Aptos"/>
          <w:sz w:val="18"/>
        </w:rPr>
        <w:t>☐ 41. Conflits conservés</w:t>
      </w:r>
    </w:p>
    <w:p>
      <w:pPr>
        <w:widowControl/>
      </w:pPr>
      <w:r>
        <w:rPr>
          <w:rFonts w:ascii="Aptos" w:hAnsi="Aptos"/>
          <w:sz w:val="18"/>
        </w:rPr>
        <w:t>☐ 42. Score par claim</w:t>
      </w:r>
    </w:p>
    <w:p>
      <w:pPr>
        <w:widowControl/>
      </w:pPr>
      <w:r>
        <w:rPr>
          <w:rFonts w:ascii="Aptos" w:hAnsi="Aptos"/>
          <w:sz w:val="18"/>
        </w:rPr>
        <w:t>☐ 43. Revue humaine effectuée</w:t>
      </w:r>
    </w:p>
    <w:p>
      <w:pPr>
        <w:widowControl/>
      </w:pPr>
      <w:r>
        <w:rPr>
          <w:rFonts w:ascii="Aptos" w:hAnsi="Aptos"/>
          <w:sz w:val="18"/>
        </w:rPr>
        <w:t>☐ 44. Date de dernière vérification renseignée</w:t>
      </w:r>
    </w:p>
    <w:p>
      <w:pPr>
        <w:widowControl/>
      </w:pPr>
      <w:r>
        <w:rPr>
          <w:rFonts w:ascii="Aptos" w:hAnsi="Aptos"/>
          <w:sz w:val="18"/>
        </w:rPr>
        <w:t>☐ 45. Points ouverts listés</w:t>
      </w:r>
    </w:p>
    <w:p>
      <w:pPr>
        <w:widowControl/>
      </w:pPr>
      <w:r>
        <w:br w:type="page"/>
      </w:r>
    </w:p>
    <w:p>
      <w:pPr>
        <w:widowControl/>
        <w:jc w:val="center"/>
      </w:pPr>
      <w:r>
        <w:rPr>
          <w:rFonts w:ascii="Aptos Display" w:hAnsi="Aptos Display"/>
          <w:b/>
          <w:color w:val="123E5E"/>
          <w:sz w:val="44"/>
        </w:rPr>
        <w:t>ANNEXE E — CHECK-LIST DE MISE EN PRODUCTION</w:t>
      </w:r>
    </w:p>
    <w:p>
      <w:pPr>
        <w:widowControl/>
        <w:jc w:val="center"/>
      </w:pPr>
      <w:r>
        <w:rPr>
          <w:rFonts w:ascii="Aptos" w:hAnsi="Aptos"/>
          <w:i/>
          <w:color w:val="505050"/>
          <w:sz w:val="22"/>
        </w:rPr>
        <w:t>Contrôle avant toute écriture</w:t>
      </w:r>
    </w:p>
    <w:p>
      <w:pPr>
        <w:widowControl/>
      </w:pPr>
    </w:p>
    <w:p>
      <w:pPr>
        <w:widowControl/>
      </w:pPr>
      <w:r>
        <w:rPr>
          <w:rFonts w:ascii="Aptos" w:hAnsi="Aptos"/>
          <w:sz w:val="18"/>
        </w:rPr>
        <w:t>☐ 01. Branche et état Git vérifiés</w:t>
      </w:r>
    </w:p>
    <w:p>
      <w:pPr>
        <w:widowControl/>
      </w:pPr>
      <w:r>
        <w:rPr>
          <w:rFonts w:ascii="Aptos" w:hAnsi="Aptos"/>
          <w:sz w:val="18"/>
        </w:rPr>
        <w:t>☐ 02. Fichiers modifiés/non suivis préservés</w:t>
      </w:r>
    </w:p>
    <w:p>
      <w:pPr>
        <w:widowControl/>
      </w:pPr>
      <w:r>
        <w:rPr>
          <w:rFonts w:ascii="Aptos" w:hAnsi="Aptos"/>
          <w:sz w:val="18"/>
        </w:rPr>
        <w:t>☐ 03. Documents de gouvernance lus</w:t>
      </w:r>
    </w:p>
    <w:p>
      <w:pPr>
        <w:widowControl/>
      </w:pPr>
      <w:r>
        <w:rPr>
          <w:rFonts w:ascii="Aptos" w:hAnsi="Aptos"/>
          <w:sz w:val="18"/>
        </w:rPr>
        <w:t>☐ 04. Base auditée en lecture seule</w:t>
      </w:r>
    </w:p>
    <w:p>
      <w:pPr>
        <w:widowControl/>
      </w:pPr>
      <w:r>
        <w:rPr>
          <w:rFonts w:ascii="Aptos" w:hAnsi="Aptos"/>
          <w:sz w:val="18"/>
        </w:rPr>
        <w:t>☐ 05. Sauvegarde ciblée créée</w:t>
      </w:r>
    </w:p>
    <w:p>
      <w:pPr>
        <w:widowControl/>
      </w:pPr>
      <w:r>
        <w:rPr>
          <w:rFonts w:ascii="Aptos" w:hAnsi="Aptos"/>
          <w:sz w:val="18"/>
        </w:rPr>
        <w:t>☐ 06. Rollback testé</w:t>
      </w:r>
    </w:p>
    <w:p>
      <w:pPr>
        <w:widowControl/>
      </w:pPr>
      <w:r>
        <w:rPr>
          <w:rFonts w:ascii="Aptos" w:hAnsi="Aptos"/>
          <w:sz w:val="18"/>
        </w:rPr>
        <w:t>☐ 07. Dry-run exécuté</w:t>
      </w:r>
    </w:p>
    <w:p>
      <w:pPr>
        <w:widowControl/>
      </w:pPr>
      <w:r>
        <w:rPr>
          <w:rFonts w:ascii="Aptos" w:hAnsi="Aptos"/>
          <w:sz w:val="18"/>
        </w:rPr>
        <w:t>☐ 08. Diff de volumétrie validé</w:t>
      </w:r>
    </w:p>
    <w:p>
      <w:pPr>
        <w:widowControl/>
      </w:pPr>
      <w:r>
        <w:rPr>
          <w:rFonts w:ascii="Aptos" w:hAnsi="Aptos"/>
          <w:sz w:val="18"/>
        </w:rPr>
        <w:t>☐ 09. Échantillons de cellules sources contrôlés</w:t>
      </w:r>
    </w:p>
    <w:p>
      <w:pPr>
        <w:widowControl/>
      </w:pPr>
      <w:r>
        <w:rPr>
          <w:rFonts w:ascii="Aptos" w:hAnsi="Aptos"/>
          <w:sz w:val="18"/>
        </w:rPr>
        <w:t>☐ 10. Aucune donnée autre pays dans le diff</w:t>
      </w:r>
    </w:p>
    <w:p>
      <w:pPr>
        <w:widowControl/>
      </w:pPr>
      <w:r>
        <w:rPr>
          <w:rFonts w:ascii="Aptos" w:hAnsi="Aptos"/>
          <w:sz w:val="18"/>
        </w:rPr>
        <w:t>☐ 11. Migration additive et idempotente</w:t>
      </w:r>
    </w:p>
    <w:p>
      <w:pPr>
        <w:widowControl/>
      </w:pPr>
      <w:r>
        <w:rPr>
          <w:rFonts w:ascii="Aptos" w:hAnsi="Aptos"/>
          <w:sz w:val="18"/>
        </w:rPr>
        <w:t>☐ 12. Import idempotent testé</w:t>
      </w:r>
    </w:p>
    <w:p>
      <w:pPr>
        <w:widowControl/>
      </w:pPr>
      <w:r>
        <w:rPr>
          <w:rFonts w:ascii="Aptos" w:hAnsi="Aptos"/>
          <w:sz w:val="18"/>
        </w:rPr>
        <w:t>☐ 13. API testée</w:t>
      </w:r>
    </w:p>
    <w:p>
      <w:pPr>
        <w:widowControl/>
      </w:pPr>
      <w:r>
        <w:rPr>
          <w:rFonts w:ascii="Aptos" w:hAnsi="Aptos"/>
          <w:sz w:val="18"/>
        </w:rPr>
        <w:t>☐ 14. Frontend testé</w:t>
      </w:r>
    </w:p>
    <w:p>
      <w:pPr>
        <w:widowControl/>
      </w:pPr>
      <w:r>
        <w:rPr>
          <w:rFonts w:ascii="Aptos" w:hAnsi="Aptos"/>
          <w:sz w:val="18"/>
        </w:rPr>
        <w:t>☐ 15. Workers non concernés préservés</w:t>
      </w:r>
    </w:p>
    <w:p>
      <w:pPr>
        <w:widowControl/>
      </w:pPr>
      <w:r>
        <w:rPr>
          <w:rFonts w:ascii="Aptos" w:hAnsi="Aptos"/>
          <w:sz w:val="18"/>
        </w:rPr>
        <w:t>☐ 16. Cron testé</w:t>
      </w:r>
    </w:p>
    <w:p>
      <w:pPr>
        <w:widowControl/>
      </w:pPr>
      <w:r>
        <w:rPr>
          <w:rFonts w:ascii="Aptos" w:hAnsi="Aptos"/>
          <w:sz w:val="18"/>
        </w:rPr>
        <w:t>☐ 17. Logs et métriques configurés</w:t>
      </w:r>
    </w:p>
    <w:p>
      <w:pPr>
        <w:widowControl/>
      </w:pPr>
      <w:r>
        <w:rPr>
          <w:rFonts w:ascii="Aptos" w:hAnsi="Aptos"/>
          <w:sz w:val="18"/>
        </w:rPr>
        <w:t>☐ 18. Validation humaine pré-écriture</w:t>
      </w:r>
    </w:p>
    <w:p>
      <w:pPr>
        <w:widowControl/>
      </w:pPr>
      <w:r>
        <w:rPr>
          <w:rFonts w:ascii="Aptos" w:hAnsi="Aptos"/>
          <w:sz w:val="18"/>
        </w:rPr>
        <w:t>☐ 19. Déploiement contrôlé</w:t>
      </w:r>
    </w:p>
    <w:p>
      <w:pPr>
        <w:widowControl/>
      </w:pPr>
      <w:r>
        <w:rPr>
          <w:rFonts w:ascii="Aptos" w:hAnsi="Aptos"/>
          <w:sz w:val="18"/>
        </w:rPr>
        <w:t>☐ 20. Validation humaine post-déploiement</w:t>
      </w:r>
    </w:p>
    <w:p>
      <w:pPr>
        <w:widowControl/>
      </w:pPr>
      <w:r>
        <w:rPr>
          <w:rFonts w:ascii="Aptos" w:hAnsi="Aptos"/>
          <w:sz w:val="18"/>
        </w:rPr>
        <w:t>☐ 21. Rapport final archivé</w:t>
      </w:r>
    </w:p>
    <w:p>
      <w:pPr>
        <w:widowControl/>
      </w:pPr>
      <w:r>
        <w:br w:type="page"/>
      </w:r>
    </w:p>
    <w:p>
      <w:pPr>
        <w:widowControl/>
        <w:jc w:val="center"/>
      </w:pPr>
      <w:r>
        <w:rPr>
          <w:rFonts w:ascii="Aptos Display" w:hAnsi="Aptos Display"/>
          <w:b/>
          <w:color w:val="123E5E"/>
          <w:sz w:val="44"/>
        </w:rPr>
        <w:t>ANNEXE F — GLOSSAIRE</w:t>
      </w:r>
    </w:p>
    <w:p>
      <w:pPr>
        <w:widowControl/>
        <w:jc w:val="center"/>
      </w:pPr>
      <w:r>
        <w:rPr>
          <w:rFonts w:ascii="Aptos" w:hAnsi="Aptos"/>
          <w:i/>
          <w:color w:val="505050"/>
          <w:sz w:val="22"/>
        </w:rPr>
        <w:t>Termes français / anglais utilisés dans les sources</w:t>
      </w:r>
    </w:p>
    <w:p>
      <w:pPr>
        <w:widowControl/>
      </w:pP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438"/>
            <w:shd w:fill="D9EAF2"/>
            <w:tcMar>
              <w:top w:w="70" w:type="dxa"/>
              <w:start w:w="70" w:type="dxa"/>
              <w:bottom w:w="70" w:type="dxa"/>
              <w:end w:w="70" w:type="dxa"/>
            </w:tcMar>
            <w:vAlign w:val="center"/>
          </w:tcPr>
          <w:p>
            <w:r/>
            <w:r>
              <w:rPr>
                <w:rFonts w:ascii="Aptos" w:hAnsi="Aptos"/>
                <w:b/>
                <w:color w:val="123E5E"/>
                <w:sz w:val="15"/>
              </w:rPr>
              <w:t>Français</w:t>
            </w:r>
          </w:p>
        </w:tc>
        <w:tc>
          <w:tcPr>
            <w:tcW w:type="dxa" w:w="2665"/>
            <w:shd w:fill="D9EAF2"/>
            <w:tcMar>
              <w:top w:w="70" w:type="dxa"/>
              <w:start w:w="70" w:type="dxa"/>
              <w:bottom w:w="70" w:type="dxa"/>
              <w:end w:w="70" w:type="dxa"/>
            </w:tcMar>
            <w:vAlign w:val="center"/>
          </w:tcPr>
          <w:p>
            <w:r/>
            <w:r>
              <w:rPr>
                <w:rFonts w:ascii="Aptos" w:hAnsi="Aptos"/>
                <w:b/>
                <w:color w:val="123E5E"/>
                <w:sz w:val="15"/>
              </w:rPr>
              <w:t>Anglais</w:t>
            </w:r>
          </w:p>
        </w:tc>
        <w:tc>
          <w:tcPr>
            <w:tcW w:type="dxa" w:w="4195"/>
            <w:shd w:fill="D9EAF2"/>
            <w:tcMar>
              <w:top w:w="70" w:type="dxa"/>
              <w:start w:w="70" w:type="dxa"/>
              <w:bottom w:w="70" w:type="dxa"/>
              <w:end w:w="70" w:type="dxa"/>
            </w:tcMar>
            <w:vAlign w:val="center"/>
          </w:tcPr>
          <w:p>
            <w:r/>
            <w:r>
              <w:rPr>
                <w:rFonts w:ascii="Aptos" w:hAnsi="Aptos"/>
                <w:b/>
                <w:color w:val="123E5E"/>
                <w:sz w:val="15"/>
              </w:rPr>
              <w:t>Définition</w:t>
            </w:r>
          </w:p>
        </w:tc>
      </w:tr>
      <w:tr>
        <w:tc>
          <w:tcPr>
            <w:tcW w:type="dxa" w:w="2438"/>
            <w:tcMar>
              <w:top w:w="60" w:type="dxa"/>
              <w:start w:w="60" w:type="dxa"/>
              <w:bottom w:w="60" w:type="dxa"/>
              <w:end w:w="60" w:type="dxa"/>
            </w:tcMar>
            <w:vAlign w:val="top"/>
          </w:tcPr>
          <w:p>
            <w:r/>
            <w:r>
              <w:rPr>
                <w:rFonts w:ascii="Aptos" w:hAnsi="Aptos"/>
                <w:sz w:val="15"/>
              </w:rPr>
              <w:t>Actif net total</w:t>
            </w:r>
          </w:p>
        </w:tc>
        <w:tc>
          <w:tcPr>
            <w:tcW w:type="dxa" w:w="2665"/>
            <w:tcMar>
              <w:top w:w="60" w:type="dxa"/>
              <w:start w:w="60" w:type="dxa"/>
              <w:bottom w:w="60" w:type="dxa"/>
              <w:end w:w="60" w:type="dxa"/>
            </w:tcMar>
            <w:vAlign w:val="top"/>
          </w:tcPr>
          <w:p>
            <w:r/>
            <w:r>
              <w:rPr>
                <w:rFonts w:ascii="Aptos" w:hAnsi="Aptos"/>
                <w:sz w:val="15"/>
              </w:rPr>
              <w:t>Net Asset Value total / fund net assets</w:t>
            </w:r>
          </w:p>
        </w:tc>
        <w:tc>
          <w:tcPr>
            <w:tcW w:type="dxa" w:w="4195"/>
            <w:tcMar>
              <w:top w:w="60" w:type="dxa"/>
              <w:start w:w="60" w:type="dxa"/>
              <w:bottom w:w="60" w:type="dxa"/>
              <w:end w:w="60" w:type="dxa"/>
            </w:tcMar>
            <w:vAlign w:val="top"/>
          </w:tcPr>
          <w:p>
            <w:r/>
            <w:r>
              <w:rPr>
                <w:rFonts w:ascii="Aptos" w:hAnsi="Aptos"/>
                <w:sz w:val="15"/>
              </w:rPr>
              <w:t>Montant global des actifs moins passifs.</w:t>
            </w:r>
          </w:p>
        </w:tc>
      </w:tr>
      <w:tr>
        <w:tc>
          <w:tcPr>
            <w:tcW w:type="dxa" w:w="2438"/>
            <w:tcMar>
              <w:top w:w="60" w:type="dxa"/>
              <w:start w:w="60" w:type="dxa"/>
              <w:bottom w:w="60" w:type="dxa"/>
              <w:end w:w="60" w:type="dxa"/>
            </w:tcMar>
            <w:vAlign w:val="top"/>
          </w:tcPr>
          <w:p>
            <w:r/>
            <w:r>
              <w:rPr>
                <w:rFonts w:ascii="Aptos" w:hAnsi="Aptos"/>
                <w:sz w:val="15"/>
              </w:rPr>
              <w:t>Valeur liquidative unitaire</w:t>
            </w:r>
          </w:p>
        </w:tc>
        <w:tc>
          <w:tcPr>
            <w:tcW w:type="dxa" w:w="2665"/>
            <w:tcMar>
              <w:top w:w="60" w:type="dxa"/>
              <w:start w:w="60" w:type="dxa"/>
              <w:bottom w:w="60" w:type="dxa"/>
              <w:end w:w="60" w:type="dxa"/>
            </w:tcMar>
            <w:vAlign w:val="top"/>
          </w:tcPr>
          <w:p>
            <w:r/>
            <w:r>
              <w:rPr>
                <w:rFonts w:ascii="Aptos" w:hAnsi="Aptos"/>
                <w:sz w:val="15"/>
              </w:rPr>
              <w:t>Unit Price / Unit Value / NAV per Unit</w:t>
            </w:r>
          </w:p>
        </w:tc>
        <w:tc>
          <w:tcPr>
            <w:tcW w:type="dxa" w:w="4195"/>
            <w:tcMar>
              <w:top w:w="60" w:type="dxa"/>
              <w:start w:w="60" w:type="dxa"/>
              <w:bottom w:w="60" w:type="dxa"/>
              <w:end w:w="60" w:type="dxa"/>
            </w:tcMar>
            <w:vAlign w:val="top"/>
          </w:tcPr>
          <w:p>
            <w:r/>
            <w:r>
              <w:rPr>
                <w:rFonts w:ascii="Aptos" w:hAnsi="Aptos"/>
                <w:sz w:val="15"/>
              </w:rPr>
              <w:t>Prix par unité explicitement publié.</w:t>
            </w:r>
          </w:p>
        </w:tc>
      </w:tr>
      <w:tr>
        <w:tc>
          <w:tcPr>
            <w:tcW w:type="dxa" w:w="2438"/>
            <w:tcMar>
              <w:top w:w="60" w:type="dxa"/>
              <w:start w:w="60" w:type="dxa"/>
              <w:bottom w:w="60" w:type="dxa"/>
              <w:end w:w="60" w:type="dxa"/>
            </w:tcMar>
            <w:vAlign w:val="top"/>
          </w:tcPr>
          <w:p>
            <w:r/>
            <w:r>
              <w:rPr>
                <w:rFonts w:ascii="Aptos" w:hAnsi="Aptos"/>
                <w:sz w:val="15"/>
              </w:rPr>
              <w:t>Prix de rachat</w:t>
            </w:r>
          </w:p>
        </w:tc>
        <w:tc>
          <w:tcPr>
            <w:tcW w:type="dxa" w:w="2665"/>
            <w:tcMar>
              <w:top w:w="60" w:type="dxa"/>
              <w:start w:w="60" w:type="dxa"/>
              <w:bottom w:w="60" w:type="dxa"/>
              <w:end w:w="60" w:type="dxa"/>
            </w:tcMar>
            <w:vAlign w:val="top"/>
          </w:tcPr>
          <w:p>
            <w:r/>
            <w:r>
              <w:rPr>
                <w:rFonts w:ascii="Aptos" w:hAnsi="Aptos"/>
                <w:sz w:val="15"/>
              </w:rPr>
              <w:t>Bid Price / redemption price</w:t>
            </w:r>
          </w:p>
        </w:tc>
        <w:tc>
          <w:tcPr>
            <w:tcW w:type="dxa" w:w="4195"/>
            <w:tcMar>
              <w:top w:w="60" w:type="dxa"/>
              <w:start w:w="60" w:type="dxa"/>
              <w:bottom w:w="60" w:type="dxa"/>
              <w:end w:w="60" w:type="dxa"/>
            </w:tcMar>
            <w:vAlign w:val="top"/>
          </w:tcPr>
          <w:p>
            <w:r/>
            <w:r>
              <w:rPr>
                <w:rFonts w:ascii="Aptos" w:hAnsi="Aptos"/>
                <w:sz w:val="15"/>
              </w:rPr>
              <w:t>Prix appliqué à la sortie selon la convention du fonds.</w:t>
            </w:r>
          </w:p>
        </w:tc>
      </w:tr>
      <w:tr>
        <w:tc>
          <w:tcPr>
            <w:tcW w:type="dxa" w:w="2438"/>
            <w:tcMar>
              <w:top w:w="60" w:type="dxa"/>
              <w:start w:w="60" w:type="dxa"/>
              <w:bottom w:w="60" w:type="dxa"/>
              <w:end w:w="60" w:type="dxa"/>
            </w:tcMar>
            <w:vAlign w:val="top"/>
          </w:tcPr>
          <w:p>
            <w:r/>
            <w:r>
              <w:rPr>
                <w:rFonts w:ascii="Aptos" w:hAnsi="Aptos"/>
                <w:sz w:val="15"/>
              </w:rPr>
              <w:t>Prix de souscription</w:t>
            </w:r>
          </w:p>
        </w:tc>
        <w:tc>
          <w:tcPr>
            <w:tcW w:type="dxa" w:w="2665"/>
            <w:tcMar>
              <w:top w:w="60" w:type="dxa"/>
              <w:start w:w="60" w:type="dxa"/>
              <w:bottom w:w="60" w:type="dxa"/>
              <w:end w:w="60" w:type="dxa"/>
            </w:tcMar>
            <w:vAlign w:val="top"/>
          </w:tcPr>
          <w:p>
            <w:r/>
            <w:r>
              <w:rPr>
                <w:rFonts w:ascii="Aptos" w:hAnsi="Aptos"/>
                <w:sz w:val="15"/>
              </w:rPr>
              <w:t>Offer Price / subscription price</w:t>
            </w:r>
          </w:p>
        </w:tc>
        <w:tc>
          <w:tcPr>
            <w:tcW w:type="dxa" w:w="4195"/>
            <w:tcMar>
              <w:top w:w="60" w:type="dxa"/>
              <w:start w:w="60" w:type="dxa"/>
              <w:bottom w:w="60" w:type="dxa"/>
              <w:end w:w="60" w:type="dxa"/>
            </w:tcMar>
            <w:vAlign w:val="top"/>
          </w:tcPr>
          <w:p>
            <w:r/>
            <w:r>
              <w:rPr>
                <w:rFonts w:ascii="Aptos" w:hAnsi="Aptos"/>
                <w:sz w:val="15"/>
              </w:rPr>
              <w:t>Prix appliqué à l’entrée.</w:t>
            </w:r>
          </w:p>
        </w:tc>
      </w:tr>
      <w:tr>
        <w:tc>
          <w:tcPr>
            <w:tcW w:type="dxa" w:w="2438"/>
            <w:tcMar>
              <w:top w:w="60" w:type="dxa"/>
              <w:start w:w="60" w:type="dxa"/>
              <w:bottom w:w="60" w:type="dxa"/>
              <w:end w:w="60" w:type="dxa"/>
            </w:tcMar>
            <w:vAlign w:val="top"/>
          </w:tcPr>
          <w:p>
            <w:r/>
            <w:r>
              <w:rPr>
                <w:rFonts w:ascii="Aptos" w:hAnsi="Aptos"/>
                <w:sz w:val="15"/>
              </w:rPr>
              <w:t>Porteurs</w:t>
            </w:r>
          </w:p>
        </w:tc>
        <w:tc>
          <w:tcPr>
            <w:tcW w:type="dxa" w:w="2665"/>
            <w:tcMar>
              <w:top w:w="60" w:type="dxa"/>
              <w:start w:w="60" w:type="dxa"/>
              <w:bottom w:w="60" w:type="dxa"/>
              <w:end w:w="60" w:type="dxa"/>
            </w:tcMar>
            <w:vAlign w:val="top"/>
          </w:tcPr>
          <w:p>
            <w:r/>
            <w:r>
              <w:rPr>
                <w:rFonts w:ascii="Aptos" w:hAnsi="Aptos"/>
                <w:sz w:val="15"/>
              </w:rPr>
              <w:t>Unitholders</w:t>
            </w:r>
          </w:p>
        </w:tc>
        <w:tc>
          <w:tcPr>
            <w:tcW w:type="dxa" w:w="4195"/>
            <w:tcMar>
              <w:top w:w="60" w:type="dxa"/>
              <w:start w:w="60" w:type="dxa"/>
              <w:bottom w:w="60" w:type="dxa"/>
              <w:end w:w="60" w:type="dxa"/>
            </w:tcMar>
            <w:vAlign w:val="top"/>
          </w:tcPr>
          <w:p>
            <w:r/>
            <w:r>
              <w:rPr>
                <w:rFonts w:ascii="Aptos" w:hAnsi="Aptos"/>
                <w:sz w:val="15"/>
              </w:rPr>
              <w:t>Nombre de personnes/comptes porteurs, pas nécessairement unités.</w:t>
            </w:r>
          </w:p>
        </w:tc>
      </w:tr>
      <w:tr>
        <w:tc>
          <w:tcPr>
            <w:tcW w:type="dxa" w:w="2438"/>
            <w:tcMar>
              <w:top w:w="60" w:type="dxa"/>
              <w:start w:w="60" w:type="dxa"/>
              <w:bottom w:w="60" w:type="dxa"/>
              <w:end w:w="60" w:type="dxa"/>
            </w:tcMar>
            <w:vAlign w:val="top"/>
          </w:tcPr>
          <w:p>
            <w:r/>
            <w:r>
              <w:rPr>
                <w:rFonts w:ascii="Aptos" w:hAnsi="Aptos"/>
                <w:sz w:val="15"/>
              </w:rPr>
              <w:t>Unités en circulation</w:t>
            </w:r>
          </w:p>
        </w:tc>
        <w:tc>
          <w:tcPr>
            <w:tcW w:type="dxa" w:w="2665"/>
            <w:tcMar>
              <w:top w:w="60" w:type="dxa"/>
              <w:start w:w="60" w:type="dxa"/>
              <w:bottom w:w="60" w:type="dxa"/>
              <w:end w:w="60" w:type="dxa"/>
            </w:tcMar>
            <w:vAlign w:val="top"/>
          </w:tcPr>
          <w:p>
            <w:r/>
            <w:r>
              <w:rPr>
                <w:rFonts w:ascii="Aptos" w:hAnsi="Aptos"/>
                <w:sz w:val="15"/>
              </w:rPr>
              <w:t>Units outstanding</w:t>
            </w:r>
          </w:p>
        </w:tc>
        <w:tc>
          <w:tcPr>
            <w:tcW w:type="dxa" w:w="4195"/>
            <w:tcMar>
              <w:top w:w="60" w:type="dxa"/>
              <w:start w:w="60" w:type="dxa"/>
              <w:bottom w:w="60" w:type="dxa"/>
              <w:end w:w="60" w:type="dxa"/>
            </w:tcMar>
            <w:vAlign w:val="top"/>
          </w:tcPr>
          <w:p>
            <w:r/>
            <w:r>
              <w:rPr>
                <w:rFonts w:ascii="Aptos" w:hAnsi="Aptos"/>
                <w:sz w:val="15"/>
              </w:rPr>
              <w:t>Nombre d’unités.</w:t>
            </w:r>
          </w:p>
        </w:tc>
      </w:tr>
      <w:tr>
        <w:tc>
          <w:tcPr>
            <w:tcW w:type="dxa" w:w="2438"/>
            <w:tcMar>
              <w:top w:w="60" w:type="dxa"/>
              <w:start w:w="60" w:type="dxa"/>
              <w:bottom w:w="60" w:type="dxa"/>
              <w:end w:w="60" w:type="dxa"/>
            </w:tcMar>
            <w:vAlign w:val="top"/>
          </w:tcPr>
          <w:p>
            <w:r/>
            <w:r>
              <w:rPr>
                <w:rFonts w:ascii="Aptos" w:hAnsi="Aptos"/>
                <w:sz w:val="15"/>
              </w:rPr>
              <w:t>Trustee</w:t>
            </w:r>
          </w:p>
        </w:tc>
        <w:tc>
          <w:tcPr>
            <w:tcW w:type="dxa" w:w="2665"/>
            <w:tcMar>
              <w:top w:w="60" w:type="dxa"/>
              <w:start w:w="60" w:type="dxa"/>
              <w:bottom w:w="60" w:type="dxa"/>
              <w:end w:w="60" w:type="dxa"/>
            </w:tcMar>
            <w:vAlign w:val="top"/>
          </w:tcPr>
          <w:p>
            <w:r/>
            <w:r>
              <w:rPr>
                <w:rFonts w:ascii="Aptos" w:hAnsi="Aptos"/>
                <w:sz w:val="15"/>
              </w:rPr>
              <w:t>Trustee</w:t>
            </w:r>
          </w:p>
        </w:tc>
        <w:tc>
          <w:tcPr>
            <w:tcW w:type="dxa" w:w="4195"/>
            <w:tcMar>
              <w:top w:w="60" w:type="dxa"/>
              <w:start w:w="60" w:type="dxa"/>
              <w:bottom w:w="60" w:type="dxa"/>
              <w:end w:w="60" w:type="dxa"/>
            </w:tcMar>
            <w:vAlign w:val="top"/>
          </w:tcPr>
          <w:p>
            <w:r/>
            <w:r>
              <w:rPr>
                <w:rFonts w:ascii="Aptos" w:hAnsi="Aptos"/>
                <w:sz w:val="15"/>
              </w:rPr>
              <w:t>Fonction fiduciaire/protection des porteurs selon la structure.</w:t>
            </w:r>
          </w:p>
        </w:tc>
      </w:tr>
      <w:tr>
        <w:tc>
          <w:tcPr>
            <w:tcW w:type="dxa" w:w="2438"/>
            <w:tcMar>
              <w:top w:w="60" w:type="dxa"/>
              <w:start w:w="60" w:type="dxa"/>
              <w:bottom w:w="60" w:type="dxa"/>
              <w:end w:w="60" w:type="dxa"/>
            </w:tcMar>
            <w:vAlign w:val="top"/>
          </w:tcPr>
          <w:p>
            <w:r/>
            <w:r>
              <w:rPr>
                <w:rFonts w:ascii="Aptos" w:hAnsi="Aptos"/>
                <w:sz w:val="15"/>
              </w:rPr>
              <w:t>Custodian</w:t>
            </w:r>
          </w:p>
        </w:tc>
        <w:tc>
          <w:tcPr>
            <w:tcW w:type="dxa" w:w="2665"/>
            <w:tcMar>
              <w:top w:w="60" w:type="dxa"/>
              <w:start w:w="60" w:type="dxa"/>
              <w:bottom w:w="60" w:type="dxa"/>
              <w:end w:w="60" w:type="dxa"/>
            </w:tcMar>
            <w:vAlign w:val="top"/>
          </w:tcPr>
          <w:p>
            <w:r/>
            <w:r>
              <w:rPr>
                <w:rFonts w:ascii="Aptos" w:hAnsi="Aptos"/>
                <w:sz w:val="15"/>
              </w:rPr>
              <w:t>Custodian</w:t>
            </w:r>
          </w:p>
        </w:tc>
        <w:tc>
          <w:tcPr>
            <w:tcW w:type="dxa" w:w="4195"/>
            <w:tcMar>
              <w:top w:w="60" w:type="dxa"/>
              <w:start w:w="60" w:type="dxa"/>
              <w:bottom w:w="60" w:type="dxa"/>
              <w:end w:w="60" w:type="dxa"/>
            </w:tcMar>
            <w:vAlign w:val="top"/>
          </w:tcPr>
          <w:p>
            <w:r/>
            <w:r>
              <w:rPr>
                <w:rFonts w:ascii="Aptos" w:hAnsi="Aptos"/>
                <w:sz w:val="15"/>
              </w:rPr>
              <w:t>Conservation des actifs.</w:t>
            </w:r>
          </w:p>
        </w:tc>
      </w:tr>
      <w:tr>
        <w:tc>
          <w:tcPr>
            <w:tcW w:type="dxa" w:w="2438"/>
            <w:tcMar>
              <w:top w:w="60" w:type="dxa"/>
              <w:start w:w="60" w:type="dxa"/>
              <w:bottom w:w="60" w:type="dxa"/>
              <w:end w:w="60" w:type="dxa"/>
            </w:tcMar>
            <w:vAlign w:val="top"/>
          </w:tcPr>
          <w:p>
            <w:r/>
            <w:r>
              <w:rPr>
                <w:rFonts w:ascii="Aptos" w:hAnsi="Aptos"/>
                <w:sz w:val="15"/>
              </w:rPr>
              <w:t>Registrar</w:t>
            </w:r>
          </w:p>
        </w:tc>
        <w:tc>
          <w:tcPr>
            <w:tcW w:type="dxa" w:w="2665"/>
            <w:tcMar>
              <w:top w:w="60" w:type="dxa"/>
              <w:start w:w="60" w:type="dxa"/>
              <w:bottom w:w="60" w:type="dxa"/>
              <w:end w:w="60" w:type="dxa"/>
            </w:tcMar>
            <w:vAlign w:val="top"/>
          </w:tcPr>
          <w:p>
            <w:r/>
            <w:r>
              <w:rPr>
                <w:rFonts w:ascii="Aptos" w:hAnsi="Aptos"/>
                <w:sz w:val="15"/>
              </w:rPr>
              <w:t>Registrar / transfer agent</w:t>
            </w:r>
          </w:p>
        </w:tc>
        <w:tc>
          <w:tcPr>
            <w:tcW w:type="dxa" w:w="4195"/>
            <w:tcMar>
              <w:top w:w="60" w:type="dxa"/>
              <w:start w:w="60" w:type="dxa"/>
              <w:bottom w:w="60" w:type="dxa"/>
              <w:end w:w="60" w:type="dxa"/>
            </w:tcMar>
            <w:vAlign w:val="top"/>
          </w:tcPr>
          <w:p>
            <w:r/>
            <w:r>
              <w:rPr>
                <w:rFonts w:ascii="Aptos" w:hAnsi="Aptos"/>
                <w:sz w:val="15"/>
              </w:rPr>
              <w:t>Registre et opérations sur les porteurs.</w:t>
            </w:r>
          </w:p>
        </w:tc>
      </w:tr>
      <w:tr>
        <w:tc>
          <w:tcPr>
            <w:tcW w:type="dxa" w:w="2438"/>
            <w:tcMar>
              <w:top w:w="60" w:type="dxa"/>
              <w:start w:w="60" w:type="dxa"/>
              <w:bottom w:w="60" w:type="dxa"/>
              <w:end w:w="60" w:type="dxa"/>
            </w:tcMar>
            <w:vAlign w:val="top"/>
          </w:tcPr>
          <w:p>
            <w:r/>
            <w:r>
              <w:rPr>
                <w:rFonts w:ascii="Aptos" w:hAnsi="Aptos"/>
                <w:sz w:val="15"/>
              </w:rPr>
              <w:t>Prospectus</w:t>
            </w:r>
          </w:p>
        </w:tc>
        <w:tc>
          <w:tcPr>
            <w:tcW w:type="dxa" w:w="2665"/>
            <w:tcMar>
              <w:top w:w="60" w:type="dxa"/>
              <w:start w:w="60" w:type="dxa"/>
              <w:bottom w:w="60" w:type="dxa"/>
              <w:end w:w="60" w:type="dxa"/>
            </w:tcMar>
            <w:vAlign w:val="top"/>
          </w:tcPr>
          <w:p>
            <w:r/>
            <w:r>
              <w:rPr>
                <w:rFonts w:ascii="Aptos" w:hAnsi="Aptos"/>
                <w:sz w:val="15"/>
              </w:rPr>
              <w:t>Prospectus</w:t>
            </w:r>
          </w:p>
        </w:tc>
        <w:tc>
          <w:tcPr>
            <w:tcW w:type="dxa" w:w="4195"/>
            <w:tcMar>
              <w:top w:w="60" w:type="dxa"/>
              <w:start w:w="60" w:type="dxa"/>
              <w:bottom w:w="60" w:type="dxa"/>
              <w:end w:w="60" w:type="dxa"/>
            </w:tcMar>
            <w:vAlign w:val="top"/>
          </w:tcPr>
          <w:p>
            <w:r/>
            <w:r>
              <w:rPr>
                <w:rFonts w:ascii="Aptos" w:hAnsi="Aptos"/>
                <w:sz w:val="15"/>
              </w:rPr>
              <w:t>Document d’offre et caractéristiques.</w:t>
            </w:r>
          </w:p>
        </w:tc>
      </w:tr>
      <w:tr>
        <w:tc>
          <w:tcPr>
            <w:tcW w:type="dxa" w:w="2438"/>
            <w:tcMar>
              <w:top w:w="60" w:type="dxa"/>
              <w:start w:w="60" w:type="dxa"/>
              <w:bottom w:w="60" w:type="dxa"/>
              <w:end w:w="60" w:type="dxa"/>
            </w:tcMar>
            <w:vAlign w:val="top"/>
          </w:tcPr>
          <w:p>
            <w:r/>
            <w:r>
              <w:rPr>
                <w:rFonts w:ascii="Aptos" w:hAnsi="Aptos"/>
                <w:sz w:val="15"/>
              </w:rPr>
              <w:t>Offer circular</w:t>
            </w:r>
          </w:p>
        </w:tc>
        <w:tc>
          <w:tcPr>
            <w:tcW w:type="dxa" w:w="2665"/>
            <w:tcMar>
              <w:top w:w="60" w:type="dxa"/>
              <w:start w:w="60" w:type="dxa"/>
              <w:bottom w:w="60" w:type="dxa"/>
              <w:end w:w="60" w:type="dxa"/>
            </w:tcMar>
            <w:vAlign w:val="top"/>
          </w:tcPr>
          <w:p>
            <w:r/>
            <w:r>
              <w:rPr>
                <w:rFonts w:ascii="Aptos" w:hAnsi="Aptos"/>
                <w:sz w:val="15"/>
              </w:rPr>
              <w:t>Offer circular</w:t>
            </w:r>
          </w:p>
        </w:tc>
        <w:tc>
          <w:tcPr>
            <w:tcW w:type="dxa" w:w="4195"/>
            <w:tcMar>
              <w:top w:w="60" w:type="dxa"/>
              <w:start w:w="60" w:type="dxa"/>
              <w:bottom w:w="60" w:type="dxa"/>
              <w:end w:w="60" w:type="dxa"/>
            </w:tcMar>
            <w:vAlign w:val="top"/>
          </w:tcPr>
          <w:p>
            <w:r/>
            <w:r>
              <w:rPr>
                <w:rFonts w:ascii="Aptos" w:hAnsi="Aptos"/>
                <w:sz w:val="15"/>
              </w:rPr>
              <w:t>Document d’offre, souvent pour cotation/émission.</w:t>
            </w:r>
          </w:p>
        </w:tc>
      </w:tr>
      <w:tr>
        <w:tc>
          <w:tcPr>
            <w:tcW w:type="dxa" w:w="2438"/>
            <w:tcMar>
              <w:top w:w="60" w:type="dxa"/>
              <w:start w:w="60" w:type="dxa"/>
              <w:bottom w:w="60" w:type="dxa"/>
              <w:end w:w="60" w:type="dxa"/>
            </w:tcMar>
            <w:vAlign w:val="top"/>
          </w:tcPr>
          <w:p>
            <w:r/>
            <w:r>
              <w:rPr>
                <w:rFonts w:ascii="Aptos" w:hAnsi="Aptos"/>
                <w:sz w:val="15"/>
              </w:rPr>
              <w:t>Supplemental prospectus</w:t>
            </w:r>
          </w:p>
        </w:tc>
        <w:tc>
          <w:tcPr>
            <w:tcW w:type="dxa" w:w="2665"/>
            <w:tcMar>
              <w:top w:w="60" w:type="dxa"/>
              <w:start w:w="60" w:type="dxa"/>
              <w:bottom w:w="60" w:type="dxa"/>
              <w:end w:w="60" w:type="dxa"/>
            </w:tcMar>
            <w:vAlign w:val="top"/>
          </w:tcPr>
          <w:p>
            <w:r/>
            <w:r>
              <w:rPr>
                <w:rFonts w:ascii="Aptos" w:hAnsi="Aptos"/>
                <w:sz w:val="15"/>
              </w:rPr>
              <w:t>Supplemental prospectus</w:t>
            </w:r>
          </w:p>
        </w:tc>
        <w:tc>
          <w:tcPr>
            <w:tcW w:type="dxa" w:w="4195"/>
            <w:tcMar>
              <w:top w:w="60" w:type="dxa"/>
              <w:start w:w="60" w:type="dxa"/>
              <w:bottom w:w="60" w:type="dxa"/>
              <w:end w:w="60" w:type="dxa"/>
            </w:tcMar>
            <w:vAlign w:val="top"/>
          </w:tcPr>
          <w:p>
            <w:r/>
            <w:r>
              <w:rPr>
                <w:rFonts w:ascii="Aptos" w:hAnsi="Aptos"/>
                <w:sz w:val="15"/>
              </w:rPr>
              <w:t>Amendement au prospectus.</w:t>
            </w:r>
          </w:p>
        </w:tc>
      </w:tr>
      <w:tr>
        <w:tc>
          <w:tcPr>
            <w:tcW w:type="dxa" w:w="2438"/>
            <w:tcMar>
              <w:top w:w="60" w:type="dxa"/>
              <w:start w:w="60" w:type="dxa"/>
              <w:bottom w:w="60" w:type="dxa"/>
              <w:end w:w="60" w:type="dxa"/>
            </w:tcMar>
            <w:vAlign w:val="top"/>
          </w:tcPr>
          <w:p>
            <w:r/>
            <w:r>
              <w:rPr>
                <w:rFonts w:ascii="Aptos" w:hAnsi="Aptos"/>
                <w:sz w:val="15"/>
              </w:rPr>
              <w:t>Termination</w:t>
            </w:r>
          </w:p>
        </w:tc>
        <w:tc>
          <w:tcPr>
            <w:tcW w:type="dxa" w:w="2665"/>
            <w:tcMar>
              <w:top w:w="60" w:type="dxa"/>
              <w:start w:w="60" w:type="dxa"/>
              <w:bottom w:w="60" w:type="dxa"/>
              <w:end w:w="60" w:type="dxa"/>
            </w:tcMar>
            <w:vAlign w:val="top"/>
          </w:tcPr>
          <w:p>
            <w:r/>
            <w:r>
              <w:rPr>
                <w:rFonts w:ascii="Aptos" w:hAnsi="Aptos"/>
                <w:sz w:val="15"/>
              </w:rPr>
              <w:t>Termination / winding up</w:t>
            </w:r>
          </w:p>
        </w:tc>
        <w:tc>
          <w:tcPr>
            <w:tcW w:type="dxa" w:w="4195"/>
            <w:tcMar>
              <w:top w:w="60" w:type="dxa"/>
              <w:start w:w="60" w:type="dxa"/>
              <w:bottom w:w="60" w:type="dxa"/>
              <w:end w:w="60" w:type="dxa"/>
            </w:tcMar>
            <w:vAlign w:val="top"/>
          </w:tcPr>
          <w:p>
            <w:r/>
            <w:r>
              <w:rPr>
                <w:rFonts w:ascii="Aptos" w:hAnsi="Aptos"/>
                <w:sz w:val="15"/>
              </w:rPr>
              <w:t>Fin juridique ou opérationnelle selon avis.</w:t>
            </w:r>
          </w:p>
        </w:tc>
      </w:tr>
      <w:tr>
        <w:tc>
          <w:tcPr>
            <w:tcW w:type="dxa" w:w="2438"/>
            <w:tcMar>
              <w:top w:w="60" w:type="dxa"/>
              <w:start w:w="60" w:type="dxa"/>
              <w:bottom w:w="60" w:type="dxa"/>
              <w:end w:w="60" w:type="dxa"/>
            </w:tcMar>
            <w:vAlign w:val="top"/>
          </w:tcPr>
          <w:p>
            <w:r/>
            <w:r>
              <w:rPr>
                <w:rFonts w:ascii="Aptos" w:hAnsi="Aptos"/>
                <w:sz w:val="15"/>
              </w:rPr>
              <w:t>Merger</w:t>
            </w:r>
          </w:p>
        </w:tc>
        <w:tc>
          <w:tcPr>
            <w:tcW w:type="dxa" w:w="2665"/>
            <w:tcMar>
              <w:top w:w="60" w:type="dxa"/>
              <w:start w:w="60" w:type="dxa"/>
              <w:bottom w:w="60" w:type="dxa"/>
              <w:end w:w="60" w:type="dxa"/>
            </w:tcMar>
            <w:vAlign w:val="top"/>
          </w:tcPr>
          <w:p>
            <w:r/>
            <w:r>
              <w:rPr>
                <w:rFonts w:ascii="Aptos" w:hAnsi="Aptos"/>
                <w:sz w:val="15"/>
              </w:rPr>
              <w:t>Merger</w:t>
            </w:r>
          </w:p>
        </w:tc>
        <w:tc>
          <w:tcPr>
            <w:tcW w:type="dxa" w:w="4195"/>
            <w:tcMar>
              <w:top w:w="60" w:type="dxa"/>
              <w:start w:w="60" w:type="dxa"/>
              <w:bottom w:w="60" w:type="dxa"/>
              <w:end w:w="60" w:type="dxa"/>
            </w:tcMar>
            <w:vAlign w:val="top"/>
          </w:tcPr>
          <w:p>
            <w:r/>
            <w:r>
              <w:rPr>
                <w:rFonts w:ascii="Aptos" w:hAnsi="Aptos"/>
                <w:sz w:val="15"/>
              </w:rPr>
              <w:t>Fusion.</w:t>
            </w:r>
          </w:p>
        </w:tc>
      </w:tr>
      <w:tr>
        <w:tc>
          <w:tcPr>
            <w:tcW w:type="dxa" w:w="2438"/>
            <w:tcMar>
              <w:top w:w="60" w:type="dxa"/>
              <w:start w:w="60" w:type="dxa"/>
              <w:bottom w:w="60" w:type="dxa"/>
              <w:end w:w="60" w:type="dxa"/>
            </w:tcMar>
            <w:vAlign w:val="top"/>
          </w:tcPr>
          <w:p>
            <w:r/>
            <w:r>
              <w:rPr>
                <w:rFonts w:ascii="Aptos" w:hAnsi="Aptos"/>
                <w:sz w:val="15"/>
              </w:rPr>
              <w:t>Absorption</w:t>
            </w:r>
          </w:p>
        </w:tc>
        <w:tc>
          <w:tcPr>
            <w:tcW w:type="dxa" w:w="2665"/>
            <w:tcMar>
              <w:top w:w="60" w:type="dxa"/>
              <w:start w:w="60" w:type="dxa"/>
              <w:bottom w:w="60" w:type="dxa"/>
              <w:end w:w="60" w:type="dxa"/>
            </w:tcMar>
            <w:vAlign w:val="top"/>
          </w:tcPr>
          <w:p>
            <w:r/>
            <w:r>
              <w:rPr>
                <w:rFonts w:ascii="Aptos" w:hAnsi="Aptos"/>
                <w:sz w:val="15"/>
              </w:rPr>
              <w:t>Absorption</w:t>
            </w:r>
          </w:p>
        </w:tc>
        <w:tc>
          <w:tcPr>
            <w:tcW w:type="dxa" w:w="4195"/>
            <w:tcMar>
              <w:top w:w="60" w:type="dxa"/>
              <w:start w:w="60" w:type="dxa"/>
              <w:bottom w:w="60" w:type="dxa"/>
              <w:end w:w="60" w:type="dxa"/>
            </w:tcMar>
            <w:vAlign w:val="top"/>
          </w:tcPr>
          <w:p>
            <w:r/>
            <w:r>
              <w:rPr>
                <w:rFonts w:ascii="Aptos" w:hAnsi="Aptos"/>
                <w:sz w:val="15"/>
              </w:rPr>
              <w:t>Intégration d’un fonds dans un autre.</w:t>
            </w:r>
          </w:p>
        </w:tc>
      </w:tr>
      <w:tr>
        <w:tc>
          <w:tcPr>
            <w:tcW w:type="dxa" w:w="2438"/>
            <w:tcMar>
              <w:top w:w="60" w:type="dxa"/>
              <w:start w:w="60" w:type="dxa"/>
              <w:bottom w:w="60" w:type="dxa"/>
              <w:end w:w="60" w:type="dxa"/>
            </w:tcMar>
            <w:vAlign w:val="top"/>
          </w:tcPr>
          <w:p>
            <w:r/>
            <w:r>
              <w:rPr>
                <w:rFonts w:ascii="Aptos" w:hAnsi="Aptos"/>
                <w:sz w:val="15"/>
              </w:rPr>
              <w:t>Split</w:t>
            </w:r>
          </w:p>
        </w:tc>
        <w:tc>
          <w:tcPr>
            <w:tcW w:type="dxa" w:w="2665"/>
            <w:tcMar>
              <w:top w:w="60" w:type="dxa"/>
              <w:start w:w="60" w:type="dxa"/>
              <w:bottom w:w="60" w:type="dxa"/>
              <w:end w:w="60" w:type="dxa"/>
            </w:tcMar>
            <w:vAlign w:val="top"/>
          </w:tcPr>
          <w:p>
            <w:r/>
            <w:r>
              <w:rPr>
                <w:rFonts w:ascii="Aptos" w:hAnsi="Aptos"/>
                <w:sz w:val="15"/>
              </w:rPr>
              <w:t>Unit split</w:t>
            </w:r>
          </w:p>
        </w:tc>
        <w:tc>
          <w:tcPr>
            <w:tcW w:type="dxa" w:w="4195"/>
            <w:tcMar>
              <w:top w:w="60" w:type="dxa"/>
              <w:start w:w="60" w:type="dxa"/>
              <w:bottom w:w="60" w:type="dxa"/>
              <w:end w:w="60" w:type="dxa"/>
            </w:tcMar>
            <w:vAlign w:val="top"/>
          </w:tcPr>
          <w:p>
            <w:r/>
            <w:r>
              <w:rPr>
                <w:rFonts w:ascii="Aptos" w:hAnsi="Aptos"/>
                <w:sz w:val="15"/>
              </w:rPr>
              <w:t>Fractionnement des unités.</w:t>
            </w:r>
          </w:p>
        </w:tc>
      </w:tr>
      <w:tr>
        <w:tc>
          <w:tcPr>
            <w:tcW w:type="dxa" w:w="2438"/>
            <w:tcMar>
              <w:top w:w="60" w:type="dxa"/>
              <w:start w:w="60" w:type="dxa"/>
              <w:bottom w:w="60" w:type="dxa"/>
              <w:end w:w="60" w:type="dxa"/>
            </w:tcMar>
            <w:vAlign w:val="top"/>
          </w:tcPr>
          <w:p>
            <w:r/>
            <w:r>
              <w:rPr>
                <w:rFonts w:ascii="Aptos" w:hAnsi="Aptos"/>
                <w:sz w:val="15"/>
              </w:rPr>
              <w:t>Consolidation</w:t>
            </w:r>
          </w:p>
        </w:tc>
        <w:tc>
          <w:tcPr>
            <w:tcW w:type="dxa" w:w="2665"/>
            <w:tcMar>
              <w:top w:w="60" w:type="dxa"/>
              <w:start w:w="60" w:type="dxa"/>
              <w:bottom w:w="60" w:type="dxa"/>
              <w:end w:w="60" w:type="dxa"/>
            </w:tcMar>
            <w:vAlign w:val="top"/>
          </w:tcPr>
          <w:p>
            <w:r/>
            <w:r>
              <w:rPr>
                <w:rFonts w:ascii="Aptos" w:hAnsi="Aptos"/>
                <w:sz w:val="15"/>
              </w:rPr>
              <w:t>Unit consolidation</w:t>
            </w:r>
          </w:p>
        </w:tc>
        <w:tc>
          <w:tcPr>
            <w:tcW w:type="dxa" w:w="4195"/>
            <w:tcMar>
              <w:top w:w="60" w:type="dxa"/>
              <w:start w:w="60" w:type="dxa"/>
              <w:bottom w:w="60" w:type="dxa"/>
              <w:end w:w="60" w:type="dxa"/>
            </w:tcMar>
            <w:vAlign w:val="top"/>
          </w:tcPr>
          <w:p>
            <w:r/>
            <w:r>
              <w:rPr>
                <w:rFonts w:ascii="Aptos" w:hAnsi="Aptos"/>
                <w:sz w:val="15"/>
              </w:rPr>
              <w:t>Regroupement des unités.</w:t>
            </w:r>
          </w:p>
        </w:tc>
      </w:tr>
      <w:tr>
        <w:tc>
          <w:tcPr>
            <w:tcW w:type="dxa" w:w="2438"/>
            <w:tcMar>
              <w:top w:w="60" w:type="dxa"/>
              <w:start w:w="60" w:type="dxa"/>
              <w:bottom w:w="60" w:type="dxa"/>
              <w:end w:w="60" w:type="dxa"/>
            </w:tcMar>
            <w:vAlign w:val="top"/>
          </w:tcPr>
          <w:p>
            <w:r/>
            <w:r>
              <w:rPr>
                <w:rFonts w:ascii="Aptos" w:hAnsi="Aptos"/>
                <w:sz w:val="15"/>
              </w:rPr>
              <w:t>Inception date</w:t>
            </w:r>
          </w:p>
        </w:tc>
        <w:tc>
          <w:tcPr>
            <w:tcW w:type="dxa" w:w="2665"/>
            <w:tcMar>
              <w:top w:w="60" w:type="dxa"/>
              <w:start w:w="60" w:type="dxa"/>
              <w:bottom w:w="60" w:type="dxa"/>
              <w:end w:w="60" w:type="dxa"/>
            </w:tcMar>
            <w:vAlign w:val="top"/>
          </w:tcPr>
          <w:p>
            <w:r/>
            <w:r>
              <w:rPr>
                <w:rFonts w:ascii="Aptos" w:hAnsi="Aptos"/>
                <w:sz w:val="15"/>
              </w:rPr>
              <w:t>Date d’inception</w:t>
            </w:r>
          </w:p>
        </w:tc>
        <w:tc>
          <w:tcPr>
            <w:tcW w:type="dxa" w:w="4195"/>
            <w:tcMar>
              <w:top w:w="60" w:type="dxa"/>
              <w:start w:w="60" w:type="dxa"/>
              <w:bottom w:w="60" w:type="dxa"/>
              <w:end w:w="60" w:type="dxa"/>
            </w:tcMar>
            <w:vAlign w:val="top"/>
          </w:tcPr>
          <w:p>
            <w:r/>
            <w:r>
              <w:rPr>
                <w:rFonts w:ascii="Aptos" w:hAnsi="Aptos"/>
                <w:sz w:val="15"/>
              </w:rPr>
              <w:t>Date de lancement, à distinguer de la première VL.</w:t>
            </w:r>
          </w:p>
        </w:tc>
      </w:tr>
    </w:tbl>
    <w:p>
      <w:pPr>
        <w:widowControl/>
        <w:spacing w:after="0"/>
      </w:pPr>
    </w:p>
    <w:p>
      <w:pPr>
        <w:widowControl/>
      </w:pPr>
      <w:r>
        <w:br w:type="page"/>
      </w:r>
    </w:p>
    <w:p>
      <w:pPr>
        <w:widowControl/>
        <w:jc w:val="center"/>
      </w:pPr>
      <w:r>
        <w:rPr>
          <w:rFonts w:ascii="Aptos Display" w:hAnsi="Aptos Display"/>
          <w:b/>
          <w:color w:val="123E5E"/>
          <w:sz w:val="44"/>
        </w:rPr>
        <w:t>CONCLUSION GÉNÉRALE</w:t>
      </w:r>
    </w:p>
    <w:p>
      <w:pPr>
        <w:widowControl/>
        <w:jc w:val="center"/>
      </w:pPr>
      <w:r>
        <w:rPr>
          <w:rFonts w:ascii="Aptos" w:hAnsi="Aptos"/>
          <w:i/>
          <w:color w:val="505050"/>
          <w:sz w:val="22"/>
        </w:rPr>
        <w:t>La règle de référence à transmettre à toute IA et toute équipe</w:t>
      </w:r>
    </w:p>
    <w:p>
      <w:pPr>
        <w:widowControl/>
      </w:pPr>
    </w:p>
    <w:p>
      <w:pPr>
        <w:pStyle w:val="Heading1"/>
        <w:widowControl/>
      </w:pPr>
      <w:r>
        <w:t>Ce que cette compétence doit garantir</w:t>
      </w:r>
    </w:p>
    <w:tbl>
      <w:tblPr>
        <w:tblW w:type="auto" w:w="0"/>
        <w:jc w:val="center"/>
        <w:tblLayout w:type="autofit"/>
        <w:tblLook w:firstColumn="1" w:firstRow="1" w:lastColumn="0" w:lastRow="0" w:noHBand="0" w:noVBand="1" w:val="04A0"/>
      </w:tblPr>
      <w:tblGrid>
        <w:gridCol w:w="10200"/>
      </w:tblGrid>
      <w:tr>
        <w:tc>
          <w:tcPr>
            <w:tcW w:type="dxa" w:w="10200"/>
            <w:shd w:fill="E8F5E9"/>
            <w:tcMar>
              <w:top w:w="140" w:type="dxa"/>
              <w:start w:w="150" w:type="dxa"/>
              <w:bottom w:w="140" w:type="dxa"/>
              <w:end w:w="150" w:type="dxa"/>
            </w:tcMar>
          </w:tcPr>
          <w:p>
            <w:r>
              <w:rPr>
                <w:rFonts w:ascii="Aptos" w:hAnsi="Aptos"/>
                <w:b/>
                <w:color w:val="123E5E"/>
                <w:sz w:val="18"/>
              </w:rPr>
              <w:t xml:space="preserve">Conclusion — </w:t>
            </w:r>
            <w:r>
              <w:rPr>
                <w:rFonts w:ascii="Aptos" w:hAnsi="Aptos"/>
                <w:sz w:val="18"/>
              </w:rPr>
              <w:t>Le système Nigeria doit produire le maximum de données justes, pas le maximum de lignes. Chaque valeur doit porter la bonne date, le bon fonds, la bonne société de gestion, la bonne catégorie, la bonne mesure, la bonne devise, la bonne preuve et la bonne continuité historique.</w:t>
            </w:r>
          </w:p>
        </w:tc>
      </w:tr>
    </w:tbl>
    <w:p>
      <w:pPr>
        <w:widowControl/>
        <w:spacing w:after="0"/>
      </w:pPr>
    </w:p>
    <w:p>
      <w:pPr>
        <w:widowControl/>
      </w:pPr>
      <w:r>
        <w:rPr>
          <w:rFonts w:ascii="Aptos" w:hAnsi="Aptos"/>
          <w:sz w:val="19"/>
        </w:rPr>
        <w:t>Toute future amélioration doit enrichir cette bible par version : nouvelle famille de feuille, nouvelle règle numérique, nouvelle source, nouvel événement ou nouveau contrôle. Une règle ne devient normative qu'après vérification sur plusieurs sources et intégration dans les tests de non-régression.</w:t>
      </w:r>
    </w:p>
    <w:p>
      <w:pPr>
        <w:pStyle w:val="Heading2"/>
        <w:widowControl/>
      </w:pPr>
      <w:r>
        <w:t>Les dix interdits absolus</w:t>
      </w:r>
    </w:p>
    <w:p>
      <w:pPr>
        <w:widowControl/>
        <w:ind w:left="198" w:hanging="198"/>
      </w:pPr>
      <w:r>
        <w:rPr>
          <w:rFonts w:ascii="Aptos" w:hAnsi="Aptos"/>
          <w:b/>
          <w:sz w:val="18"/>
        </w:rPr>
        <w:t>1. Confondre NAV total et prix par part.</w:t>
      </w:r>
    </w:p>
    <w:p>
      <w:pPr>
        <w:widowControl/>
        <w:ind w:left="198" w:hanging="198"/>
      </w:pPr>
      <w:r>
        <w:rPr>
          <w:rFonts w:ascii="Aptos" w:hAnsi="Aptos"/>
          <w:b w:val="0"/>
          <w:sz w:val="18"/>
        </w:rPr>
        <w:t>2. Transformer Offer ou Bid en Unit Price sans conserver la distinction.</w:t>
      </w:r>
    </w:p>
    <w:p>
      <w:pPr>
        <w:widowControl/>
        <w:ind w:left="198" w:hanging="198"/>
      </w:pPr>
      <w:r>
        <w:rPr>
          <w:rFonts w:ascii="Aptos" w:hAnsi="Aptos"/>
          <w:b w:val="0"/>
          <w:sz w:val="18"/>
        </w:rPr>
        <w:t>3. Supposer la devise à partir du pays ou du nom du fonds.</w:t>
      </w:r>
    </w:p>
    <w:p>
      <w:pPr>
        <w:widowControl/>
        <w:ind w:left="198" w:hanging="198"/>
      </w:pPr>
      <w:r>
        <w:rPr>
          <w:rFonts w:ascii="Aptos" w:hAnsi="Aptos"/>
          <w:b w:val="0"/>
          <w:sz w:val="18"/>
        </w:rPr>
        <w:t>4. Faire confiance au nom de fichier, à l'année ou au nom de feuille sans inspecter les en-têtes.</w:t>
      </w:r>
    </w:p>
    <w:p>
      <w:pPr>
        <w:widowControl/>
        <w:ind w:left="198" w:hanging="198"/>
      </w:pPr>
      <w:r>
        <w:rPr>
          <w:rFonts w:ascii="Aptos" w:hAnsi="Aptos"/>
          <w:b w:val="0"/>
          <w:sz w:val="18"/>
        </w:rPr>
        <w:t>5. Créer un fonds à partir d'une catégorie ou d'un total.</w:t>
      </w:r>
    </w:p>
    <w:p>
      <w:pPr>
        <w:widowControl/>
        <w:ind w:left="198" w:hanging="198"/>
      </w:pPr>
      <w:r>
        <w:rPr>
          <w:rFonts w:ascii="Aptos" w:hAnsi="Aptos"/>
          <w:b w:val="0"/>
          <w:sz w:val="18"/>
        </w:rPr>
        <w:t>6. Fusionner deux identités sur une similarité de nom.</w:t>
      </w:r>
    </w:p>
    <w:p>
      <w:pPr>
        <w:widowControl/>
        <w:ind w:left="198" w:hanging="198"/>
      </w:pPr>
      <w:r>
        <w:rPr>
          <w:rFonts w:ascii="Aptos" w:hAnsi="Aptos"/>
          <w:b w:val="0"/>
          <w:sz w:val="18"/>
        </w:rPr>
        <w:t>7. Inventer une date, une valeur ou un événement pour combler un manque.</w:t>
      </w:r>
    </w:p>
    <w:p>
      <w:pPr>
        <w:widowControl/>
        <w:ind w:left="198" w:hanging="198"/>
      </w:pPr>
      <w:r>
        <w:rPr>
          <w:rFonts w:ascii="Aptos" w:hAnsi="Aptos"/>
          <w:b w:val="0"/>
          <w:sz w:val="18"/>
        </w:rPr>
        <w:t>8. Écraser un ancien nom, un ancien gestionnaire ou une publication remplacée.</w:t>
      </w:r>
    </w:p>
    <w:p>
      <w:pPr>
        <w:widowControl/>
        <w:ind w:left="198" w:hanging="198"/>
      </w:pPr>
      <w:r>
        <w:rPr>
          <w:rFonts w:ascii="Aptos" w:hAnsi="Aptos"/>
          <w:b w:val="0"/>
          <w:sz w:val="18"/>
        </w:rPr>
        <w:t>9. Corriger la production sans preuve cellule, dry-run, sauvegarde et rollback.</w:t>
      </w:r>
    </w:p>
    <w:p>
      <w:pPr>
        <w:widowControl/>
        <w:ind w:left="198" w:hanging="198"/>
      </w:pPr>
      <w:r>
        <w:rPr>
          <w:rFonts w:ascii="Aptos" w:hAnsi="Aptos"/>
          <w:b w:val="0"/>
          <w:sz w:val="18"/>
        </w:rPr>
        <w:t>10. Affecter un autre pays ou un autre module lors d'une correction Nigeria.</w:t>
      </w:r>
    </w:p>
    <w:p>
      <w:pPr>
        <w:sectPr>
          <w:headerReference w:type="default" r:id="rId9"/>
          <w:footerReference w:type="default" r:id="rId10"/>
          <w:pgSz w:w="12240" w:h="15840"/>
          <w:pgMar w:top="964" w:right="1020" w:bottom="907" w:left="1020" w:header="397" w:footer="397" w:gutter="0"/>
          <w:cols w:space="720"/>
          <w:docGrid w:linePitch="360"/>
        </w:sectPr>
      </w:pPr>
    </w:p>
    <w:p>
      <w:pPr>
        <w:pStyle w:val="Heading1"/>
      </w:pPr>
      <w:r>
        <w:t>ÉDITION 2.0 — RECHERCHE WEB APPROFONDIE, URLS ET COLLECTE EXHAUSTIVE</w:t>
      </w:r>
    </w:p>
    <w:p>
      <w:r>
        <w:rPr>
          <w:b/>
        </w:rPr>
        <w:t xml:space="preserve">Date de la recherche : </w:t>
      </w:r>
      <w:r>
        <w:t>28/07/2026. Cette édition corrige une limite importante de la version 1.0 : un manuel méthodologique ne peut pas se déclarer complet si son registre de sources est réduit, si les liens ne sont pas cliquables ou si la couverture actuelle du site SEC Nigeria n’a pas été revérifiée.</w:t>
      </w:r>
    </w:p>
    <w:tbl>
      <w:tblPr>
        <w:tblStyle w:val="TableGrid"/>
        <w:tblW w:type="auto" w:w="0"/>
        <w:jc w:val="center"/>
        <w:tblLook w:firstColumn="1" w:firstRow="1" w:lastColumn="0" w:lastRow="0" w:noHBand="0" w:noVBand="1" w:val="04A0"/>
      </w:tblPr>
      <w:tblGrid>
        <w:gridCol w:w="13800"/>
      </w:tblGrid>
      <w:tr>
        <w:tc>
          <w:tcPr>
            <w:tcW w:type="dxa" w:w="13800"/>
            <w:shd w:fill="FCE4D6"/>
          </w:tcPr>
          <w:p>
            <w:r>
              <w:rPr>
                <w:b/>
              </w:rPr>
              <w:t xml:space="preserve">Constat d’audit de la version 1.0 — </w:t>
            </w:r>
            <w:r>
              <w:t>La version initiale comptait environ 11 800 mots, 63 tableaux et seulement 19 URL visibles, sans relations de liens hypertextes cliquables. Elle constituait une bonne base méthodologique, mais pas encore un registre web exhaustif. La version 2.0 ajoute des URL cliquables, une cartographie datée des archives, les sources réglementaires récentes, les sources de marché, les principaux domaines de gestionnaires et une procédure dynamique pour découvrir les documents propres à chaque fonds.</w:t>
            </w:r>
          </w:p>
        </w:tc>
      </w:tr>
    </w:tbl>
    <w:p/>
    <w:p>
      <w:pPr>
        <w:pStyle w:val="Heading2"/>
      </w:pPr>
      <w:r>
        <w:t>17. Ce que « complet » signifie réellement</w:t>
      </w:r>
    </w:p>
    <w:p>
      <w:r>
        <w:t>Un document de référence n'est pas complet parce qu'il compte un nombre élevé de pages. Il est complet lorsqu'il définit toutes les familles de sources, les données à recueillir, l'ordre de recherche, la preuve minimale, les contrôles, la stratégie d'actualisation et le traitement des cas où les liens changent ou disparaissent.</w:t>
      </w:r>
    </w:p>
    <w:p>
      <w:pPr>
        <w:pStyle w:val="ListBullet"/>
      </w:pPr>
      <w:r>
        <w:t>Le registre statique ci-après couvre les principaux points d’entrée officiels et les archives annuelles connues au 28 juillet 2026.</w:t>
      </w:r>
    </w:p>
    <w:p>
      <w:pPr>
        <w:pStyle w:val="ListBullet"/>
      </w:pPr>
      <w:r>
        <w:t>Les liens vers les prospectus, fact sheets, rapports annuels, trust deeds et supplemental prospectuses restent nécessairement dynamiques : ils doivent être découverts fonds par fonds puis stockés dans la base documentaire.</w:t>
      </w:r>
    </w:p>
    <w:p>
      <w:pPr>
        <w:pStyle w:val="ListBullet"/>
      </w:pPr>
      <w:r>
        <w:t>Le crawler doit extraire les liens réels présents dans les pages SEC et dans les sites des gestionnaires ; il ne doit pas dépendre uniquement de noms de fichiers codés en dur.</w:t>
      </w:r>
    </w:p>
    <w:p>
      <w:pPr>
        <w:pStyle w:val="ListBullet"/>
      </w:pPr>
      <w:r>
        <w:t>Chaque URL doit être conservée avec la date d’accès, l’URL finale après redirection, le statut HTTP, le type MIME, la taille, l’empreinte SHA-256 et, si possible, une copie archivée.</w:t>
      </w:r>
    </w:p>
    <w:p>
      <w:pPr>
        <w:pStyle w:val="ListBullet"/>
      </w:pPr>
      <w:r>
        <w:t>Une source officielle plus récente ne doit pas effacer une source historique : les deux doivent rester disponibles pour reconstruire la chronologie.</w:t>
      </w:r>
    </w:p>
    <w:p>
      <w:pPr>
        <w:pStyle w:val="Heading2"/>
      </w:pPr>
      <w:r>
        <w:t>18. Recherche web réellement effectuée pour cette édition</w:t>
      </w:r>
    </w:p>
    <w:p>
      <w:r>
        <w:t>La mise à jour a reposé sur des recherches ciblées du site de la SEC Nigeria, de son sitemap, des pages annuelles NAV, du registre des opérateurs, des règles et circulaires, ainsi que sur les sites officiels de gestionnaires et les sources de marché. Les résultats suivants ont été revérifiés :</w:t>
      </w:r>
    </w:p>
    <w:p>
      <w:pPr>
        <w:pStyle w:val="ListBullet"/>
      </w:pPr>
      <w:r>
        <w:t>Archives hebdomadaires SEC accessibles par années de 2011 à 2026.</w:t>
      </w:r>
    </w:p>
    <w:p>
      <w:pPr>
        <w:pStyle w:val="ListBullet"/>
      </w:pPr>
      <w:r>
        <w:t>Archives mensuelles des CIS accessibles de 2019 à 2026.</w:t>
      </w:r>
    </w:p>
    <w:p>
      <w:pPr>
        <w:pStyle w:val="ListBullet"/>
      </w:pPr>
      <w:r>
        <w:t>Archives mensuelles des ETF accessibles de 2017 à 2026.</w:t>
      </w:r>
    </w:p>
    <w:p>
      <w:pPr>
        <w:pStyle w:val="ListBullet"/>
      </w:pPr>
      <w:r>
        <w:t>Page 2026 des NAV hebdomadaires publiée jusqu’au fichier daté du 10 juillet 2026 au moment de la recherche.</w:t>
      </w:r>
    </w:p>
    <w:p>
      <w:pPr>
        <w:pStyle w:val="ListBullet"/>
      </w:pPr>
      <w:r>
        <w:t>Page mensuelle 2026 contenant au minimum janvier, février et mars 2026.</w:t>
      </w:r>
    </w:p>
    <w:p>
      <w:pPr>
        <w:pStyle w:val="ListBullet"/>
      </w:pPr>
      <w:r>
        <w:t>Registre des opérateurs SEC affichant 48 pages et une date de mise à jour récente ; il doit être capturé régulièrement, car les statuts et fonctions peuvent évoluer.</w:t>
      </w:r>
    </w:p>
    <w:p>
      <w:pPr>
        <w:pStyle w:val="ListBullet"/>
      </w:pPr>
      <w:r>
        <w:t>Cadre actuel : Investments and Securities Act 2025, amendements CIS d’avril 2025, règles de décembre 2024 et circulaires de capital minimum de 2026.</w:t>
      </w:r>
    </w:p>
    <w:p>
      <w:pPr>
        <w:pStyle w:val="ListBullet"/>
      </w:pPr>
      <w:r>
        <w:t>Pages officielles de gestionnaires permettant d’identifier fonds, prospectus, factsheets, formulaires et archives.</w:t>
      </w:r>
    </w:p>
    <w:p>
      <w:pPr>
        <w:pStyle w:val="Heading2"/>
      </w:pPr>
      <w:r>
        <w:t>19. Photographie officielle SEC — mars 2026</w:t>
      </w:r>
    </w:p>
    <w:p>
      <w:r>
        <w:t>Le fichier mensuel officiel « Monthly Update on Registered Mutual Funds as at 31st March, 2026 » a été téléchargé et contrôlé. Il ne doit pas être utilisé comme preuve unique d'identité juridique, mais comme photographie récente de l'univers publié.</w:t>
      </w:r>
    </w:p>
    <w:tbl>
      <w:tblPr>
        <w:tblStyle w:val="TableGrid"/>
        <w:tblW w:type="auto" w:w="0"/>
        <w:jc w:val="center"/>
        <w:tblLook w:firstColumn="1" w:firstRow="1" w:lastColumn="0" w:lastRow="0" w:noHBand="0" w:noVBand="1" w:val="04A0"/>
      </w:tblPr>
      <w:tblGrid>
        <w:gridCol w:w="6900"/>
        <w:gridCol w:w="6900"/>
      </w:tblGrid>
      <w:tr>
        <w:trPr>
          <w:tblHeader w:val="true"/>
        </w:trPr>
        <w:tc>
          <w:tcPr>
            <w:tcW w:type="dxa" w:w="3402"/>
            <w:vAlign w:val="top"/>
            <w:shd w:fill="1F4E78"/>
          </w:tcPr>
          <w:p>
            <w:r>
              <w:rPr>
                <w:color w:val="FFFFFF"/>
              </w:rPr>
            </w:r>
            <w:r>
              <w:rPr>
                <w:b/>
                <w:color w:val="FFFFFF"/>
                <w:sz w:val="16"/>
              </w:rPr>
              <w:t>Indicateur</w:t>
            </w:r>
          </w:p>
        </w:tc>
        <w:tc>
          <w:tcPr>
            <w:tcW w:type="dxa" w:w="6236"/>
            <w:vAlign w:val="top"/>
            <w:shd w:fill="1F4E78"/>
          </w:tcPr>
          <w:p>
            <w:r>
              <w:rPr>
                <w:color w:val="FFFFFF"/>
              </w:rPr>
            </w:r>
            <w:r>
              <w:rPr>
                <w:b/>
                <w:color w:val="FFFFFF"/>
                <w:sz w:val="16"/>
              </w:rPr>
              <w:t>Valeur</w:t>
            </w:r>
          </w:p>
        </w:tc>
      </w:tr>
      <w:tr>
        <w:trPr>
          <w:cantSplit/>
        </w:trPr>
        <w:tc>
          <w:tcPr>
            <w:tcW w:type="dxa" w:w="3402"/>
            <w:vAlign w:val="top"/>
          </w:tcPr>
          <w:p>
            <w:r/>
            <w:r>
              <w:rPr>
                <w:b w:val="0"/>
                <w:sz w:val="16"/>
              </w:rPr>
              <w:t>Date de référence</w:t>
            </w:r>
          </w:p>
        </w:tc>
        <w:tc>
          <w:tcPr>
            <w:tcW w:type="dxa" w:w="6236"/>
            <w:vAlign w:val="top"/>
          </w:tcPr>
          <w:p>
            <w:r/>
            <w:r>
              <w:rPr>
                <w:b w:val="0"/>
                <w:sz w:val="16"/>
              </w:rPr>
              <w:t>31/03/2026</w:t>
            </w:r>
          </w:p>
        </w:tc>
      </w:tr>
      <w:tr>
        <w:trPr>
          <w:cantSplit/>
        </w:trPr>
        <w:tc>
          <w:tcPr>
            <w:tcW w:type="dxa" w:w="3402"/>
            <w:vAlign w:val="top"/>
          </w:tcPr>
          <w:p>
            <w:r/>
            <w:r>
              <w:rPr>
                <w:b w:val="0"/>
                <w:sz w:val="16"/>
              </w:rPr>
              <w:t>Date de publication SEC observée</w:t>
            </w:r>
          </w:p>
        </w:tc>
        <w:tc>
          <w:tcPr>
            <w:tcW w:type="dxa" w:w="6236"/>
            <w:vAlign w:val="top"/>
          </w:tcPr>
          <w:p>
            <w:r/>
            <w:r>
              <w:rPr>
                <w:b w:val="0"/>
                <w:sz w:val="16"/>
              </w:rPr>
              <w:t>15/06/2026</w:t>
            </w:r>
          </w:p>
        </w:tc>
      </w:tr>
      <w:tr>
        <w:trPr>
          <w:cantSplit/>
        </w:trPr>
        <w:tc>
          <w:tcPr>
            <w:tcW w:type="dxa" w:w="3402"/>
            <w:vAlign w:val="top"/>
          </w:tcPr>
          <w:p>
            <w:r/>
            <w:r>
              <w:rPr>
                <w:b w:val="0"/>
                <w:sz w:val="16"/>
              </w:rPr>
              <w:t>Nombre de lignes de fonds détectées</w:t>
            </w:r>
          </w:p>
        </w:tc>
        <w:tc>
          <w:tcPr>
            <w:tcW w:type="dxa" w:w="6236"/>
            <w:vAlign w:val="top"/>
          </w:tcPr>
          <w:p>
            <w:r/>
            <w:r>
              <w:rPr>
                <w:b w:val="0"/>
                <w:sz w:val="16"/>
              </w:rPr>
              <w:t>204</w:t>
            </w:r>
          </w:p>
        </w:tc>
      </w:tr>
      <w:tr>
        <w:trPr>
          <w:cantSplit/>
        </w:trPr>
        <w:tc>
          <w:tcPr>
            <w:tcW w:type="dxa" w:w="3402"/>
            <w:vAlign w:val="top"/>
          </w:tcPr>
          <w:p>
            <w:r/>
            <w:r>
              <w:rPr>
                <w:b w:val="0"/>
                <w:sz w:val="16"/>
              </w:rPr>
              <w:t>Nombre de libellés bruts de gestionnaires distincts</w:t>
            </w:r>
          </w:p>
        </w:tc>
        <w:tc>
          <w:tcPr>
            <w:tcW w:type="dxa" w:w="6236"/>
            <w:vAlign w:val="top"/>
          </w:tcPr>
          <w:p>
            <w:r/>
            <w:r>
              <w:rPr>
                <w:b w:val="0"/>
                <w:sz w:val="16"/>
              </w:rPr>
              <w:t>76</w:t>
            </w:r>
          </w:p>
        </w:tc>
      </w:tr>
      <w:tr>
        <w:trPr>
          <w:cantSplit/>
        </w:trPr>
        <w:tc>
          <w:tcPr>
            <w:tcW w:type="dxa" w:w="3402"/>
            <w:vAlign w:val="top"/>
          </w:tcPr>
          <w:p>
            <w:r/>
            <w:r>
              <w:rPr>
                <w:b w:val="0"/>
                <w:sz w:val="16"/>
              </w:rPr>
              <w:t>Empreinte SHA-256 de la copie analysée</w:t>
            </w:r>
          </w:p>
        </w:tc>
        <w:tc>
          <w:tcPr>
            <w:tcW w:type="dxa" w:w="6236"/>
            <w:vAlign w:val="top"/>
          </w:tcPr>
          <w:p>
            <w:r/>
            <w:r>
              <w:rPr>
                <w:b w:val="0"/>
                <w:sz w:val="16"/>
              </w:rPr>
              <w:t>0999744e2184f7667155434f1811917104f3b508a19dd041d82ba970943f154c</w:t>
            </w:r>
          </w:p>
        </w:tc>
      </w:tr>
      <w:tr>
        <w:trPr>
          <w:cantSplit/>
        </w:trPr>
        <w:tc>
          <w:tcPr>
            <w:tcW w:type="dxa" w:w="3402"/>
            <w:vAlign w:val="top"/>
          </w:tcPr>
          <w:p>
            <w:r/>
            <w:r>
              <w:rPr>
                <w:b w:val="0"/>
                <w:sz w:val="16"/>
              </w:rPr>
              <w:t>Règle d’interprétation</w:t>
            </w:r>
          </w:p>
        </w:tc>
        <w:tc>
          <w:tcPr>
            <w:tcW w:type="dxa" w:w="6236"/>
            <w:vAlign w:val="top"/>
          </w:tcPr>
          <w:p>
            <w:r/>
            <w:r>
              <w:rPr>
                <w:b w:val="0"/>
                <w:sz w:val="16"/>
              </w:rPr>
              <w:t>Compter des lignes publiées, pas des entités juridiques uniques, tant que les alias et classes ne sont pas résolus.</w:t>
            </w:r>
          </w:p>
        </w:tc>
      </w:tr>
    </w:tbl>
    <w:p/>
    <w:tbl>
      <w:tblPr>
        <w:tblStyle w:val="TableGrid"/>
        <w:tblW w:type="auto" w:w="0"/>
        <w:jc w:val="center"/>
        <w:tblLook w:firstColumn="1" w:firstRow="1" w:lastColumn="0" w:lastRow="0" w:noHBand="0" w:noVBand="1" w:val="04A0"/>
      </w:tblPr>
      <w:tblGrid>
        <w:gridCol w:w="4600"/>
        <w:gridCol w:w="4600"/>
        <w:gridCol w:w="4600"/>
      </w:tblGrid>
      <w:tr>
        <w:trPr>
          <w:tblHeader w:val="true"/>
        </w:trPr>
        <w:tc>
          <w:tcPr>
            <w:tcW w:type="dxa" w:w="3402"/>
            <w:vAlign w:val="top"/>
            <w:shd w:fill="1F4E78"/>
          </w:tcPr>
          <w:p>
            <w:r>
              <w:rPr>
                <w:color w:val="FFFFFF"/>
              </w:rPr>
            </w:r>
            <w:r>
              <w:rPr>
                <w:b/>
                <w:color w:val="FFFFFF"/>
                <w:sz w:val="16"/>
              </w:rPr>
              <w:t>Catégorie brute dans le fichier</w:t>
            </w:r>
          </w:p>
        </w:tc>
        <w:tc>
          <w:tcPr>
            <w:tcW w:type="dxa" w:w="1701"/>
            <w:vAlign w:val="top"/>
            <w:shd w:fill="1F4E78"/>
          </w:tcPr>
          <w:p>
            <w:r>
              <w:rPr>
                <w:color w:val="FFFFFF"/>
              </w:rPr>
            </w:r>
            <w:r>
              <w:rPr>
                <w:b/>
                <w:color w:val="FFFFFF"/>
                <w:sz w:val="16"/>
              </w:rPr>
              <w:t>Nombre de lignes</w:t>
            </w:r>
          </w:p>
        </w:tc>
        <w:tc>
          <w:tcPr>
            <w:tcW w:type="dxa" w:w="5669"/>
            <w:vAlign w:val="top"/>
            <w:shd w:fill="1F4E78"/>
          </w:tcPr>
          <w:p>
            <w:r>
              <w:rPr>
                <w:color w:val="FFFFFF"/>
              </w:rPr>
            </w:r>
            <w:r>
              <w:rPr>
                <w:b/>
                <w:color w:val="FFFFFF"/>
                <w:sz w:val="16"/>
              </w:rPr>
              <w:t>Traitement</w:t>
            </w:r>
          </w:p>
        </w:tc>
      </w:tr>
      <w:tr>
        <w:trPr>
          <w:cantSplit/>
        </w:trPr>
        <w:tc>
          <w:tcPr>
            <w:tcW w:type="dxa" w:w="3402"/>
            <w:vAlign w:val="top"/>
          </w:tcPr>
          <w:p>
            <w:r/>
            <w:r>
              <w:rPr>
                <w:b w:val="0"/>
                <w:sz w:val="16"/>
              </w:rPr>
              <w:t>MONEY MARKET FUNDS</w:t>
            </w:r>
          </w:p>
        </w:tc>
        <w:tc>
          <w:tcPr>
            <w:tcW w:type="dxa" w:w="1701"/>
            <w:vAlign w:val="top"/>
          </w:tcPr>
          <w:p>
            <w:r/>
            <w:r>
              <w:rPr>
                <w:b w:val="0"/>
                <w:sz w:val="16"/>
              </w:rPr>
              <w:t>46</w:t>
            </w:r>
          </w:p>
        </w:tc>
        <w:tc>
          <w:tcPr>
            <w:tcW w:type="dxa" w:w="5669"/>
            <w:vAlign w:val="top"/>
          </w:tcPr>
          <w:p>
            <w:r/>
            <w:r>
              <w:rPr>
                <w:b w:val="0"/>
                <w:sz w:val="16"/>
              </w:rPr>
              <w:t>Catégorie brute SEC à conserver; mapper séparément vers une taxonomie normalisée.</w:t>
            </w:r>
          </w:p>
        </w:tc>
      </w:tr>
      <w:tr>
        <w:trPr>
          <w:cantSplit/>
        </w:trPr>
        <w:tc>
          <w:tcPr>
            <w:tcW w:type="dxa" w:w="3402"/>
            <w:vAlign w:val="top"/>
          </w:tcPr>
          <w:p>
            <w:r/>
            <w:r>
              <w:rPr>
                <w:b w:val="0"/>
                <w:sz w:val="16"/>
              </w:rPr>
              <w:t>BOND/FIXED INCOME FUNDS</w:t>
            </w:r>
          </w:p>
        </w:tc>
        <w:tc>
          <w:tcPr>
            <w:tcW w:type="dxa" w:w="1701"/>
            <w:vAlign w:val="top"/>
          </w:tcPr>
          <w:p>
            <w:r/>
            <w:r>
              <w:rPr>
                <w:b w:val="0"/>
                <w:sz w:val="16"/>
              </w:rPr>
              <w:t>38</w:t>
            </w:r>
          </w:p>
        </w:tc>
        <w:tc>
          <w:tcPr>
            <w:tcW w:type="dxa" w:w="5669"/>
            <w:vAlign w:val="top"/>
          </w:tcPr>
          <w:p>
            <w:r/>
            <w:r>
              <w:rPr>
                <w:b w:val="0"/>
                <w:sz w:val="16"/>
              </w:rPr>
              <w:t>Catégorie brute SEC à conserver; mapper séparément vers une taxonomie normalisée.</w:t>
            </w:r>
          </w:p>
        </w:tc>
      </w:tr>
      <w:tr>
        <w:trPr>
          <w:cantSplit/>
        </w:trPr>
        <w:tc>
          <w:tcPr>
            <w:tcW w:type="dxa" w:w="3402"/>
            <w:vAlign w:val="top"/>
          </w:tcPr>
          <w:p>
            <w:r/>
            <w:r>
              <w:rPr>
                <w:b w:val="0"/>
                <w:sz w:val="16"/>
              </w:rPr>
              <w:t>FIXED INCOME</w:t>
            </w:r>
          </w:p>
        </w:tc>
        <w:tc>
          <w:tcPr>
            <w:tcW w:type="dxa" w:w="1701"/>
            <w:vAlign w:val="top"/>
          </w:tcPr>
          <w:p>
            <w:r/>
            <w:r>
              <w:rPr>
                <w:b w:val="0"/>
                <w:sz w:val="16"/>
              </w:rPr>
              <w:t>34</w:t>
            </w:r>
          </w:p>
        </w:tc>
        <w:tc>
          <w:tcPr>
            <w:tcW w:type="dxa" w:w="5669"/>
            <w:vAlign w:val="top"/>
          </w:tcPr>
          <w:p>
            <w:r/>
            <w:r>
              <w:rPr>
                <w:b w:val="0"/>
                <w:sz w:val="16"/>
              </w:rPr>
              <w:t>Catégorie brute SEC à conserver; mapper séparément vers une taxonomie normalisée.</w:t>
            </w:r>
          </w:p>
        </w:tc>
      </w:tr>
      <w:tr>
        <w:trPr>
          <w:cantSplit/>
        </w:trPr>
        <w:tc>
          <w:tcPr>
            <w:tcW w:type="dxa" w:w="3402"/>
            <w:vAlign w:val="top"/>
          </w:tcPr>
          <w:p>
            <w:r/>
            <w:r>
              <w:rPr>
                <w:b w:val="0"/>
                <w:sz w:val="16"/>
              </w:rPr>
              <w:t>BALANCED FUNDS</w:t>
            </w:r>
          </w:p>
        </w:tc>
        <w:tc>
          <w:tcPr>
            <w:tcW w:type="dxa" w:w="1701"/>
            <w:vAlign w:val="top"/>
          </w:tcPr>
          <w:p>
            <w:r/>
            <w:r>
              <w:rPr>
                <w:b w:val="0"/>
                <w:sz w:val="16"/>
              </w:rPr>
              <w:t>29</w:t>
            </w:r>
          </w:p>
        </w:tc>
        <w:tc>
          <w:tcPr>
            <w:tcW w:type="dxa" w:w="5669"/>
            <w:vAlign w:val="top"/>
          </w:tcPr>
          <w:p>
            <w:r/>
            <w:r>
              <w:rPr>
                <w:b w:val="0"/>
                <w:sz w:val="16"/>
              </w:rPr>
              <w:t>Catégorie brute SEC à conserver; mapper séparément vers une taxonomie normalisée.</w:t>
            </w:r>
          </w:p>
        </w:tc>
      </w:tr>
      <w:tr>
        <w:trPr>
          <w:cantSplit/>
        </w:trPr>
        <w:tc>
          <w:tcPr>
            <w:tcW w:type="dxa" w:w="3402"/>
            <w:vAlign w:val="top"/>
          </w:tcPr>
          <w:p>
            <w:r/>
            <w:r>
              <w:rPr>
                <w:b w:val="0"/>
                <w:sz w:val="16"/>
              </w:rPr>
              <w:t>EQUITY BASED FUNDS</w:t>
            </w:r>
          </w:p>
        </w:tc>
        <w:tc>
          <w:tcPr>
            <w:tcW w:type="dxa" w:w="1701"/>
            <w:vAlign w:val="top"/>
          </w:tcPr>
          <w:p>
            <w:r/>
            <w:r>
              <w:rPr>
                <w:b w:val="0"/>
                <w:sz w:val="16"/>
              </w:rPr>
              <w:t>20</w:t>
            </w:r>
          </w:p>
        </w:tc>
        <w:tc>
          <w:tcPr>
            <w:tcW w:type="dxa" w:w="5669"/>
            <w:vAlign w:val="top"/>
          </w:tcPr>
          <w:p>
            <w:r/>
            <w:r>
              <w:rPr>
                <w:b w:val="0"/>
                <w:sz w:val="16"/>
              </w:rPr>
              <w:t>Catégorie brute SEC à conserver; mapper séparément vers une taxonomie normalisée.</w:t>
            </w:r>
          </w:p>
        </w:tc>
      </w:tr>
      <w:tr>
        <w:trPr>
          <w:cantSplit/>
        </w:trPr>
        <w:tc>
          <w:tcPr>
            <w:tcW w:type="dxa" w:w="3402"/>
            <w:vAlign w:val="top"/>
          </w:tcPr>
          <w:p>
            <w:r/>
            <w:r>
              <w:rPr>
                <w:b w:val="0"/>
                <w:sz w:val="16"/>
              </w:rPr>
              <w:t>EUROBONDS</w:t>
            </w:r>
          </w:p>
        </w:tc>
        <w:tc>
          <w:tcPr>
            <w:tcW w:type="dxa" w:w="1701"/>
            <w:vAlign w:val="top"/>
          </w:tcPr>
          <w:p>
            <w:r/>
            <w:r>
              <w:rPr>
                <w:b w:val="0"/>
                <w:sz w:val="16"/>
              </w:rPr>
              <w:t>17</w:t>
            </w:r>
          </w:p>
        </w:tc>
        <w:tc>
          <w:tcPr>
            <w:tcW w:type="dxa" w:w="5669"/>
            <w:vAlign w:val="top"/>
          </w:tcPr>
          <w:p>
            <w:r/>
            <w:r>
              <w:rPr>
                <w:b w:val="0"/>
                <w:sz w:val="16"/>
              </w:rPr>
              <w:t>Catégorie brute SEC à conserver; mapper séparément vers une taxonomie normalisée.</w:t>
            </w:r>
          </w:p>
        </w:tc>
      </w:tr>
      <w:tr>
        <w:trPr>
          <w:cantSplit/>
        </w:trPr>
        <w:tc>
          <w:tcPr>
            <w:tcW w:type="dxa" w:w="3402"/>
            <w:vAlign w:val="top"/>
          </w:tcPr>
          <w:p>
            <w:r/>
            <w:r>
              <w:rPr>
                <w:b w:val="0"/>
                <w:sz w:val="16"/>
              </w:rPr>
              <w:t>REAL ESTATE FUNDS</w:t>
            </w:r>
          </w:p>
        </w:tc>
        <w:tc>
          <w:tcPr>
            <w:tcW w:type="dxa" w:w="1701"/>
            <w:vAlign w:val="top"/>
          </w:tcPr>
          <w:p>
            <w:r/>
            <w:r>
              <w:rPr>
                <w:b w:val="0"/>
                <w:sz w:val="16"/>
              </w:rPr>
              <w:t>6</w:t>
            </w:r>
          </w:p>
        </w:tc>
        <w:tc>
          <w:tcPr>
            <w:tcW w:type="dxa" w:w="5669"/>
            <w:vAlign w:val="top"/>
          </w:tcPr>
          <w:p>
            <w:r/>
            <w:r>
              <w:rPr>
                <w:b w:val="0"/>
                <w:sz w:val="16"/>
              </w:rPr>
              <w:t>Catégorie brute SEC à conserver; mapper séparément vers une taxonomie normalisée.</w:t>
            </w:r>
          </w:p>
        </w:tc>
      </w:tr>
      <w:tr>
        <w:trPr>
          <w:cantSplit/>
        </w:trPr>
        <w:tc>
          <w:tcPr>
            <w:tcW w:type="dxa" w:w="3402"/>
            <w:vAlign w:val="top"/>
          </w:tcPr>
          <w:p>
            <w:r/>
            <w:r>
              <w:rPr>
                <w:b w:val="0"/>
                <w:sz w:val="16"/>
              </w:rPr>
              <w:t>SPECIALISED FUNDS</w:t>
            </w:r>
          </w:p>
        </w:tc>
        <w:tc>
          <w:tcPr>
            <w:tcW w:type="dxa" w:w="1701"/>
            <w:vAlign w:val="top"/>
          </w:tcPr>
          <w:p>
            <w:r/>
            <w:r>
              <w:rPr>
                <w:b w:val="0"/>
                <w:sz w:val="16"/>
              </w:rPr>
              <w:t>5</w:t>
            </w:r>
          </w:p>
        </w:tc>
        <w:tc>
          <w:tcPr>
            <w:tcW w:type="dxa" w:w="5669"/>
            <w:vAlign w:val="top"/>
          </w:tcPr>
          <w:p>
            <w:r/>
            <w:r>
              <w:rPr>
                <w:b w:val="0"/>
                <w:sz w:val="16"/>
              </w:rPr>
              <w:t>Catégorie brute SEC à conserver; mapper séparément vers une taxonomie normalisée.</w:t>
            </w:r>
          </w:p>
        </w:tc>
      </w:tr>
      <w:tr>
        <w:trPr>
          <w:cantSplit/>
        </w:trPr>
        <w:tc>
          <w:tcPr>
            <w:tcW w:type="dxa" w:w="3402"/>
            <w:vAlign w:val="top"/>
          </w:tcPr>
          <w:p>
            <w:r/>
            <w:r>
              <w:rPr>
                <w:b w:val="0"/>
                <w:sz w:val="16"/>
              </w:rPr>
              <w:t>BALANCED</w:t>
            </w:r>
          </w:p>
        </w:tc>
        <w:tc>
          <w:tcPr>
            <w:tcW w:type="dxa" w:w="1701"/>
            <w:vAlign w:val="top"/>
          </w:tcPr>
          <w:p>
            <w:r/>
            <w:r>
              <w:rPr>
                <w:b w:val="0"/>
                <w:sz w:val="16"/>
              </w:rPr>
              <w:t>4</w:t>
            </w:r>
          </w:p>
        </w:tc>
        <w:tc>
          <w:tcPr>
            <w:tcW w:type="dxa" w:w="5669"/>
            <w:vAlign w:val="top"/>
          </w:tcPr>
          <w:p>
            <w:r/>
            <w:r>
              <w:rPr>
                <w:b w:val="0"/>
                <w:sz w:val="16"/>
              </w:rPr>
              <w:t>Catégorie brute SEC à conserver; mapper séparément vers une taxonomie normalisée.</w:t>
            </w:r>
          </w:p>
        </w:tc>
      </w:tr>
      <w:tr>
        <w:trPr>
          <w:cantSplit/>
        </w:trPr>
        <w:tc>
          <w:tcPr>
            <w:tcW w:type="dxa" w:w="3402"/>
            <w:vAlign w:val="top"/>
          </w:tcPr>
          <w:p>
            <w:r/>
            <w:r>
              <w:rPr>
                <w:b w:val="0"/>
                <w:sz w:val="16"/>
              </w:rPr>
              <w:t>ETHICAL FUNDS</w:t>
            </w:r>
          </w:p>
        </w:tc>
        <w:tc>
          <w:tcPr>
            <w:tcW w:type="dxa" w:w="1701"/>
            <w:vAlign w:val="top"/>
          </w:tcPr>
          <w:p>
            <w:r/>
            <w:r>
              <w:rPr>
                <w:b w:val="0"/>
                <w:sz w:val="16"/>
              </w:rPr>
              <w:t>3</w:t>
            </w:r>
          </w:p>
        </w:tc>
        <w:tc>
          <w:tcPr>
            <w:tcW w:type="dxa" w:w="5669"/>
            <w:vAlign w:val="top"/>
          </w:tcPr>
          <w:p>
            <w:r/>
            <w:r>
              <w:rPr>
                <w:b w:val="0"/>
                <w:sz w:val="16"/>
              </w:rPr>
              <w:t>Catégorie brute SEC à conserver; mapper séparément vers une taxonomie normalisée.</w:t>
            </w:r>
          </w:p>
        </w:tc>
      </w:tr>
      <w:tr>
        <w:trPr>
          <w:cantSplit/>
        </w:trPr>
        <w:tc>
          <w:tcPr>
            <w:tcW w:type="dxa" w:w="3402"/>
            <w:vAlign w:val="top"/>
          </w:tcPr>
          <w:p>
            <w:r/>
            <w:r>
              <w:rPr>
                <w:b w:val="0"/>
                <w:sz w:val="16"/>
              </w:rPr>
              <w:t>EQUITIES</w:t>
            </w:r>
          </w:p>
        </w:tc>
        <w:tc>
          <w:tcPr>
            <w:tcW w:type="dxa" w:w="1701"/>
            <w:vAlign w:val="top"/>
          </w:tcPr>
          <w:p>
            <w:r/>
            <w:r>
              <w:rPr>
                <w:b w:val="0"/>
                <w:sz w:val="16"/>
              </w:rPr>
              <w:t>2</w:t>
            </w:r>
          </w:p>
        </w:tc>
        <w:tc>
          <w:tcPr>
            <w:tcW w:type="dxa" w:w="5669"/>
            <w:vAlign w:val="top"/>
          </w:tcPr>
          <w:p>
            <w:r/>
            <w:r>
              <w:rPr>
                <w:b w:val="0"/>
                <w:sz w:val="16"/>
              </w:rPr>
              <w:t>Catégorie brute SEC à conserver; mapper séparément vers une taxonomie normalisée.</w:t>
            </w:r>
          </w:p>
        </w:tc>
      </w:tr>
    </w:tbl>
    <w:p/>
    <w:tbl>
      <w:tblPr>
        <w:tblStyle w:val="TableGrid"/>
        <w:tblW w:type="auto" w:w="0"/>
        <w:jc w:val="center"/>
        <w:tblLook w:firstColumn="1" w:firstRow="1" w:lastColumn="0" w:lastRow="0" w:noHBand="0" w:noVBand="1" w:val="04A0"/>
      </w:tblPr>
      <w:tblGrid>
        <w:gridCol w:w="13800"/>
      </w:tblGrid>
      <w:tr>
        <w:tc>
          <w:tcPr>
            <w:tcW w:type="dxa" w:w="13800"/>
            <w:shd w:fill="FFF2CC"/>
          </w:tcPr>
          <w:p>
            <w:r>
              <w:rPr>
                <w:b/>
              </w:rPr>
              <w:t xml:space="preserve">Anomalie structurante confirmée — </w:t>
            </w:r>
            <w:r>
              <w:t>Le fichier contient des variantes de catégories qui se recouvrent : « EQUITY BASED FUNDS » et « EQUITIES », « BALANCED FUNDS » et « BALANCED », « BOND/FIXED INCOME FUNDS » et « FIXED INCOME ». La valeur source doit rester intacte ; seule une colonne normalisée distincte peut les regrouper.</w:t>
            </w:r>
          </w:p>
        </w:tc>
      </w:tr>
    </w:tbl>
    <w:p/>
    <w:p>
      <w:pPr>
        <w:sectPr>
          <w:pgSz w:w="15840" w:h="12240"/>
          <w:pgMar w:top="1020" w:right="1020" w:bottom="1020" w:left="1020" w:header="397" w:footer="397" w:gutter="0"/>
          <w:cols w:space="720"/>
          <w:docGrid w:linePitch="360"/>
        </w:sectPr>
      </w:pPr>
    </w:p>
    <w:p>
      <w:pPr>
        <w:pStyle w:val="Heading1"/>
      </w:pPr>
      <w:r>
        <w:t>PARTIE XVII — HIÉRARCHIE DES SOURCES ET PREUVE DOCUMENTAIRE</w:t>
      </w:r>
    </w:p>
    <w:p>
      <w:pPr>
        <w:pStyle w:val="Heading2"/>
      </w:pPr>
      <w:r>
        <w:t>20. Hiérarchie de fiabilité</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850"/>
            <w:vAlign w:val="top"/>
            <w:shd w:fill="1F4E78"/>
          </w:tcPr>
          <w:p>
            <w:r>
              <w:rPr>
                <w:color w:val="FFFFFF"/>
              </w:rPr>
            </w:r>
            <w:r>
              <w:rPr>
                <w:b/>
                <w:color w:val="FFFFFF"/>
                <w:sz w:val="15"/>
              </w:rPr>
              <w:t>Niveau</w:t>
            </w:r>
          </w:p>
        </w:tc>
        <w:tc>
          <w:tcPr>
            <w:tcW w:type="dxa" w:w="2268"/>
            <w:vAlign w:val="top"/>
            <w:shd w:fill="1F4E78"/>
          </w:tcPr>
          <w:p>
            <w:r>
              <w:rPr>
                <w:color w:val="FFFFFF"/>
              </w:rPr>
            </w:r>
            <w:r>
              <w:rPr>
                <w:b/>
                <w:color w:val="FFFFFF"/>
                <w:sz w:val="15"/>
              </w:rPr>
              <w:t>Nature</w:t>
            </w:r>
          </w:p>
        </w:tc>
        <w:tc>
          <w:tcPr>
            <w:tcW w:type="dxa" w:w="3969"/>
            <w:vAlign w:val="top"/>
            <w:shd w:fill="1F4E78"/>
          </w:tcPr>
          <w:p>
            <w:r>
              <w:rPr>
                <w:color w:val="FFFFFF"/>
              </w:rPr>
            </w:r>
            <w:r>
              <w:rPr>
                <w:b/>
                <w:color w:val="FFFFFF"/>
                <w:sz w:val="15"/>
              </w:rPr>
              <w:t>Exemples</w:t>
            </w:r>
          </w:p>
        </w:tc>
        <w:tc>
          <w:tcPr>
            <w:tcW w:type="dxa" w:w="3969"/>
            <w:vAlign w:val="top"/>
            <w:shd w:fill="1F4E78"/>
          </w:tcPr>
          <w:p>
            <w:r>
              <w:rPr>
                <w:color w:val="FFFFFF"/>
              </w:rPr>
            </w:r>
            <w:r>
              <w:rPr>
                <w:b/>
                <w:color w:val="FFFFFF"/>
                <w:sz w:val="15"/>
              </w:rPr>
              <w:t>Usage autorisé</w:t>
            </w:r>
          </w:p>
        </w:tc>
      </w:tr>
      <w:tr>
        <w:trPr>
          <w:cantSplit/>
        </w:trPr>
        <w:tc>
          <w:tcPr>
            <w:tcW w:type="dxa" w:w="850"/>
            <w:vAlign w:val="top"/>
          </w:tcPr>
          <w:p>
            <w:r/>
            <w:r>
              <w:rPr>
                <w:b w:val="0"/>
                <w:sz w:val="15"/>
              </w:rPr>
              <w:t>T0</w:t>
            </w:r>
          </w:p>
        </w:tc>
        <w:tc>
          <w:tcPr>
            <w:tcW w:type="dxa" w:w="2268"/>
            <w:vAlign w:val="top"/>
          </w:tcPr>
          <w:p>
            <w:r/>
            <w:r>
              <w:rPr>
                <w:b w:val="0"/>
                <w:sz w:val="15"/>
              </w:rPr>
              <w:t>Document légal/réglementaire primaire</w:t>
            </w:r>
          </w:p>
        </w:tc>
        <w:tc>
          <w:tcPr>
            <w:tcW w:type="dxa" w:w="3969"/>
            <w:vAlign w:val="top"/>
          </w:tcPr>
          <w:p>
            <w:r/>
            <w:r>
              <w:rPr>
                <w:b w:val="0"/>
                <w:sz w:val="15"/>
              </w:rPr>
              <w:t>ISA, règle exécutée, ordonnance, trust deed, prospectus approuvé, notice de fusion/liquidation.</w:t>
            </w:r>
          </w:p>
        </w:tc>
        <w:tc>
          <w:tcPr>
            <w:tcW w:type="dxa" w:w="3969"/>
            <w:vAlign w:val="top"/>
          </w:tcPr>
          <w:p>
            <w:r/>
            <w:r>
              <w:rPr>
                <w:b w:val="0"/>
                <w:sz w:val="15"/>
              </w:rPr>
              <w:t>Peut établir un fait juridique si le document est authentique, daté et applicable.</w:t>
            </w:r>
          </w:p>
        </w:tc>
      </w:tr>
      <w:tr>
        <w:trPr>
          <w:cantSplit/>
        </w:trPr>
        <w:tc>
          <w:tcPr>
            <w:tcW w:type="dxa" w:w="850"/>
            <w:vAlign w:val="top"/>
          </w:tcPr>
          <w:p>
            <w:r/>
            <w:r>
              <w:rPr>
                <w:b w:val="0"/>
                <w:sz w:val="15"/>
              </w:rPr>
              <w:t>T1</w:t>
            </w:r>
          </w:p>
        </w:tc>
        <w:tc>
          <w:tcPr>
            <w:tcW w:type="dxa" w:w="2268"/>
            <w:vAlign w:val="top"/>
          </w:tcPr>
          <w:p>
            <w:r/>
            <w:r>
              <w:rPr>
                <w:b w:val="0"/>
                <w:sz w:val="15"/>
              </w:rPr>
              <w:t>Publication primaire SEC</w:t>
            </w:r>
          </w:p>
        </w:tc>
        <w:tc>
          <w:tcPr>
            <w:tcW w:type="dxa" w:w="3969"/>
            <w:vAlign w:val="top"/>
          </w:tcPr>
          <w:p>
            <w:r/>
            <w:r>
              <w:rPr>
                <w:b w:val="0"/>
                <w:sz w:val="15"/>
              </w:rPr>
              <w:t>NAV hebdomadaire/mensuelle, registre opérateur, circulaire, liste officielle.</w:t>
            </w:r>
          </w:p>
        </w:tc>
        <w:tc>
          <w:tcPr>
            <w:tcW w:type="dxa" w:w="3969"/>
            <w:vAlign w:val="top"/>
          </w:tcPr>
          <w:p>
            <w:r/>
            <w:r>
              <w:rPr>
                <w:b w:val="0"/>
                <w:sz w:val="15"/>
              </w:rPr>
              <w:t>Source de référence pour publication et statut réglementaire, avec contrôle de cohérence.</w:t>
            </w:r>
          </w:p>
        </w:tc>
      </w:tr>
      <w:tr>
        <w:trPr>
          <w:cantSplit/>
        </w:trPr>
        <w:tc>
          <w:tcPr>
            <w:tcW w:type="dxa" w:w="850"/>
            <w:vAlign w:val="top"/>
          </w:tcPr>
          <w:p>
            <w:r/>
            <w:r>
              <w:rPr>
                <w:b w:val="0"/>
                <w:sz w:val="15"/>
              </w:rPr>
              <w:t>T2</w:t>
            </w:r>
          </w:p>
        </w:tc>
        <w:tc>
          <w:tcPr>
            <w:tcW w:type="dxa" w:w="2268"/>
            <w:vAlign w:val="top"/>
          </w:tcPr>
          <w:p>
            <w:r/>
            <w:r>
              <w:rPr>
                <w:b w:val="0"/>
                <w:sz w:val="15"/>
              </w:rPr>
              <w:t>Document officiel du gestionnaire</w:t>
            </w:r>
          </w:p>
        </w:tc>
        <w:tc>
          <w:tcPr>
            <w:tcW w:type="dxa" w:w="3969"/>
            <w:vAlign w:val="top"/>
          </w:tcPr>
          <w:p>
            <w:r/>
            <w:r>
              <w:rPr>
                <w:b w:val="0"/>
                <w:sz w:val="15"/>
              </w:rPr>
              <w:t>Prospectus, factsheet, rapport annuel audité, formulaire, page produit.</w:t>
            </w:r>
          </w:p>
        </w:tc>
        <w:tc>
          <w:tcPr>
            <w:tcW w:type="dxa" w:w="3969"/>
            <w:vAlign w:val="top"/>
          </w:tcPr>
          <w:p>
            <w:r/>
            <w:r>
              <w:rPr>
                <w:b w:val="0"/>
                <w:sz w:val="15"/>
              </w:rPr>
              <w:t>Fort pour caractéristiques du fonds; événement juridique à recouper si possible.</w:t>
            </w:r>
          </w:p>
        </w:tc>
      </w:tr>
      <w:tr>
        <w:trPr>
          <w:cantSplit/>
        </w:trPr>
        <w:tc>
          <w:tcPr>
            <w:tcW w:type="dxa" w:w="850"/>
            <w:vAlign w:val="top"/>
          </w:tcPr>
          <w:p>
            <w:r/>
            <w:r>
              <w:rPr>
                <w:b w:val="0"/>
                <w:sz w:val="15"/>
              </w:rPr>
              <w:t>T3</w:t>
            </w:r>
          </w:p>
        </w:tc>
        <w:tc>
          <w:tcPr>
            <w:tcW w:type="dxa" w:w="2268"/>
            <w:vAlign w:val="top"/>
          </w:tcPr>
          <w:p>
            <w:r/>
            <w:r>
              <w:rPr>
                <w:b w:val="0"/>
                <w:sz w:val="15"/>
              </w:rPr>
              <w:t>Autre infrastructure officielle</w:t>
            </w:r>
          </w:p>
        </w:tc>
        <w:tc>
          <w:tcPr>
            <w:tcW w:type="dxa" w:w="3969"/>
            <w:vAlign w:val="top"/>
          </w:tcPr>
          <w:p>
            <w:r/>
            <w:r>
              <w:rPr>
                <w:b w:val="0"/>
                <w:sz w:val="15"/>
              </w:rPr>
              <w:t>NGX, FMDQ, CBN, DMO, CAC, NBS, CSCS LEI.</w:t>
            </w:r>
          </w:p>
        </w:tc>
        <w:tc>
          <w:tcPr>
            <w:tcW w:type="dxa" w:w="3969"/>
            <w:vAlign w:val="top"/>
          </w:tcPr>
          <w:p>
            <w:r/>
            <w:r>
              <w:rPr>
                <w:b w:val="0"/>
                <w:sz w:val="15"/>
              </w:rPr>
              <w:t>Fort pour prix de marché, taux, identité légale ou données macro selon le domaine.</w:t>
            </w:r>
          </w:p>
        </w:tc>
      </w:tr>
      <w:tr>
        <w:trPr>
          <w:cantSplit/>
        </w:trPr>
        <w:tc>
          <w:tcPr>
            <w:tcW w:type="dxa" w:w="850"/>
            <w:vAlign w:val="top"/>
          </w:tcPr>
          <w:p>
            <w:r/>
            <w:r>
              <w:rPr>
                <w:b w:val="0"/>
                <w:sz w:val="15"/>
              </w:rPr>
              <w:t>T4</w:t>
            </w:r>
          </w:p>
        </w:tc>
        <w:tc>
          <w:tcPr>
            <w:tcW w:type="dxa" w:w="2268"/>
            <w:vAlign w:val="top"/>
          </w:tcPr>
          <w:p>
            <w:r/>
            <w:r>
              <w:rPr>
                <w:b w:val="0"/>
                <w:sz w:val="15"/>
              </w:rPr>
              <w:t>Archive authentifiée</w:t>
            </w:r>
          </w:p>
        </w:tc>
        <w:tc>
          <w:tcPr>
            <w:tcW w:type="dxa" w:w="3969"/>
            <w:vAlign w:val="top"/>
          </w:tcPr>
          <w:p>
            <w:r/>
            <w:r>
              <w:rPr>
                <w:b w:val="0"/>
                <w:sz w:val="15"/>
              </w:rPr>
              <w:t>Wayback, copie locale hashée, archive presse du gestionnaire.</w:t>
            </w:r>
          </w:p>
        </w:tc>
        <w:tc>
          <w:tcPr>
            <w:tcW w:type="dxa" w:w="3969"/>
            <w:vAlign w:val="top"/>
          </w:tcPr>
          <w:p>
            <w:r/>
            <w:r>
              <w:rPr>
                <w:b w:val="0"/>
                <w:sz w:val="15"/>
              </w:rPr>
              <w:t>Utile pour l’historique; contrôler date de capture et intégrité.</w:t>
            </w:r>
          </w:p>
        </w:tc>
      </w:tr>
      <w:tr>
        <w:trPr>
          <w:cantSplit/>
        </w:trPr>
        <w:tc>
          <w:tcPr>
            <w:tcW w:type="dxa" w:w="850"/>
            <w:vAlign w:val="top"/>
          </w:tcPr>
          <w:p>
            <w:r/>
            <w:r>
              <w:rPr>
                <w:b w:val="0"/>
                <w:sz w:val="15"/>
              </w:rPr>
              <w:t>T5</w:t>
            </w:r>
          </w:p>
        </w:tc>
        <w:tc>
          <w:tcPr>
            <w:tcW w:type="dxa" w:w="2268"/>
            <w:vAlign w:val="top"/>
          </w:tcPr>
          <w:p>
            <w:r/>
            <w:r>
              <w:rPr>
                <w:b w:val="0"/>
                <w:sz w:val="15"/>
              </w:rPr>
              <w:t>Presse financière et sources secondaires</w:t>
            </w:r>
          </w:p>
        </w:tc>
        <w:tc>
          <w:tcPr>
            <w:tcW w:type="dxa" w:w="3969"/>
            <w:vAlign w:val="top"/>
          </w:tcPr>
          <w:p>
            <w:r/>
            <w:r>
              <w:rPr>
                <w:b w:val="0"/>
                <w:sz w:val="15"/>
              </w:rPr>
              <w:t>BusinessDay, Nairametrics, ThisDay, Guardian Nigeria, communiqués repris.</w:t>
            </w:r>
          </w:p>
        </w:tc>
        <w:tc>
          <w:tcPr>
            <w:tcW w:type="dxa" w:w="3969"/>
            <w:vAlign w:val="top"/>
          </w:tcPr>
          <w:p>
            <w:r/>
            <w:r>
              <w:rPr>
                <w:b w:val="0"/>
                <w:sz w:val="15"/>
              </w:rPr>
              <w:t>Découverte et confirmation secondaire; ne suffit pas seule pour une fusion/liquidation.</w:t>
            </w:r>
          </w:p>
        </w:tc>
      </w:tr>
      <w:tr>
        <w:trPr>
          <w:cantSplit/>
        </w:trPr>
        <w:tc>
          <w:tcPr>
            <w:tcW w:type="dxa" w:w="850"/>
            <w:vAlign w:val="top"/>
          </w:tcPr>
          <w:p>
            <w:r/>
            <w:r>
              <w:rPr>
                <w:b w:val="0"/>
                <w:sz w:val="15"/>
              </w:rPr>
              <w:t>T6</w:t>
            </w:r>
          </w:p>
        </w:tc>
        <w:tc>
          <w:tcPr>
            <w:tcW w:type="dxa" w:w="2268"/>
            <w:vAlign w:val="top"/>
          </w:tcPr>
          <w:p>
            <w:r/>
            <w:r>
              <w:rPr>
                <w:b w:val="0"/>
                <w:sz w:val="15"/>
              </w:rPr>
              <w:t>Agrégateur ou résultat de recherche</w:t>
            </w:r>
          </w:p>
        </w:tc>
        <w:tc>
          <w:tcPr>
            <w:tcW w:type="dxa" w:w="3969"/>
            <w:vAlign w:val="top"/>
          </w:tcPr>
          <w:p>
            <w:r/>
            <w:r>
              <w:rPr>
                <w:b w:val="0"/>
                <w:sz w:val="15"/>
              </w:rPr>
              <w:t>Snippet Google, annuaire, application distributrice.</w:t>
            </w:r>
          </w:p>
        </w:tc>
        <w:tc>
          <w:tcPr>
            <w:tcW w:type="dxa" w:w="3969"/>
            <w:vAlign w:val="top"/>
          </w:tcPr>
          <w:p>
            <w:r/>
            <w:r>
              <w:rPr>
                <w:b w:val="0"/>
                <w:sz w:val="15"/>
              </w:rPr>
              <w:t>Piste uniquement; remonter au document primaire.</w:t>
            </w:r>
          </w:p>
        </w:tc>
      </w:tr>
    </w:tbl>
    <w:p/>
    <w:p>
      <w:pPr>
        <w:pStyle w:val="Heading2"/>
      </w:pPr>
      <w:r>
        <w:t>21. Règle de preuve par type de champ</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vAlign w:val="top"/>
            <w:shd w:fill="1F4E78"/>
          </w:tcPr>
          <w:p>
            <w:r>
              <w:rPr>
                <w:color w:val="FFFFFF"/>
              </w:rPr>
            </w:r>
            <w:r>
              <w:rPr>
                <w:b/>
                <w:color w:val="FFFFFF"/>
                <w:sz w:val="16"/>
              </w:rPr>
              <w:t>Champ</w:t>
            </w:r>
          </w:p>
        </w:tc>
        <w:tc>
          <w:tcPr>
            <w:tcW w:type="dxa" w:w="4535"/>
            <w:vAlign w:val="top"/>
            <w:shd w:fill="1F4E78"/>
          </w:tcPr>
          <w:p>
            <w:r>
              <w:rPr>
                <w:color w:val="FFFFFF"/>
              </w:rPr>
            </w:r>
            <w:r>
              <w:rPr>
                <w:b/>
                <w:color w:val="FFFFFF"/>
                <w:sz w:val="16"/>
              </w:rPr>
              <w:t>Preuve minimale</w:t>
            </w:r>
          </w:p>
        </w:tc>
        <w:tc>
          <w:tcPr>
            <w:tcW w:type="dxa" w:w="4535"/>
            <w:vAlign w:val="top"/>
            <w:shd w:fill="1F4E78"/>
          </w:tcPr>
          <w:p>
            <w:r>
              <w:rPr>
                <w:color w:val="FFFFFF"/>
              </w:rPr>
            </w:r>
            <w:r>
              <w:rPr>
                <w:b/>
                <w:color w:val="FFFFFF"/>
                <w:sz w:val="16"/>
              </w:rPr>
              <w:t>Règle de prudence</w:t>
            </w:r>
          </w:p>
        </w:tc>
      </w:tr>
      <w:tr>
        <w:trPr>
          <w:cantSplit/>
        </w:trPr>
        <w:tc>
          <w:tcPr>
            <w:tcW w:type="dxa" w:w="2268"/>
            <w:vAlign w:val="top"/>
          </w:tcPr>
          <w:p>
            <w:r/>
            <w:r>
              <w:rPr>
                <w:b w:val="0"/>
                <w:sz w:val="16"/>
              </w:rPr>
              <w:t>Date de lancement exacte</w:t>
            </w:r>
          </w:p>
        </w:tc>
        <w:tc>
          <w:tcPr>
            <w:tcW w:type="dxa" w:w="4535"/>
            <w:vAlign w:val="top"/>
          </w:tcPr>
          <w:p>
            <w:r/>
            <w:r>
              <w:rPr>
                <w:b w:val="0"/>
                <w:sz w:val="16"/>
              </w:rPr>
              <w:t>Prospectus initial, rapport annuel audité ou annonce officielle datée.</w:t>
            </w:r>
          </w:p>
        </w:tc>
        <w:tc>
          <w:tcPr>
            <w:tcW w:type="dxa" w:w="4535"/>
            <w:vAlign w:val="top"/>
          </w:tcPr>
          <w:p>
            <w:r/>
            <w:r>
              <w:rPr>
                <w:b w:val="0"/>
                <w:sz w:val="16"/>
              </w:rPr>
              <w:t>Une année seule ne devient jamais une date complète.</w:t>
            </w:r>
          </w:p>
        </w:tc>
      </w:tr>
      <w:tr>
        <w:trPr>
          <w:cantSplit/>
        </w:trPr>
        <w:tc>
          <w:tcPr>
            <w:tcW w:type="dxa" w:w="2268"/>
            <w:vAlign w:val="top"/>
          </w:tcPr>
          <w:p>
            <w:r/>
            <w:r>
              <w:rPr>
                <w:b w:val="0"/>
                <w:sz w:val="16"/>
              </w:rPr>
              <w:t>VL/prix initial</w:t>
            </w:r>
          </w:p>
        </w:tc>
        <w:tc>
          <w:tcPr>
            <w:tcW w:type="dxa" w:w="4535"/>
            <w:vAlign w:val="top"/>
          </w:tcPr>
          <w:p>
            <w:r/>
            <w:r>
              <w:rPr>
                <w:b w:val="0"/>
                <w:sz w:val="16"/>
              </w:rPr>
              <w:t>Prospectus/offer document avec devise et unité.</w:t>
            </w:r>
          </w:p>
        </w:tc>
        <w:tc>
          <w:tcPr>
            <w:tcW w:type="dxa" w:w="4535"/>
            <w:vAlign w:val="top"/>
          </w:tcPr>
          <w:p>
            <w:r/>
            <w:r>
              <w:rPr>
                <w:b w:val="0"/>
                <w:sz w:val="16"/>
              </w:rPr>
              <w:t>Ne pas confondre prix initial par part et actif net total.</w:t>
            </w:r>
          </w:p>
        </w:tc>
      </w:tr>
      <w:tr>
        <w:trPr>
          <w:cantSplit/>
        </w:trPr>
        <w:tc>
          <w:tcPr>
            <w:tcW w:type="dxa" w:w="2268"/>
            <w:vAlign w:val="top"/>
          </w:tcPr>
          <w:p>
            <w:r/>
            <w:r>
              <w:rPr>
                <w:b w:val="0"/>
                <w:sz w:val="16"/>
              </w:rPr>
              <w:t>Nom légal</w:t>
            </w:r>
          </w:p>
        </w:tc>
        <w:tc>
          <w:tcPr>
            <w:tcW w:type="dxa" w:w="4535"/>
            <w:vAlign w:val="top"/>
          </w:tcPr>
          <w:p>
            <w:r/>
            <w:r>
              <w:rPr>
                <w:b w:val="0"/>
                <w:sz w:val="16"/>
              </w:rPr>
              <w:t>Prospectus, trust deed, SEC, CAC.</w:t>
            </w:r>
          </w:p>
        </w:tc>
        <w:tc>
          <w:tcPr>
            <w:tcW w:type="dxa" w:w="4535"/>
            <w:vAlign w:val="top"/>
          </w:tcPr>
          <w:p>
            <w:r/>
            <w:r>
              <w:rPr>
                <w:b w:val="0"/>
                <w:sz w:val="16"/>
              </w:rPr>
              <w:t>Conserver le nom commercial séparément.</w:t>
            </w:r>
          </w:p>
        </w:tc>
      </w:tr>
      <w:tr>
        <w:trPr>
          <w:cantSplit/>
        </w:trPr>
        <w:tc>
          <w:tcPr>
            <w:tcW w:type="dxa" w:w="2268"/>
            <w:vAlign w:val="top"/>
          </w:tcPr>
          <w:p>
            <w:r/>
            <w:r>
              <w:rPr>
                <w:b w:val="0"/>
                <w:sz w:val="16"/>
              </w:rPr>
              <w:t>Gestionnaire actuel</w:t>
            </w:r>
          </w:p>
        </w:tc>
        <w:tc>
          <w:tcPr>
            <w:tcW w:type="dxa" w:w="4535"/>
            <w:vAlign w:val="top"/>
          </w:tcPr>
          <w:p>
            <w:r/>
            <w:r>
              <w:rPr>
                <w:b w:val="0"/>
                <w:sz w:val="16"/>
              </w:rPr>
              <w:t>Registre SEC + document récent du fonds.</w:t>
            </w:r>
          </w:p>
        </w:tc>
        <w:tc>
          <w:tcPr>
            <w:tcW w:type="dxa" w:w="4535"/>
            <w:vAlign w:val="top"/>
          </w:tcPr>
          <w:p>
            <w:r/>
            <w:r>
              <w:rPr>
                <w:b w:val="0"/>
                <w:sz w:val="16"/>
              </w:rPr>
              <w:t>La page commerciale seule est insuffisante si le registre indique un statut différent.</w:t>
            </w:r>
          </w:p>
        </w:tc>
      </w:tr>
      <w:tr>
        <w:trPr>
          <w:cantSplit/>
        </w:trPr>
        <w:tc>
          <w:tcPr>
            <w:tcW w:type="dxa" w:w="2268"/>
            <w:vAlign w:val="top"/>
          </w:tcPr>
          <w:p>
            <w:r/>
            <w:r>
              <w:rPr>
                <w:b w:val="0"/>
                <w:sz w:val="16"/>
              </w:rPr>
              <w:t>Changement de gestionnaire</w:t>
            </w:r>
          </w:p>
        </w:tc>
        <w:tc>
          <w:tcPr>
            <w:tcW w:type="dxa" w:w="4535"/>
            <w:vAlign w:val="top"/>
          </w:tcPr>
          <w:p>
            <w:r/>
            <w:r>
              <w:rPr>
                <w:b w:val="0"/>
                <w:sz w:val="16"/>
              </w:rPr>
              <w:t>Supplemental prospectus, circular, annual report, notice SEC.</w:t>
            </w:r>
          </w:p>
        </w:tc>
        <w:tc>
          <w:tcPr>
            <w:tcW w:type="dxa" w:w="4535"/>
            <w:vAlign w:val="top"/>
          </w:tcPr>
          <w:p>
            <w:r/>
            <w:r>
              <w:rPr>
                <w:b w:val="0"/>
                <w:sz w:val="16"/>
              </w:rPr>
              <w:t>Exiger une date d’effet et les entités avant/après.</w:t>
            </w:r>
          </w:p>
        </w:tc>
      </w:tr>
      <w:tr>
        <w:trPr>
          <w:cantSplit/>
        </w:trPr>
        <w:tc>
          <w:tcPr>
            <w:tcW w:type="dxa" w:w="2268"/>
            <w:vAlign w:val="top"/>
          </w:tcPr>
          <w:p>
            <w:r/>
            <w:r>
              <w:rPr>
                <w:b w:val="0"/>
                <w:sz w:val="16"/>
              </w:rPr>
              <w:t>Fusion/absorption</w:t>
            </w:r>
          </w:p>
        </w:tc>
        <w:tc>
          <w:tcPr>
            <w:tcW w:type="dxa" w:w="4535"/>
            <w:vAlign w:val="top"/>
          </w:tcPr>
          <w:p>
            <w:r/>
            <w:r>
              <w:rPr>
                <w:b w:val="0"/>
                <w:sz w:val="16"/>
              </w:rPr>
              <w:t>Scheme document, notice SEC/court, rapport audité.</w:t>
            </w:r>
          </w:p>
        </w:tc>
        <w:tc>
          <w:tcPr>
            <w:tcW w:type="dxa" w:w="4535"/>
            <w:vAlign w:val="top"/>
          </w:tcPr>
          <w:p>
            <w:r/>
            <w:r>
              <w:rPr>
                <w:b w:val="0"/>
                <w:sz w:val="16"/>
              </w:rPr>
              <w:t>Une disparition des NAV ne prouve pas une fusion.</w:t>
            </w:r>
          </w:p>
        </w:tc>
      </w:tr>
      <w:tr>
        <w:trPr>
          <w:cantSplit/>
        </w:trPr>
        <w:tc>
          <w:tcPr>
            <w:tcW w:type="dxa" w:w="2268"/>
            <w:vAlign w:val="top"/>
          </w:tcPr>
          <w:p>
            <w:r/>
            <w:r>
              <w:rPr>
                <w:b w:val="0"/>
                <w:sz w:val="16"/>
              </w:rPr>
              <w:t>Liquidation/clôture</w:t>
            </w:r>
          </w:p>
        </w:tc>
        <w:tc>
          <w:tcPr>
            <w:tcW w:type="dxa" w:w="4535"/>
            <w:vAlign w:val="top"/>
          </w:tcPr>
          <w:p>
            <w:r/>
            <w:r>
              <w:rPr>
                <w:b w:val="0"/>
                <w:sz w:val="16"/>
              </w:rPr>
              <w:t>Avis officiel de winding-up/termination, rapport final.</w:t>
            </w:r>
          </w:p>
        </w:tc>
        <w:tc>
          <w:tcPr>
            <w:tcW w:type="dxa" w:w="4535"/>
            <w:vAlign w:val="top"/>
          </w:tcPr>
          <w:p>
            <w:r/>
            <w:r>
              <w:rPr>
                <w:b w:val="0"/>
                <w:sz w:val="16"/>
              </w:rPr>
              <w:t>Distinguer fermeture aux souscriptions et liquidation juridique.</w:t>
            </w:r>
          </w:p>
        </w:tc>
      </w:tr>
      <w:tr>
        <w:trPr>
          <w:cantSplit/>
        </w:trPr>
        <w:tc>
          <w:tcPr>
            <w:tcW w:type="dxa" w:w="2268"/>
            <w:vAlign w:val="top"/>
          </w:tcPr>
          <w:p>
            <w:r/>
            <w:r>
              <w:rPr>
                <w:b w:val="0"/>
                <w:sz w:val="16"/>
              </w:rPr>
              <w:t>Benchmark</w:t>
            </w:r>
          </w:p>
        </w:tc>
        <w:tc>
          <w:tcPr>
            <w:tcW w:type="dxa" w:w="4535"/>
            <w:vAlign w:val="top"/>
          </w:tcPr>
          <w:p>
            <w:r/>
            <w:r>
              <w:rPr>
                <w:b w:val="0"/>
                <w:sz w:val="16"/>
              </w:rPr>
              <w:t>Prospectus/factsheet applicable à la période.</w:t>
            </w:r>
          </w:p>
        </w:tc>
        <w:tc>
          <w:tcPr>
            <w:tcW w:type="dxa" w:w="4535"/>
            <w:vAlign w:val="top"/>
          </w:tcPr>
          <w:p>
            <w:r/>
            <w:r>
              <w:rPr>
                <w:b w:val="0"/>
                <w:sz w:val="16"/>
              </w:rPr>
              <w:t>Historiser chaque changement; ne pas appliquer le benchmark actuel au passé.</w:t>
            </w:r>
          </w:p>
        </w:tc>
      </w:tr>
      <w:tr>
        <w:trPr>
          <w:cantSplit/>
        </w:trPr>
        <w:tc>
          <w:tcPr>
            <w:tcW w:type="dxa" w:w="2268"/>
            <w:vAlign w:val="top"/>
          </w:tcPr>
          <w:p>
            <w:r/>
            <w:r>
              <w:rPr>
                <w:b w:val="0"/>
                <w:sz w:val="16"/>
              </w:rPr>
              <w:t>NAV/Unit Price/Bid/Offer</w:t>
            </w:r>
          </w:p>
        </w:tc>
        <w:tc>
          <w:tcPr>
            <w:tcW w:type="dxa" w:w="4535"/>
            <w:vAlign w:val="top"/>
          </w:tcPr>
          <w:p>
            <w:r/>
            <w:r>
              <w:rPr>
                <w:b w:val="0"/>
                <w:sz w:val="16"/>
              </w:rPr>
              <w:t>Fichier SEC ou document officiel daté.</w:t>
            </w:r>
          </w:p>
        </w:tc>
        <w:tc>
          <w:tcPr>
            <w:tcW w:type="dxa" w:w="4535"/>
            <w:vAlign w:val="top"/>
          </w:tcPr>
          <w:p>
            <w:r/>
            <w:r>
              <w:rPr>
                <w:b w:val="0"/>
                <w:sz w:val="16"/>
              </w:rPr>
              <w:t>Conserver la mesure source exacte, la devise et la date.</w:t>
            </w:r>
          </w:p>
        </w:tc>
      </w:tr>
      <w:tr>
        <w:trPr>
          <w:cantSplit/>
        </w:trPr>
        <w:tc>
          <w:tcPr>
            <w:tcW w:type="dxa" w:w="2268"/>
            <w:vAlign w:val="top"/>
          </w:tcPr>
          <w:p>
            <w:r/>
            <w:r>
              <w:rPr>
                <w:b w:val="0"/>
                <w:sz w:val="16"/>
              </w:rPr>
              <w:t>Dividende/distribution</w:t>
            </w:r>
          </w:p>
        </w:tc>
        <w:tc>
          <w:tcPr>
            <w:tcW w:type="dxa" w:w="4535"/>
            <w:vAlign w:val="top"/>
          </w:tcPr>
          <w:p>
            <w:r/>
            <w:r>
              <w:rPr>
                <w:b w:val="0"/>
                <w:sz w:val="16"/>
              </w:rPr>
              <w:t>Rapport audité, notice de distribution, factsheet officielle.</w:t>
            </w:r>
          </w:p>
        </w:tc>
        <w:tc>
          <w:tcPr>
            <w:tcW w:type="dxa" w:w="4535"/>
            <w:vAlign w:val="top"/>
          </w:tcPr>
          <w:p>
            <w:r/>
            <w:r>
              <w:rPr>
                <w:b w:val="0"/>
                <w:sz w:val="16"/>
              </w:rPr>
              <w:t>Distinguer ex-date, record date et payment date.</w:t>
            </w:r>
          </w:p>
        </w:tc>
      </w:tr>
      <w:tr>
        <w:trPr>
          <w:cantSplit/>
        </w:trPr>
        <w:tc>
          <w:tcPr>
            <w:tcW w:type="dxa" w:w="2268"/>
            <w:vAlign w:val="top"/>
          </w:tcPr>
          <w:p>
            <w:r/>
            <w:r>
              <w:rPr>
                <w:b w:val="0"/>
                <w:sz w:val="16"/>
              </w:rPr>
              <w:t>Catégorie d’actifs</w:t>
            </w:r>
          </w:p>
        </w:tc>
        <w:tc>
          <w:tcPr>
            <w:tcW w:type="dxa" w:w="4535"/>
            <w:vAlign w:val="top"/>
          </w:tcPr>
          <w:p>
            <w:r/>
            <w:r>
              <w:rPr>
                <w:b w:val="0"/>
                <w:sz w:val="16"/>
              </w:rPr>
              <w:t>Prospectus/objectifs + allocation.</w:t>
            </w:r>
          </w:p>
        </w:tc>
        <w:tc>
          <w:tcPr>
            <w:tcW w:type="dxa" w:w="4535"/>
            <w:vAlign w:val="top"/>
          </w:tcPr>
          <w:p>
            <w:r/>
            <w:r>
              <w:rPr>
                <w:b w:val="0"/>
                <w:sz w:val="16"/>
              </w:rPr>
              <w:t>Le nom du fonds ne suffit pas.</w:t>
            </w:r>
          </w:p>
        </w:tc>
      </w:tr>
      <w:tr>
        <w:trPr>
          <w:cantSplit/>
        </w:trPr>
        <w:tc>
          <w:tcPr>
            <w:tcW w:type="dxa" w:w="2268"/>
            <w:vAlign w:val="top"/>
          </w:tcPr>
          <w:p>
            <w:r/>
            <w:r>
              <w:rPr>
                <w:b w:val="0"/>
                <w:sz w:val="16"/>
              </w:rPr>
              <w:t>Statut opérateur</w:t>
            </w:r>
          </w:p>
        </w:tc>
        <w:tc>
          <w:tcPr>
            <w:tcW w:type="dxa" w:w="4535"/>
            <w:vAlign w:val="top"/>
          </w:tcPr>
          <w:p>
            <w:r/>
            <w:r>
              <w:rPr>
                <w:b w:val="0"/>
                <w:sz w:val="16"/>
              </w:rPr>
              <w:t>Registre SEC capturé à date.</w:t>
            </w:r>
          </w:p>
        </w:tc>
        <w:tc>
          <w:tcPr>
            <w:tcW w:type="dxa" w:w="4535"/>
            <w:vAlign w:val="top"/>
          </w:tcPr>
          <w:p>
            <w:r/>
            <w:r>
              <w:rPr>
                <w:b w:val="0"/>
                <w:sz w:val="16"/>
              </w:rPr>
              <w:t>Conserver l’historique des snapshots; ne pas écraser un statut ancien.</w:t>
            </w:r>
          </w:p>
        </w:tc>
      </w:tr>
    </w:tbl>
    <w:p/>
    <w:p>
      <w:pPr>
        <w:sectPr>
          <w:pgSz w:w="12240" w:h="15840"/>
          <w:pgMar w:top="1020" w:right="1020" w:bottom="1020" w:left="1020" w:header="397" w:footer="397" w:gutter="0"/>
          <w:cols w:space="720"/>
          <w:docGrid w:linePitch="360"/>
        </w:sectPr>
      </w:pPr>
    </w:p>
    <w:p>
      <w:pPr>
        <w:pStyle w:val="Heading1"/>
      </w:pPr>
      <w:r>
        <w:t>PARTIE XVIII — REGISTRE ÉTENDU DES URL OFFICIELLES ET DOCUMENTAIRES</w:t>
      </w:r>
    </w:p>
    <w:p>
      <w:r>
        <w:t>Les liens ci-dessous sont cliquables. Le registre doit être importé dans une table source_registry et contrôlé automatiquement. Une URL est un point d’entrée, pas une preuve éternelle : l’agent doit suivre les redirections, détecter les changements de structure et archiver les pièces téléchargées.</w:t>
      </w:r>
    </w:p>
    <w:tbl>
      <w:tblPr>
        <w:tblStyle w:val="TableGrid"/>
        <w:tblW w:type="auto" w:w="0"/>
        <w:jc w:val="center"/>
        <w:tblLook w:firstColumn="1" w:firstRow="1" w:lastColumn="0" w:lastRow="0" w:noHBand="0" w:noVBand="1" w:val="04A0"/>
      </w:tblPr>
      <w:tblGrid>
        <w:gridCol w:w="2394"/>
        <w:gridCol w:w="2394"/>
        <w:gridCol w:w="2394"/>
        <w:gridCol w:w="2394"/>
        <w:gridCol w:w="2394"/>
        <w:gridCol w:w="2394"/>
      </w:tblGrid>
      <w:tr>
        <w:trPr>
          <w:tblHeader w:val="true"/>
        </w:trPr>
        <w:tc>
          <w:tcPr>
            <w:tcW w:type="dxa" w:w="1247"/>
            <w:vAlign w:val="top"/>
            <w:shd w:fill="1F4E78"/>
          </w:tcPr>
          <w:p>
            <w:r>
              <w:rPr>
                <w:color w:val="FFFFFF"/>
              </w:rPr>
            </w:r>
            <w:r>
              <w:rPr>
                <w:b/>
                <w:color w:val="FFFFFF"/>
                <w:sz w:val="13"/>
              </w:rPr>
              <w:t>Code</w:t>
            </w:r>
          </w:p>
        </w:tc>
        <w:tc>
          <w:tcPr>
            <w:tcW w:type="dxa" w:w="2324"/>
            <w:vAlign w:val="top"/>
            <w:shd w:fill="1F4E78"/>
          </w:tcPr>
          <w:p>
            <w:r>
              <w:rPr>
                <w:color w:val="FFFFFF"/>
              </w:rPr>
            </w:r>
            <w:r>
              <w:rPr>
                <w:b/>
                <w:color w:val="FFFFFF"/>
                <w:sz w:val="13"/>
              </w:rPr>
              <w:t>Institution</w:t>
            </w:r>
          </w:p>
        </w:tc>
        <w:tc>
          <w:tcPr>
            <w:tcW w:type="dxa" w:w="4819"/>
            <w:vAlign w:val="top"/>
            <w:shd w:fill="1F4E78"/>
          </w:tcPr>
          <w:p>
            <w:r>
              <w:rPr>
                <w:color w:val="FFFFFF"/>
              </w:rPr>
            </w:r>
            <w:r>
              <w:rPr>
                <w:b/>
                <w:color w:val="FFFFFF"/>
                <w:sz w:val="13"/>
              </w:rPr>
              <w:t>Lien</w:t>
            </w:r>
          </w:p>
        </w:tc>
        <w:tc>
          <w:tcPr>
            <w:tcW w:type="dxa" w:w="3969"/>
            <w:vAlign w:val="top"/>
            <w:shd w:fill="1F4E78"/>
          </w:tcPr>
          <w:p>
            <w:r>
              <w:rPr>
                <w:color w:val="FFFFFF"/>
              </w:rPr>
            </w:r>
            <w:r>
              <w:rPr>
                <w:b/>
                <w:color w:val="FFFFFF"/>
                <w:sz w:val="13"/>
              </w:rPr>
              <w:t>Périmètre</w:t>
            </w:r>
          </w:p>
        </w:tc>
        <w:tc>
          <w:tcPr>
            <w:tcW w:type="dxa" w:w="1701"/>
            <w:vAlign w:val="top"/>
            <w:shd w:fill="1F4E78"/>
          </w:tcPr>
          <w:p>
            <w:r>
              <w:rPr>
                <w:color w:val="FFFFFF"/>
              </w:rPr>
            </w:r>
            <w:r>
              <w:rPr>
                <w:b/>
                <w:color w:val="FFFFFF"/>
                <w:sz w:val="13"/>
              </w:rPr>
              <w:t>Cadence</w:t>
            </w:r>
          </w:p>
        </w:tc>
        <w:tc>
          <w:tcPr>
            <w:tcW w:type="dxa" w:w="964"/>
            <w:vAlign w:val="top"/>
            <w:shd w:fill="1F4E78"/>
          </w:tcPr>
          <w:p>
            <w:r>
              <w:rPr>
                <w:color w:val="FFFFFF"/>
              </w:rPr>
            </w:r>
            <w:r>
              <w:rPr>
                <w:b/>
                <w:color w:val="FFFFFF"/>
                <w:sz w:val="13"/>
              </w:rPr>
              <w:t>Niveau</w:t>
            </w:r>
          </w:p>
        </w:tc>
      </w:tr>
      <w:tr>
        <w:trPr>
          <w:cantSplit/>
        </w:trPr>
        <w:tc>
          <w:tcPr>
            <w:tcW w:type="dxa" w:w="1247"/>
            <w:vAlign w:val="top"/>
          </w:tcPr>
          <w:p>
            <w:r/>
            <w:r>
              <w:rPr>
                <w:b w:val="0"/>
                <w:sz w:val="13"/>
              </w:rPr>
              <w:t>SEC-000</w:t>
            </w:r>
          </w:p>
        </w:tc>
        <w:tc>
          <w:tcPr>
            <w:tcW w:type="dxa" w:w="2324"/>
            <w:vAlign w:val="top"/>
          </w:tcPr>
          <w:p>
            <w:r/>
            <w:r>
              <w:rPr>
                <w:b w:val="0"/>
                <w:sz w:val="13"/>
              </w:rPr>
              <w:t>SEC Nigeria</w:t>
            </w:r>
          </w:p>
        </w:tc>
        <w:tc>
          <w:tcPr>
            <w:tcW w:type="dxa" w:w="4819"/>
            <w:vAlign w:val="top"/>
          </w:tcPr>
          <w:p>
            <w:r>
              <w:rPr>
                <w:sz w:val="13"/>
              </w:rPr>
            </w:r>
            <w:hyperlink r:id="rId11">
              <w:r>
                <w:rPr>
                  <w:color w:val="0563C1"/>
                  <w:u w:val="single"/>
                </w:rPr>
                <w:t xml:space="preserve">Accueil</w:t>
              </w:r>
            </w:hyperlink>
          </w:p>
        </w:tc>
        <w:tc>
          <w:tcPr>
            <w:tcW w:type="dxa" w:w="3969"/>
            <w:vAlign w:val="top"/>
          </w:tcPr>
          <w:p>
            <w:r/>
            <w:r>
              <w:rPr>
                <w:b w:val="0"/>
                <w:sz w:val="13"/>
              </w:rPr>
              <w:t>Portail officiel</w:t>
            </w:r>
          </w:p>
        </w:tc>
        <w:tc>
          <w:tcPr>
            <w:tcW w:type="dxa" w:w="1701"/>
            <w:vAlign w:val="top"/>
          </w:tcPr>
          <w:p>
            <w:r/>
            <w:r>
              <w:rPr>
                <w:b w:val="0"/>
                <w:sz w:val="13"/>
              </w:rPr>
              <w:t>Quotidien</w:t>
            </w:r>
          </w:p>
        </w:tc>
        <w:tc>
          <w:tcPr>
            <w:tcW w:type="dxa" w:w="964"/>
            <w:vAlign w:val="top"/>
          </w:tcPr>
          <w:p>
            <w:r/>
            <w:r>
              <w:rPr>
                <w:b w:val="0"/>
                <w:sz w:val="13"/>
              </w:rPr>
              <w:t>T1</w:t>
            </w:r>
          </w:p>
        </w:tc>
      </w:tr>
      <w:tr>
        <w:trPr>
          <w:cantSplit/>
        </w:trPr>
        <w:tc>
          <w:tcPr>
            <w:tcW w:type="dxa" w:w="1247"/>
            <w:vAlign w:val="top"/>
          </w:tcPr>
          <w:p>
            <w:r/>
            <w:r>
              <w:rPr>
                <w:b w:val="0"/>
                <w:sz w:val="13"/>
              </w:rPr>
              <w:t>SEC-001</w:t>
            </w:r>
          </w:p>
        </w:tc>
        <w:tc>
          <w:tcPr>
            <w:tcW w:type="dxa" w:w="2324"/>
            <w:vAlign w:val="top"/>
          </w:tcPr>
          <w:p>
            <w:r/>
            <w:r>
              <w:rPr>
                <w:b w:val="0"/>
                <w:sz w:val="13"/>
              </w:rPr>
              <w:t>SEC Nigeria</w:t>
            </w:r>
          </w:p>
        </w:tc>
        <w:tc>
          <w:tcPr>
            <w:tcW w:type="dxa" w:w="4819"/>
            <w:vAlign w:val="top"/>
          </w:tcPr>
          <w:p>
            <w:r>
              <w:rPr>
                <w:sz w:val="13"/>
              </w:rPr>
            </w:r>
            <w:hyperlink r:id="rId12">
              <w:r>
                <w:rPr>
                  <w:color w:val="0563C1"/>
                  <w:u w:val="single"/>
                </w:rPr>
                <w:t xml:space="preserve">Sitemap</w:t>
              </w:r>
            </w:hyperlink>
          </w:p>
        </w:tc>
        <w:tc>
          <w:tcPr>
            <w:tcW w:type="dxa" w:w="3969"/>
            <w:vAlign w:val="top"/>
          </w:tcPr>
          <w:p>
            <w:r/>
            <w:r>
              <w:rPr>
                <w:b w:val="0"/>
                <w:sz w:val="13"/>
              </w:rPr>
              <w:t>Découverte des routes et archives</w:t>
            </w:r>
          </w:p>
        </w:tc>
        <w:tc>
          <w:tcPr>
            <w:tcW w:type="dxa" w:w="1701"/>
            <w:vAlign w:val="top"/>
          </w:tcPr>
          <w:p>
            <w:r/>
            <w:r>
              <w:rPr>
                <w:b w:val="0"/>
                <w:sz w:val="13"/>
              </w:rPr>
              <w:t>Hebdomadaire</w:t>
            </w:r>
          </w:p>
        </w:tc>
        <w:tc>
          <w:tcPr>
            <w:tcW w:type="dxa" w:w="964"/>
            <w:vAlign w:val="top"/>
          </w:tcPr>
          <w:p>
            <w:r/>
            <w:r>
              <w:rPr>
                <w:b w:val="0"/>
                <w:sz w:val="13"/>
              </w:rPr>
              <w:t>T1</w:t>
            </w:r>
          </w:p>
        </w:tc>
      </w:tr>
      <w:tr>
        <w:trPr>
          <w:cantSplit/>
        </w:trPr>
        <w:tc>
          <w:tcPr>
            <w:tcW w:type="dxa" w:w="1247"/>
            <w:vAlign w:val="top"/>
          </w:tcPr>
          <w:p>
            <w:r/>
            <w:r>
              <w:rPr>
                <w:b w:val="0"/>
                <w:sz w:val="13"/>
              </w:rPr>
              <w:t>SEC-002</w:t>
            </w:r>
          </w:p>
        </w:tc>
        <w:tc>
          <w:tcPr>
            <w:tcW w:type="dxa" w:w="2324"/>
            <w:vAlign w:val="top"/>
          </w:tcPr>
          <w:p>
            <w:r/>
            <w:r>
              <w:rPr>
                <w:b w:val="0"/>
                <w:sz w:val="13"/>
              </w:rPr>
              <w:t>SEC Nigeria</w:t>
            </w:r>
          </w:p>
        </w:tc>
        <w:tc>
          <w:tcPr>
            <w:tcW w:type="dxa" w:w="4819"/>
            <w:vAlign w:val="top"/>
          </w:tcPr>
          <w:p>
            <w:r>
              <w:rPr>
                <w:sz w:val="13"/>
              </w:rPr>
            </w:r>
            <w:hyperlink r:id="rId13">
              <w:r>
                <w:rPr>
                  <w:color w:val="0563C1"/>
                  <w:u w:val="single"/>
                </w:rPr>
                <w:t xml:space="preserve">Capital Market Data</w:t>
              </w:r>
            </w:hyperlink>
          </w:p>
        </w:tc>
        <w:tc>
          <w:tcPr>
            <w:tcW w:type="dxa" w:w="3969"/>
            <w:vAlign w:val="top"/>
          </w:tcPr>
          <w:p>
            <w:r/>
            <w:r>
              <w:rPr>
                <w:b w:val="0"/>
                <w:sz w:val="13"/>
              </w:rPr>
              <w:t>Index des jeux de données</w:t>
            </w:r>
          </w:p>
        </w:tc>
        <w:tc>
          <w:tcPr>
            <w:tcW w:type="dxa" w:w="1701"/>
            <w:vAlign w:val="top"/>
          </w:tcPr>
          <w:p>
            <w:r/>
            <w:r>
              <w:rPr>
                <w:b w:val="0"/>
                <w:sz w:val="13"/>
              </w:rPr>
              <w:t>Hebdomadaire</w:t>
            </w:r>
          </w:p>
        </w:tc>
        <w:tc>
          <w:tcPr>
            <w:tcW w:type="dxa" w:w="964"/>
            <w:vAlign w:val="top"/>
          </w:tcPr>
          <w:p>
            <w:r/>
            <w:r>
              <w:rPr>
                <w:b w:val="0"/>
                <w:sz w:val="13"/>
              </w:rPr>
              <w:t>T1</w:t>
            </w:r>
          </w:p>
        </w:tc>
      </w:tr>
      <w:tr>
        <w:trPr>
          <w:cantSplit/>
        </w:trPr>
        <w:tc>
          <w:tcPr>
            <w:tcW w:type="dxa" w:w="1247"/>
            <w:vAlign w:val="top"/>
          </w:tcPr>
          <w:p>
            <w:r/>
            <w:r>
              <w:rPr>
                <w:b w:val="0"/>
                <w:sz w:val="13"/>
              </w:rPr>
              <w:t>SEC-003</w:t>
            </w:r>
          </w:p>
        </w:tc>
        <w:tc>
          <w:tcPr>
            <w:tcW w:type="dxa" w:w="2324"/>
            <w:vAlign w:val="top"/>
          </w:tcPr>
          <w:p>
            <w:r/>
            <w:r>
              <w:rPr>
                <w:b w:val="0"/>
                <w:sz w:val="13"/>
              </w:rPr>
              <w:t>SEC Nigeria</w:t>
            </w:r>
          </w:p>
        </w:tc>
        <w:tc>
          <w:tcPr>
            <w:tcW w:type="dxa" w:w="4819"/>
            <w:vAlign w:val="top"/>
          </w:tcPr>
          <w:p>
            <w:r>
              <w:rPr>
                <w:sz w:val="13"/>
              </w:rPr>
            </w:r>
            <w:hyperlink r:id="rId14">
              <w:r>
                <w:rPr>
                  <w:color w:val="0563C1"/>
                  <w:u w:val="single"/>
                </w:rPr>
                <w:t xml:space="preserve">Weekly NAV for CIS — index</w:t>
              </w:r>
            </w:hyperlink>
          </w:p>
        </w:tc>
        <w:tc>
          <w:tcPr>
            <w:tcW w:type="dxa" w:w="3969"/>
            <w:vAlign w:val="top"/>
          </w:tcPr>
          <w:p>
            <w:r/>
            <w:r>
              <w:rPr>
                <w:b w:val="0"/>
                <w:sz w:val="13"/>
              </w:rPr>
              <w:t>Séries hebdomadaires CIS</w:t>
            </w:r>
          </w:p>
        </w:tc>
        <w:tc>
          <w:tcPr>
            <w:tcW w:type="dxa" w:w="1701"/>
            <w:vAlign w:val="top"/>
          </w:tcPr>
          <w:p>
            <w:r/>
            <w:r>
              <w:rPr>
                <w:b w:val="0"/>
                <w:sz w:val="13"/>
              </w:rPr>
              <w:t>Hebdomadaire</w:t>
            </w:r>
          </w:p>
        </w:tc>
        <w:tc>
          <w:tcPr>
            <w:tcW w:type="dxa" w:w="964"/>
            <w:vAlign w:val="top"/>
          </w:tcPr>
          <w:p>
            <w:r/>
            <w:r>
              <w:rPr>
                <w:b w:val="0"/>
                <w:sz w:val="13"/>
              </w:rPr>
              <w:t>T1</w:t>
            </w:r>
          </w:p>
        </w:tc>
      </w:tr>
      <w:tr>
        <w:trPr>
          <w:cantSplit/>
        </w:trPr>
        <w:tc>
          <w:tcPr>
            <w:tcW w:type="dxa" w:w="1247"/>
            <w:vAlign w:val="top"/>
          </w:tcPr>
          <w:p>
            <w:r/>
            <w:r>
              <w:rPr>
                <w:b w:val="0"/>
                <w:sz w:val="13"/>
              </w:rPr>
              <w:t>SEC-W-2011</w:t>
            </w:r>
          </w:p>
        </w:tc>
        <w:tc>
          <w:tcPr>
            <w:tcW w:type="dxa" w:w="2324"/>
            <w:vAlign w:val="top"/>
          </w:tcPr>
          <w:p>
            <w:r/>
            <w:r>
              <w:rPr>
                <w:b w:val="0"/>
                <w:sz w:val="13"/>
              </w:rPr>
              <w:t>SEC Nigeria</w:t>
            </w:r>
          </w:p>
        </w:tc>
        <w:tc>
          <w:tcPr>
            <w:tcW w:type="dxa" w:w="4819"/>
            <w:vAlign w:val="top"/>
          </w:tcPr>
          <w:p>
            <w:r>
              <w:rPr>
                <w:sz w:val="13"/>
              </w:rPr>
            </w:r>
            <w:hyperlink r:id="rId15">
              <w:r>
                <w:rPr>
                  <w:color w:val="0563C1"/>
                  <w:u w:val="single"/>
                </w:rPr>
                <w:t xml:space="preserve">Weekly NAV 2011</w:t>
              </w:r>
            </w:hyperlink>
          </w:p>
        </w:tc>
        <w:tc>
          <w:tcPr>
            <w:tcW w:type="dxa" w:w="3969"/>
            <w:vAlign w:val="top"/>
          </w:tcPr>
          <w:p>
            <w:r/>
            <w:r>
              <w:rPr>
                <w:b w:val="0"/>
                <w:sz w:val="13"/>
              </w:rPr>
              <w:t>Pièces hebdomadaires 2011</w:t>
            </w:r>
          </w:p>
        </w:tc>
        <w:tc>
          <w:tcPr>
            <w:tcW w:type="dxa" w:w="1701"/>
            <w:vAlign w:val="top"/>
          </w:tcPr>
          <w:p>
            <w:r/>
            <w:r>
              <w:rPr>
                <w:b w:val="0"/>
                <w:sz w:val="13"/>
              </w:rPr>
              <w:t>Hebdomadaire/archives</w:t>
            </w:r>
          </w:p>
        </w:tc>
        <w:tc>
          <w:tcPr>
            <w:tcW w:type="dxa" w:w="964"/>
            <w:vAlign w:val="top"/>
          </w:tcPr>
          <w:p>
            <w:r/>
            <w:r>
              <w:rPr>
                <w:b w:val="0"/>
                <w:sz w:val="13"/>
              </w:rPr>
              <w:t>T1</w:t>
            </w:r>
          </w:p>
        </w:tc>
      </w:tr>
      <w:tr>
        <w:trPr>
          <w:cantSplit/>
        </w:trPr>
        <w:tc>
          <w:tcPr>
            <w:tcW w:type="dxa" w:w="1247"/>
            <w:vAlign w:val="top"/>
          </w:tcPr>
          <w:p>
            <w:r/>
            <w:r>
              <w:rPr>
                <w:b w:val="0"/>
                <w:sz w:val="13"/>
              </w:rPr>
              <w:t>SEC-W-2012</w:t>
            </w:r>
          </w:p>
        </w:tc>
        <w:tc>
          <w:tcPr>
            <w:tcW w:type="dxa" w:w="2324"/>
            <w:vAlign w:val="top"/>
          </w:tcPr>
          <w:p>
            <w:r/>
            <w:r>
              <w:rPr>
                <w:b w:val="0"/>
                <w:sz w:val="13"/>
              </w:rPr>
              <w:t>SEC Nigeria</w:t>
            </w:r>
          </w:p>
        </w:tc>
        <w:tc>
          <w:tcPr>
            <w:tcW w:type="dxa" w:w="4819"/>
            <w:vAlign w:val="top"/>
          </w:tcPr>
          <w:p>
            <w:r>
              <w:rPr>
                <w:sz w:val="13"/>
              </w:rPr>
            </w:r>
            <w:hyperlink r:id="rId16">
              <w:r>
                <w:rPr>
                  <w:color w:val="0563C1"/>
                  <w:u w:val="single"/>
                </w:rPr>
                <w:t xml:space="preserve">Weekly NAV 2012</w:t>
              </w:r>
            </w:hyperlink>
          </w:p>
        </w:tc>
        <w:tc>
          <w:tcPr>
            <w:tcW w:type="dxa" w:w="3969"/>
            <w:vAlign w:val="top"/>
          </w:tcPr>
          <w:p>
            <w:r/>
            <w:r>
              <w:rPr>
                <w:b w:val="0"/>
                <w:sz w:val="13"/>
              </w:rPr>
              <w:t>Pièces hebdomadaires 2012</w:t>
            </w:r>
          </w:p>
        </w:tc>
        <w:tc>
          <w:tcPr>
            <w:tcW w:type="dxa" w:w="1701"/>
            <w:vAlign w:val="top"/>
          </w:tcPr>
          <w:p>
            <w:r/>
            <w:r>
              <w:rPr>
                <w:b w:val="0"/>
                <w:sz w:val="13"/>
              </w:rPr>
              <w:t>Hebdomadaire/archives</w:t>
            </w:r>
          </w:p>
        </w:tc>
        <w:tc>
          <w:tcPr>
            <w:tcW w:type="dxa" w:w="964"/>
            <w:vAlign w:val="top"/>
          </w:tcPr>
          <w:p>
            <w:r/>
            <w:r>
              <w:rPr>
                <w:b w:val="0"/>
                <w:sz w:val="13"/>
              </w:rPr>
              <w:t>T1</w:t>
            </w:r>
          </w:p>
        </w:tc>
      </w:tr>
      <w:tr>
        <w:trPr>
          <w:cantSplit/>
        </w:trPr>
        <w:tc>
          <w:tcPr>
            <w:tcW w:type="dxa" w:w="1247"/>
            <w:vAlign w:val="top"/>
          </w:tcPr>
          <w:p>
            <w:r/>
            <w:r>
              <w:rPr>
                <w:b w:val="0"/>
                <w:sz w:val="13"/>
              </w:rPr>
              <w:t>SEC-W-2013</w:t>
            </w:r>
          </w:p>
        </w:tc>
        <w:tc>
          <w:tcPr>
            <w:tcW w:type="dxa" w:w="2324"/>
            <w:vAlign w:val="top"/>
          </w:tcPr>
          <w:p>
            <w:r/>
            <w:r>
              <w:rPr>
                <w:b w:val="0"/>
                <w:sz w:val="13"/>
              </w:rPr>
              <w:t>SEC Nigeria</w:t>
            </w:r>
          </w:p>
        </w:tc>
        <w:tc>
          <w:tcPr>
            <w:tcW w:type="dxa" w:w="4819"/>
            <w:vAlign w:val="top"/>
          </w:tcPr>
          <w:p>
            <w:r>
              <w:rPr>
                <w:sz w:val="13"/>
              </w:rPr>
            </w:r>
            <w:hyperlink r:id="rId17">
              <w:r>
                <w:rPr>
                  <w:color w:val="0563C1"/>
                  <w:u w:val="single"/>
                </w:rPr>
                <w:t xml:space="preserve">Weekly NAV 2013</w:t>
              </w:r>
            </w:hyperlink>
          </w:p>
        </w:tc>
        <w:tc>
          <w:tcPr>
            <w:tcW w:type="dxa" w:w="3969"/>
            <w:vAlign w:val="top"/>
          </w:tcPr>
          <w:p>
            <w:r/>
            <w:r>
              <w:rPr>
                <w:b w:val="0"/>
                <w:sz w:val="13"/>
              </w:rPr>
              <w:t>Pièces hebdomadaires 2013</w:t>
            </w:r>
          </w:p>
        </w:tc>
        <w:tc>
          <w:tcPr>
            <w:tcW w:type="dxa" w:w="1701"/>
            <w:vAlign w:val="top"/>
          </w:tcPr>
          <w:p>
            <w:r/>
            <w:r>
              <w:rPr>
                <w:b w:val="0"/>
                <w:sz w:val="13"/>
              </w:rPr>
              <w:t>Hebdomadaire/archives</w:t>
            </w:r>
          </w:p>
        </w:tc>
        <w:tc>
          <w:tcPr>
            <w:tcW w:type="dxa" w:w="964"/>
            <w:vAlign w:val="top"/>
          </w:tcPr>
          <w:p>
            <w:r/>
            <w:r>
              <w:rPr>
                <w:b w:val="0"/>
                <w:sz w:val="13"/>
              </w:rPr>
              <w:t>T1</w:t>
            </w:r>
          </w:p>
        </w:tc>
      </w:tr>
      <w:tr>
        <w:trPr>
          <w:cantSplit/>
        </w:trPr>
        <w:tc>
          <w:tcPr>
            <w:tcW w:type="dxa" w:w="1247"/>
            <w:vAlign w:val="top"/>
          </w:tcPr>
          <w:p>
            <w:r/>
            <w:r>
              <w:rPr>
                <w:b w:val="0"/>
                <w:sz w:val="13"/>
              </w:rPr>
              <w:t>SEC-W-2014</w:t>
            </w:r>
          </w:p>
        </w:tc>
        <w:tc>
          <w:tcPr>
            <w:tcW w:type="dxa" w:w="2324"/>
            <w:vAlign w:val="top"/>
          </w:tcPr>
          <w:p>
            <w:r/>
            <w:r>
              <w:rPr>
                <w:b w:val="0"/>
                <w:sz w:val="13"/>
              </w:rPr>
              <w:t>SEC Nigeria</w:t>
            </w:r>
          </w:p>
        </w:tc>
        <w:tc>
          <w:tcPr>
            <w:tcW w:type="dxa" w:w="4819"/>
            <w:vAlign w:val="top"/>
          </w:tcPr>
          <w:p>
            <w:r>
              <w:rPr>
                <w:sz w:val="13"/>
              </w:rPr>
            </w:r>
            <w:hyperlink r:id="rId18">
              <w:r>
                <w:rPr>
                  <w:color w:val="0563C1"/>
                  <w:u w:val="single"/>
                </w:rPr>
                <w:t xml:space="preserve">Weekly NAV 2014</w:t>
              </w:r>
            </w:hyperlink>
          </w:p>
        </w:tc>
        <w:tc>
          <w:tcPr>
            <w:tcW w:type="dxa" w:w="3969"/>
            <w:vAlign w:val="top"/>
          </w:tcPr>
          <w:p>
            <w:r/>
            <w:r>
              <w:rPr>
                <w:b w:val="0"/>
                <w:sz w:val="13"/>
              </w:rPr>
              <w:t>Pièces hebdomadaires 2014</w:t>
            </w:r>
          </w:p>
        </w:tc>
        <w:tc>
          <w:tcPr>
            <w:tcW w:type="dxa" w:w="1701"/>
            <w:vAlign w:val="top"/>
          </w:tcPr>
          <w:p>
            <w:r/>
            <w:r>
              <w:rPr>
                <w:b w:val="0"/>
                <w:sz w:val="13"/>
              </w:rPr>
              <w:t>Hebdomadaire/archives</w:t>
            </w:r>
          </w:p>
        </w:tc>
        <w:tc>
          <w:tcPr>
            <w:tcW w:type="dxa" w:w="964"/>
            <w:vAlign w:val="top"/>
          </w:tcPr>
          <w:p>
            <w:r/>
            <w:r>
              <w:rPr>
                <w:b w:val="0"/>
                <w:sz w:val="13"/>
              </w:rPr>
              <w:t>T1</w:t>
            </w:r>
          </w:p>
        </w:tc>
      </w:tr>
      <w:tr>
        <w:trPr>
          <w:cantSplit/>
        </w:trPr>
        <w:tc>
          <w:tcPr>
            <w:tcW w:type="dxa" w:w="1247"/>
            <w:vAlign w:val="top"/>
          </w:tcPr>
          <w:p>
            <w:r/>
            <w:r>
              <w:rPr>
                <w:b w:val="0"/>
                <w:sz w:val="13"/>
              </w:rPr>
              <w:t>SEC-W-2015</w:t>
            </w:r>
          </w:p>
        </w:tc>
        <w:tc>
          <w:tcPr>
            <w:tcW w:type="dxa" w:w="2324"/>
            <w:vAlign w:val="top"/>
          </w:tcPr>
          <w:p>
            <w:r/>
            <w:r>
              <w:rPr>
                <w:b w:val="0"/>
                <w:sz w:val="13"/>
              </w:rPr>
              <w:t>SEC Nigeria</w:t>
            </w:r>
          </w:p>
        </w:tc>
        <w:tc>
          <w:tcPr>
            <w:tcW w:type="dxa" w:w="4819"/>
            <w:vAlign w:val="top"/>
          </w:tcPr>
          <w:p>
            <w:r>
              <w:rPr>
                <w:sz w:val="13"/>
              </w:rPr>
            </w:r>
            <w:hyperlink r:id="rId19">
              <w:r>
                <w:rPr>
                  <w:color w:val="0563C1"/>
                  <w:u w:val="single"/>
                </w:rPr>
                <w:t xml:space="preserve">Weekly NAV 2015</w:t>
              </w:r>
            </w:hyperlink>
          </w:p>
        </w:tc>
        <w:tc>
          <w:tcPr>
            <w:tcW w:type="dxa" w:w="3969"/>
            <w:vAlign w:val="top"/>
          </w:tcPr>
          <w:p>
            <w:r/>
            <w:r>
              <w:rPr>
                <w:b w:val="0"/>
                <w:sz w:val="13"/>
              </w:rPr>
              <w:t>Pièces hebdomadaires 2015</w:t>
            </w:r>
          </w:p>
        </w:tc>
        <w:tc>
          <w:tcPr>
            <w:tcW w:type="dxa" w:w="1701"/>
            <w:vAlign w:val="top"/>
          </w:tcPr>
          <w:p>
            <w:r/>
            <w:r>
              <w:rPr>
                <w:b w:val="0"/>
                <w:sz w:val="13"/>
              </w:rPr>
              <w:t>Hebdomadaire/archives</w:t>
            </w:r>
          </w:p>
        </w:tc>
        <w:tc>
          <w:tcPr>
            <w:tcW w:type="dxa" w:w="964"/>
            <w:vAlign w:val="top"/>
          </w:tcPr>
          <w:p>
            <w:r/>
            <w:r>
              <w:rPr>
                <w:b w:val="0"/>
                <w:sz w:val="13"/>
              </w:rPr>
              <w:t>T1</w:t>
            </w:r>
          </w:p>
        </w:tc>
      </w:tr>
      <w:tr>
        <w:trPr>
          <w:cantSplit/>
        </w:trPr>
        <w:tc>
          <w:tcPr>
            <w:tcW w:type="dxa" w:w="1247"/>
            <w:vAlign w:val="top"/>
          </w:tcPr>
          <w:p>
            <w:r/>
            <w:r>
              <w:rPr>
                <w:b w:val="0"/>
                <w:sz w:val="13"/>
              </w:rPr>
              <w:t>SEC-W-2016</w:t>
            </w:r>
          </w:p>
        </w:tc>
        <w:tc>
          <w:tcPr>
            <w:tcW w:type="dxa" w:w="2324"/>
            <w:vAlign w:val="top"/>
          </w:tcPr>
          <w:p>
            <w:r/>
            <w:r>
              <w:rPr>
                <w:b w:val="0"/>
                <w:sz w:val="13"/>
              </w:rPr>
              <w:t>SEC Nigeria</w:t>
            </w:r>
          </w:p>
        </w:tc>
        <w:tc>
          <w:tcPr>
            <w:tcW w:type="dxa" w:w="4819"/>
            <w:vAlign w:val="top"/>
          </w:tcPr>
          <w:p>
            <w:r>
              <w:rPr>
                <w:sz w:val="13"/>
              </w:rPr>
            </w:r>
            <w:hyperlink r:id="rId20">
              <w:r>
                <w:rPr>
                  <w:color w:val="0563C1"/>
                  <w:u w:val="single"/>
                </w:rPr>
                <w:t xml:space="preserve">Weekly NAV 2016</w:t>
              </w:r>
            </w:hyperlink>
          </w:p>
        </w:tc>
        <w:tc>
          <w:tcPr>
            <w:tcW w:type="dxa" w:w="3969"/>
            <w:vAlign w:val="top"/>
          </w:tcPr>
          <w:p>
            <w:r/>
            <w:r>
              <w:rPr>
                <w:b w:val="0"/>
                <w:sz w:val="13"/>
              </w:rPr>
              <w:t>Pièces hebdomadaires 2016</w:t>
            </w:r>
          </w:p>
        </w:tc>
        <w:tc>
          <w:tcPr>
            <w:tcW w:type="dxa" w:w="1701"/>
            <w:vAlign w:val="top"/>
          </w:tcPr>
          <w:p>
            <w:r/>
            <w:r>
              <w:rPr>
                <w:b w:val="0"/>
                <w:sz w:val="13"/>
              </w:rPr>
              <w:t>Hebdomadaire/archives</w:t>
            </w:r>
          </w:p>
        </w:tc>
        <w:tc>
          <w:tcPr>
            <w:tcW w:type="dxa" w:w="964"/>
            <w:vAlign w:val="top"/>
          </w:tcPr>
          <w:p>
            <w:r/>
            <w:r>
              <w:rPr>
                <w:b w:val="0"/>
                <w:sz w:val="13"/>
              </w:rPr>
              <w:t>T1</w:t>
            </w:r>
          </w:p>
        </w:tc>
      </w:tr>
      <w:tr>
        <w:trPr>
          <w:cantSplit/>
        </w:trPr>
        <w:tc>
          <w:tcPr>
            <w:tcW w:type="dxa" w:w="1247"/>
            <w:vAlign w:val="top"/>
          </w:tcPr>
          <w:p>
            <w:r/>
            <w:r>
              <w:rPr>
                <w:b w:val="0"/>
                <w:sz w:val="13"/>
              </w:rPr>
              <w:t>SEC-W-2017</w:t>
            </w:r>
          </w:p>
        </w:tc>
        <w:tc>
          <w:tcPr>
            <w:tcW w:type="dxa" w:w="2324"/>
            <w:vAlign w:val="top"/>
          </w:tcPr>
          <w:p>
            <w:r/>
            <w:r>
              <w:rPr>
                <w:b w:val="0"/>
                <w:sz w:val="13"/>
              </w:rPr>
              <w:t>SEC Nigeria</w:t>
            </w:r>
          </w:p>
        </w:tc>
        <w:tc>
          <w:tcPr>
            <w:tcW w:type="dxa" w:w="4819"/>
            <w:vAlign w:val="top"/>
          </w:tcPr>
          <w:p>
            <w:r>
              <w:rPr>
                <w:sz w:val="13"/>
              </w:rPr>
            </w:r>
            <w:hyperlink r:id="rId21">
              <w:r>
                <w:rPr>
                  <w:color w:val="0563C1"/>
                  <w:u w:val="single"/>
                </w:rPr>
                <w:t xml:space="preserve">Weekly NAV 2017</w:t>
              </w:r>
            </w:hyperlink>
          </w:p>
        </w:tc>
        <w:tc>
          <w:tcPr>
            <w:tcW w:type="dxa" w:w="3969"/>
            <w:vAlign w:val="top"/>
          </w:tcPr>
          <w:p>
            <w:r/>
            <w:r>
              <w:rPr>
                <w:b w:val="0"/>
                <w:sz w:val="13"/>
              </w:rPr>
              <w:t>Pièces hebdomadaires 2017</w:t>
            </w:r>
          </w:p>
        </w:tc>
        <w:tc>
          <w:tcPr>
            <w:tcW w:type="dxa" w:w="1701"/>
            <w:vAlign w:val="top"/>
          </w:tcPr>
          <w:p>
            <w:r/>
            <w:r>
              <w:rPr>
                <w:b w:val="0"/>
                <w:sz w:val="13"/>
              </w:rPr>
              <w:t>Hebdomadaire/archives</w:t>
            </w:r>
          </w:p>
        </w:tc>
        <w:tc>
          <w:tcPr>
            <w:tcW w:type="dxa" w:w="964"/>
            <w:vAlign w:val="top"/>
          </w:tcPr>
          <w:p>
            <w:r/>
            <w:r>
              <w:rPr>
                <w:b w:val="0"/>
                <w:sz w:val="13"/>
              </w:rPr>
              <w:t>T1</w:t>
            </w:r>
          </w:p>
        </w:tc>
      </w:tr>
      <w:tr>
        <w:trPr>
          <w:cantSplit/>
        </w:trPr>
        <w:tc>
          <w:tcPr>
            <w:tcW w:type="dxa" w:w="1247"/>
            <w:vAlign w:val="top"/>
          </w:tcPr>
          <w:p>
            <w:r/>
            <w:r>
              <w:rPr>
                <w:b w:val="0"/>
                <w:sz w:val="13"/>
              </w:rPr>
              <w:t>SEC-W-2018</w:t>
            </w:r>
          </w:p>
        </w:tc>
        <w:tc>
          <w:tcPr>
            <w:tcW w:type="dxa" w:w="2324"/>
            <w:vAlign w:val="top"/>
          </w:tcPr>
          <w:p>
            <w:r/>
            <w:r>
              <w:rPr>
                <w:b w:val="0"/>
                <w:sz w:val="13"/>
              </w:rPr>
              <w:t>SEC Nigeria</w:t>
            </w:r>
          </w:p>
        </w:tc>
        <w:tc>
          <w:tcPr>
            <w:tcW w:type="dxa" w:w="4819"/>
            <w:vAlign w:val="top"/>
          </w:tcPr>
          <w:p>
            <w:r>
              <w:rPr>
                <w:sz w:val="13"/>
              </w:rPr>
            </w:r>
            <w:hyperlink r:id="rId22">
              <w:r>
                <w:rPr>
                  <w:color w:val="0563C1"/>
                  <w:u w:val="single"/>
                </w:rPr>
                <w:t xml:space="preserve">Weekly NAV 2018</w:t>
              </w:r>
            </w:hyperlink>
          </w:p>
        </w:tc>
        <w:tc>
          <w:tcPr>
            <w:tcW w:type="dxa" w:w="3969"/>
            <w:vAlign w:val="top"/>
          </w:tcPr>
          <w:p>
            <w:r/>
            <w:r>
              <w:rPr>
                <w:b w:val="0"/>
                <w:sz w:val="13"/>
              </w:rPr>
              <w:t>Pièces hebdomadaires 2018</w:t>
            </w:r>
          </w:p>
        </w:tc>
        <w:tc>
          <w:tcPr>
            <w:tcW w:type="dxa" w:w="1701"/>
            <w:vAlign w:val="top"/>
          </w:tcPr>
          <w:p>
            <w:r/>
            <w:r>
              <w:rPr>
                <w:b w:val="0"/>
                <w:sz w:val="13"/>
              </w:rPr>
              <w:t>Hebdomadaire/archives</w:t>
            </w:r>
          </w:p>
        </w:tc>
        <w:tc>
          <w:tcPr>
            <w:tcW w:type="dxa" w:w="964"/>
            <w:vAlign w:val="top"/>
          </w:tcPr>
          <w:p>
            <w:r/>
            <w:r>
              <w:rPr>
                <w:b w:val="0"/>
                <w:sz w:val="13"/>
              </w:rPr>
              <w:t>T1</w:t>
            </w:r>
          </w:p>
        </w:tc>
      </w:tr>
      <w:tr>
        <w:trPr>
          <w:cantSplit/>
        </w:trPr>
        <w:tc>
          <w:tcPr>
            <w:tcW w:type="dxa" w:w="1247"/>
            <w:vAlign w:val="top"/>
          </w:tcPr>
          <w:p>
            <w:r/>
            <w:r>
              <w:rPr>
                <w:b w:val="0"/>
                <w:sz w:val="13"/>
              </w:rPr>
              <w:t>SEC-W-2019</w:t>
            </w:r>
          </w:p>
        </w:tc>
        <w:tc>
          <w:tcPr>
            <w:tcW w:type="dxa" w:w="2324"/>
            <w:vAlign w:val="top"/>
          </w:tcPr>
          <w:p>
            <w:r/>
            <w:r>
              <w:rPr>
                <w:b w:val="0"/>
                <w:sz w:val="13"/>
              </w:rPr>
              <w:t>SEC Nigeria</w:t>
            </w:r>
          </w:p>
        </w:tc>
        <w:tc>
          <w:tcPr>
            <w:tcW w:type="dxa" w:w="4819"/>
            <w:vAlign w:val="top"/>
          </w:tcPr>
          <w:p>
            <w:r>
              <w:rPr>
                <w:sz w:val="13"/>
              </w:rPr>
            </w:r>
            <w:hyperlink r:id="rId23">
              <w:r>
                <w:rPr>
                  <w:color w:val="0563C1"/>
                  <w:u w:val="single"/>
                </w:rPr>
                <w:t xml:space="preserve">Weekly NAV 2019</w:t>
              </w:r>
            </w:hyperlink>
          </w:p>
        </w:tc>
        <w:tc>
          <w:tcPr>
            <w:tcW w:type="dxa" w:w="3969"/>
            <w:vAlign w:val="top"/>
          </w:tcPr>
          <w:p>
            <w:r/>
            <w:r>
              <w:rPr>
                <w:b w:val="0"/>
                <w:sz w:val="13"/>
              </w:rPr>
              <w:t>Pièces hebdomadaires 2019</w:t>
            </w:r>
          </w:p>
        </w:tc>
        <w:tc>
          <w:tcPr>
            <w:tcW w:type="dxa" w:w="1701"/>
            <w:vAlign w:val="top"/>
          </w:tcPr>
          <w:p>
            <w:r/>
            <w:r>
              <w:rPr>
                <w:b w:val="0"/>
                <w:sz w:val="13"/>
              </w:rPr>
              <w:t>Hebdomadaire/archives</w:t>
            </w:r>
          </w:p>
        </w:tc>
        <w:tc>
          <w:tcPr>
            <w:tcW w:type="dxa" w:w="964"/>
            <w:vAlign w:val="top"/>
          </w:tcPr>
          <w:p>
            <w:r/>
            <w:r>
              <w:rPr>
                <w:b w:val="0"/>
                <w:sz w:val="13"/>
              </w:rPr>
              <w:t>T1</w:t>
            </w:r>
          </w:p>
        </w:tc>
      </w:tr>
      <w:tr>
        <w:trPr>
          <w:cantSplit/>
        </w:trPr>
        <w:tc>
          <w:tcPr>
            <w:tcW w:type="dxa" w:w="1247"/>
            <w:vAlign w:val="top"/>
          </w:tcPr>
          <w:p>
            <w:r/>
            <w:r>
              <w:rPr>
                <w:b w:val="0"/>
                <w:sz w:val="13"/>
              </w:rPr>
              <w:t>SEC-W-2020</w:t>
            </w:r>
          </w:p>
        </w:tc>
        <w:tc>
          <w:tcPr>
            <w:tcW w:type="dxa" w:w="2324"/>
            <w:vAlign w:val="top"/>
          </w:tcPr>
          <w:p>
            <w:r/>
            <w:r>
              <w:rPr>
                <w:b w:val="0"/>
                <w:sz w:val="13"/>
              </w:rPr>
              <w:t>SEC Nigeria</w:t>
            </w:r>
          </w:p>
        </w:tc>
        <w:tc>
          <w:tcPr>
            <w:tcW w:type="dxa" w:w="4819"/>
            <w:vAlign w:val="top"/>
          </w:tcPr>
          <w:p>
            <w:r>
              <w:rPr>
                <w:sz w:val="13"/>
              </w:rPr>
            </w:r>
            <w:hyperlink r:id="rId24">
              <w:r>
                <w:rPr>
                  <w:color w:val="0563C1"/>
                  <w:u w:val="single"/>
                </w:rPr>
                <w:t xml:space="preserve">Weekly NAV 2020</w:t>
              </w:r>
            </w:hyperlink>
          </w:p>
        </w:tc>
        <w:tc>
          <w:tcPr>
            <w:tcW w:type="dxa" w:w="3969"/>
            <w:vAlign w:val="top"/>
          </w:tcPr>
          <w:p>
            <w:r/>
            <w:r>
              <w:rPr>
                <w:b w:val="0"/>
                <w:sz w:val="13"/>
              </w:rPr>
              <w:t>Pièces hebdomadaires 2020</w:t>
            </w:r>
          </w:p>
        </w:tc>
        <w:tc>
          <w:tcPr>
            <w:tcW w:type="dxa" w:w="1701"/>
            <w:vAlign w:val="top"/>
          </w:tcPr>
          <w:p>
            <w:r/>
            <w:r>
              <w:rPr>
                <w:b w:val="0"/>
                <w:sz w:val="13"/>
              </w:rPr>
              <w:t>Hebdomadaire/archives</w:t>
            </w:r>
          </w:p>
        </w:tc>
        <w:tc>
          <w:tcPr>
            <w:tcW w:type="dxa" w:w="964"/>
            <w:vAlign w:val="top"/>
          </w:tcPr>
          <w:p>
            <w:r/>
            <w:r>
              <w:rPr>
                <w:b w:val="0"/>
                <w:sz w:val="13"/>
              </w:rPr>
              <w:t>T1</w:t>
            </w:r>
          </w:p>
        </w:tc>
      </w:tr>
      <w:tr>
        <w:trPr>
          <w:cantSplit/>
        </w:trPr>
        <w:tc>
          <w:tcPr>
            <w:tcW w:type="dxa" w:w="1247"/>
            <w:vAlign w:val="top"/>
          </w:tcPr>
          <w:p>
            <w:r/>
            <w:r>
              <w:rPr>
                <w:b w:val="0"/>
                <w:sz w:val="13"/>
              </w:rPr>
              <w:t>SEC-W-2021</w:t>
            </w:r>
          </w:p>
        </w:tc>
        <w:tc>
          <w:tcPr>
            <w:tcW w:type="dxa" w:w="2324"/>
            <w:vAlign w:val="top"/>
          </w:tcPr>
          <w:p>
            <w:r/>
            <w:r>
              <w:rPr>
                <w:b w:val="0"/>
                <w:sz w:val="13"/>
              </w:rPr>
              <w:t>SEC Nigeria</w:t>
            </w:r>
          </w:p>
        </w:tc>
        <w:tc>
          <w:tcPr>
            <w:tcW w:type="dxa" w:w="4819"/>
            <w:vAlign w:val="top"/>
          </w:tcPr>
          <w:p>
            <w:r>
              <w:rPr>
                <w:sz w:val="13"/>
              </w:rPr>
            </w:r>
            <w:hyperlink r:id="rId25">
              <w:r>
                <w:rPr>
                  <w:color w:val="0563C1"/>
                  <w:u w:val="single"/>
                </w:rPr>
                <w:t xml:space="preserve">Weekly NAV 2021</w:t>
              </w:r>
            </w:hyperlink>
          </w:p>
        </w:tc>
        <w:tc>
          <w:tcPr>
            <w:tcW w:type="dxa" w:w="3969"/>
            <w:vAlign w:val="top"/>
          </w:tcPr>
          <w:p>
            <w:r/>
            <w:r>
              <w:rPr>
                <w:b w:val="0"/>
                <w:sz w:val="13"/>
              </w:rPr>
              <w:t>Pièces hebdomadaires 2021</w:t>
            </w:r>
          </w:p>
        </w:tc>
        <w:tc>
          <w:tcPr>
            <w:tcW w:type="dxa" w:w="1701"/>
            <w:vAlign w:val="top"/>
          </w:tcPr>
          <w:p>
            <w:r/>
            <w:r>
              <w:rPr>
                <w:b w:val="0"/>
                <w:sz w:val="13"/>
              </w:rPr>
              <w:t>Hebdomadaire/archives</w:t>
            </w:r>
          </w:p>
        </w:tc>
        <w:tc>
          <w:tcPr>
            <w:tcW w:type="dxa" w:w="964"/>
            <w:vAlign w:val="top"/>
          </w:tcPr>
          <w:p>
            <w:r/>
            <w:r>
              <w:rPr>
                <w:b w:val="0"/>
                <w:sz w:val="13"/>
              </w:rPr>
              <w:t>T1</w:t>
            </w:r>
          </w:p>
        </w:tc>
      </w:tr>
      <w:tr>
        <w:trPr>
          <w:cantSplit/>
        </w:trPr>
        <w:tc>
          <w:tcPr>
            <w:tcW w:type="dxa" w:w="1247"/>
            <w:vAlign w:val="top"/>
          </w:tcPr>
          <w:p>
            <w:r/>
            <w:r>
              <w:rPr>
                <w:b w:val="0"/>
                <w:sz w:val="13"/>
              </w:rPr>
              <w:t>SEC-W-2022</w:t>
            </w:r>
          </w:p>
        </w:tc>
        <w:tc>
          <w:tcPr>
            <w:tcW w:type="dxa" w:w="2324"/>
            <w:vAlign w:val="top"/>
          </w:tcPr>
          <w:p>
            <w:r/>
            <w:r>
              <w:rPr>
                <w:b w:val="0"/>
                <w:sz w:val="13"/>
              </w:rPr>
              <w:t>SEC Nigeria</w:t>
            </w:r>
          </w:p>
        </w:tc>
        <w:tc>
          <w:tcPr>
            <w:tcW w:type="dxa" w:w="4819"/>
            <w:vAlign w:val="top"/>
          </w:tcPr>
          <w:p>
            <w:r>
              <w:rPr>
                <w:sz w:val="13"/>
              </w:rPr>
            </w:r>
            <w:hyperlink r:id="rId26">
              <w:r>
                <w:rPr>
                  <w:color w:val="0563C1"/>
                  <w:u w:val="single"/>
                </w:rPr>
                <w:t xml:space="preserve">Weekly NAV 2022</w:t>
              </w:r>
            </w:hyperlink>
          </w:p>
        </w:tc>
        <w:tc>
          <w:tcPr>
            <w:tcW w:type="dxa" w:w="3969"/>
            <w:vAlign w:val="top"/>
          </w:tcPr>
          <w:p>
            <w:r/>
            <w:r>
              <w:rPr>
                <w:b w:val="0"/>
                <w:sz w:val="13"/>
              </w:rPr>
              <w:t>Pièces hebdomadaires 2022</w:t>
            </w:r>
          </w:p>
        </w:tc>
        <w:tc>
          <w:tcPr>
            <w:tcW w:type="dxa" w:w="1701"/>
            <w:vAlign w:val="top"/>
          </w:tcPr>
          <w:p>
            <w:r/>
            <w:r>
              <w:rPr>
                <w:b w:val="0"/>
                <w:sz w:val="13"/>
              </w:rPr>
              <w:t>Hebdomadaire/archives</w:t>
            </w:r>
          </w:p>
        </w:tc>
        <w:tc>
          <w:tcPr>
            <w:tcW w:type="dxa" w:w="964"/>
            <w:vAlign w:val="top"/>
          </w:tcPr>
          <w:p>
            <w:r/>
            <w:r>
              <w:rPr>
                <w:b w:val="0"/>
                <w:sz w:val="13"/>
              </w:rPr>
              <w:t>T1</w:t>
            </w:r>
          </w:p>
        </w:tc>
      </w:tr>
      <w:tr>
        <w:trPr>
          <w:cantSplit/>
        </w:trPr>
        <w:tc>
          <w:tcPr>
            <w:tcW w:type="dxa" w:w="1247"/>
            <w:vAlign w:val="top"/>
          </w:tcPr>
          <w:p>
            <w:r/>
            <w:r>
              <w:rPr>
                <w:b w:val="0"/>
                <w:sz w:val="13"/>
              </w:rPr>
              <w:t>SEC-W-2023</w:t>
            </w:r>
          </w:p>
        </w:tc>
        <w:tc>
          <w:tcPr>
            <w:tcW w:type="dxa" w:w="2324"/>
            <w:vAlign w:val="top"/>
          </w:tcPr>
          <w:p>
            <w:r/>
            <w:r>
              <w:rPr>
                <w:b w:val="0"/>
                <w:sz w:val="13"/>
              </w:rPr>
              <w:t>SEC Nigeria</w:t>
            </w:r>
          </w:p>
        </w:tc>
        <w:tc>
          <w:tcPr>
            <w:tcW w:type="dxa" w:w="4819"/>
            <w:vAlign w:val="top"/>
          </w:tcPr>
          <w:p>
            <w:r>
              <w:rPr>
                <w:sz w:val="13"/>
              </w:rPr>
            </w:r>
            <w:hyperlink r:id="rId27">
              <w:r>
                <w:rPr>
                  <w:color w:val="0563C1"/>
                  <w:u w:val="single"/>
                </w:rPr>
                <w:t xml:space="preserve">Weekly NAV 2023</w:t>
              </w:r>
            </w:hyperlink>
          </w:p>
        </w:tc>
        <w:tc>
          <w:tcPr>
            <w:tcW w:type="dxa" w:w="3969"/>
            <w:vAlign w:val="top"/>
          </w:tcPr>
          <w:p>
            <w:r/>
            <w:r>
              <w:rPr>
                <w:b w:val="0"/>
                <w:sz w:val="13"/>
              </w:rPr>
              <w:t>Pièces hebdomadaires 2023</w:t>
            </w:r>
          </w:p>
        </w:tc>
        <w:tc>
          <w:tcPr>
            <w:tcW w:type="dxa" w:w="1701"/>
            <w:vAlign w:val="top"/>
          </w:tcPr>
          <w:p>
            <w:r/>
            <w:r>
              <w:rPr>
                <w:b w:val="0"/>
                <w:sz w:val="13"/>
              </w:rPr>
              <w:t>Hebdomadaire/archives</w:t>
            </w:r>
          </w:p>
        </w:tc>
        <w:tc>
          <w:tcPr>
            <w:tcW w:type="dxa" w:w="964"/>
            <w:vAlign w:val="top"/>
          </w:tcPr>
          <w:p>
            <w:r/>
            <w:r>
              <w:rPr>
                <w:b w:val="0"/>
                <w:sz w:val="13"/>
              </w:rPr>
              <w:t>T1</w:t>
            </w:r>
          </w:p>
        </w:tc>
      </w:tr>
      <w:tr>
        <w:trPr>
          <w:cantSplit/>
        </w:trPr>
        <w:tc>
          <w:tcPr>
            <w:tcW w:type="dxa" w:w="1247"/>
            <w:vAlign w:val="top"/>
          </w:tcPr>
          <w:p>
            <w:r/>
            <w:r>
              <w:rPr>
                <w:b w:val="0"/>
                <w:sz w:val="13"/>
              </w:rPr>
              <w:t>SEC-W-2024</w:t>
            </w:r>
          </w:p>
        </w:tc>
        <w:tc>
          <w:tcPr>
            <w:tcW w:type="dxa" w:w="2324"/>
            <w:vAlign w:val="top"/>
          </w:tcPr>
          <w:p>
            <w:r/>
            <w:r>
              <w:rPr>
                <w:b w:val="0"/>
                <w:sz w:val="13"/>
              </w:rPr>
              <w:t>SEC Nigeria</w:t>
            </w:r>
          </w:p>
        </w:tc>
        <w:tc>
          <w:tcPr>
            <w:tcW w:type="dxa" w:w="4819"/>
            <w:vAlign w:val="top"/>
          </w:tcPr>
          <w:p>
            <w:r>
              <w:rPr>
                <w:sz w:val="13"/>
              </w:rPr>
            </w:r>
            <w:hyperlink r:id="rId28">
              <w:r>
                <w:rPr>
                  <w:color w:val="0563C1"/>
                  <w:u w:val="single"/>
                </w:rPr>
                <w:t xml:space="preserve">Weekly NAV 2024</w:t>
              </w:r>
            </w:hyperlink>
          </w:p>
        </w:tc>
        <w:tc>
          <w:tcPr>
            <w:tcW w:type="dxa" w:w="3969"/>
            <w:vAlign w:val="top"/>
          </w:tcPr>
          <w:p>
            <w:r/>
            <w:r>
              <w:rPr>
                <w:b w:val="0"/>
                <w:sz w:val="13"/>
              </w:rPr>
              <w:t>Pièces hebdomadaires 2024</w:t>
            </w:r>
          </w:p>
        </w:tc>
        <w:tc>
          <w:tcPr>
            <w:tcW w:type="dxa" w:w="1701"/>
            <w:vAlign w:val="top"/>
          </w:tcPr>
          <w:p>
            <w:r/>
            <w:r>
              <w:rPr>
                <w:b w:val="0"/>
                <w:sz w:val="13"/>
              </w:rPr>
              <w:t>Hebdomadaire/archives</w:t>
            </w:r>
          </w:p>
        </w:tc>
        <w:tc>
          <w:tcPr>
            <w:tcW w:type="dxa" w:w="964"/>
            <w:vAlign w:val="top"/>
          </w:tcPr>
          <w:p>
            <w:r/>
            <w:r>
              <w:rPr>
                <w:b w:val="0"/>
                <w:sz w:val="13"/>
              </w:rPr>
              <w:t>T1</w:t>
            </w:r>
          </w:p>
        </w:tc>
      </w:tr>
      <w:tr>
        <w:trPr>
          <w:cantSplit/>
        </w:trPr>
        <w:tc>
          <w:tcPr>
            <w:tcW w:type="dxa" w:w="1247"/>
            <w:vAlign w:val="top"/>
          </w:tcPr>
          <w:p>
            <w:r/>
            <w:r>
              <w:rPr>
                <w:b w:val="0"/>
                <w:sz w:val="13"/>
              </w:rPr>
              <w:t>SEC-W-2025</w:t>
            </w:r>
          </w:p>
        </w:tc>
        <w:tc>
          <w:tcPr>
            <w:tcW w:type="dxa" w:w="2324"/>
            <w:vAlign w:val="top"/>
          </w:tcPr>
          <w:p>
            <w:r/>
            <w:r>
              <w:rPr>
                <w:b w:val="0"/>
                <w:sz w:val="13"/>
              </w:rPr>
              <w:t>SEC Nigeria</w:t>
            </w:r>
          </w:p>
        </w:tc>
        <w:tc>
          <w:tcPr>
            <w:tcW w:type="dxa" w:w="4819"/>
            <w:vAlign w:val="top"/>
          </w:tcPr>
          <w:p>
            <w:r>
              <w:rPr>
                <w:sz w:val="13"/>
              </w:rPr>
            </w:r>
            <w:hyperlink r:id="rId29">
              <w:r>
                <w:rPr>
                  <w:color w:val="0563C1"/>
                  <w:u w:val="single"/>
                </w:rPr>
                <w:t xml:space="preserve">Weekly NAV 2025</w:t>
              </w:r>
            </w:hyperlink>
          </w:p>
        </w:tc>
        <w:tc>
          <w:tcPr>
            <w:tcW w:type="dxa" w:w="3969"/>
            <w:vAlign w:val="top"/>
          </w:tcPr>
          <w:p>
            <w:r/>
            <w:r>
              <w:rPr>
                <w:b w:val="0"/>
                <w:sz w:val="13"/>
              </w:rPr>
              <w:t>Pièces hebdomadaires 2025</w:t>
            </w:r>
          </w:p>
        </w:tc>
        <w:tc>
          <w:tcPr>
            <w:tcW w:type="dxa" w:w="1701"/>
            <w:vAlign w:val="top"/>
          </w:tcPr>
          <w:p>
            <w:r/>
            <w:r>
              <w:rPr>
                <w:b w:val="0"/>
                <w:sz w:val="13"/>
              </w:rPr>
              <w:t>Hebdomadaire/archives</w:t>
            </w:r>
          </w:p>
        </w:tc>
        <w:tc>
          <w:tcPr>
            <w:tcW w:type="dxa" w:w="964"/>
            <w:vAlign w:val="top"/>
          </w:tcPr>
          <w:p>
            <w:r/>
            <w:r>
              <w:rPr>
                <w:b w:val="0"/>
                <w:sz w:val="13"/>
              </w:rPr>
              <w:t>T1</w:t>
            </w:r>
          </w:p>
        </w:tc>
      </w:tr>
      <w:tr>
        <w:trPr>
          <w:cantSplit/>
        </w:trPr>
        <w:tc>
          <w:tcPr>
            <w:tcW w:type="dxa" w:w="1247"/>
            <w:vAlign w:val="top"/>
          </w:tcPr>
          <w:p>
            <w:r/>
            <w:r>
              <w:rPr>
                <w:b w:val="0"/>
                <w:sz w:val="13"/>
              </w:rPr>
              <w:t>SEC-W-2026</w:t>
            </w:r>
          </w:p>
        </w:tc>
        <w:tc>
          <w:tcPr>
            <w:tcW w:type="dxa" w:w="2324"/>
            <w:vAlign w:val="top"/>
          </w:tcPr>
          <w:p>
            <w:r/>
            <w:r>
              <w:rPr>
                <w:b w:val="0"/>
                <w:sz w:val="13"/>
              </w:rPr>
              <w:t>SEC Nigeria</w:t>
            </w:r>
          </w:p>
        </w:tc>
        <w:tc>
          <w:tcPr>
            <w:tcW w:type="dxa" w:w="4819"/>
            <w:vAlign w:val="top"/>
          </w:tcPr>
          <w:p>
            <w:r>
              <w:rPr>
                <w:sz w:val="13"/>
              </w:rPr>
            </w:r>
            <w:hyperlink r:id="rId30">
              <w:r>
                <w:rPr>
                  <w:color w:val="0563C1"/>
                  <w:u w:val="single"/>
                </w:rPr>
                <w:t xml:space="preserve">Weekly NAV 2026</w:t>
              </w:r>
            </w:hyperlink>
          </w:p>
        </w:tc>
        <w:tc>
          <w:tcPr>
            <w:tcW w:type="dxa" w:w="3969"/>
            <w:vAlign w:val="top"/>
          </w:tcPr>
          <w:p>
            <w:r/>
            <w:r>
              <w:rPr>
                <w:b w:val="0"/>
                <w:sz w:val="13"/>
              </w:rPr>
              <w:t>Pièces hebdomadaires 2026</w:t>
            </w:r>
          </w:p>
        </w:tc>
        <w:tc>
          <w:tcPr>
            <w:tcW w:type="dxa" w:w="1701"/>
            <w:vAlign w:val="top"/>
          </w:tcPr>
          <w:p>
            <w:r/>
            <w:r>
              <w:rPr>
                <w:b w:val="0"/>
                <w:sz w:val="13"/>
              </w:rPr>
              <w:t>Hebdomadaire/archives</w:t>
            </w:r>
          </w:p>
        </w:tc>
        <w:tc>
          <w:tcPr>
            <w:tcW w:type="dxa" w:w="964"/>
            <w:vAlign w:val="top"/>
          </w:tcPr>
          <w:p>
            <w:r/>
            <w:r>
              <w:rPr>
                <w:b w:val="0"/>
                <w:sz w:val="13"/>
              </w:rPr>
              <w:t>T1</w:t>
            </w:r>
          </w:p>
        </w:tc>
      </w:tr>
      <w:tr>
        <w:trPr>
          <w:cantSplit/>
        </w:trPr>
        <w:tc>
          <w:tcPr>
            <w:tcW w:type="dxa" w:w="1247"/>
            <w:vAlign w:val="top"/>
          </w:tcPr>
          <w:p>
            <w:r/>
            <w:r>
              <w:rPr>
                <w:b w:val="0"/>
                <w:sz w:val="13"/>
              </w:rPr>
              <w:t>SEC-004</w:t>
            </w:r>
          </w:p>
        </w:tc>
        <w:tc>
          <w:tcPr>
            <w:tcW w:type="dxa" w:w="2324"/>
            <w:vAlign w:val="top"/>
          </w:tcPr>
          <w:p>
            <w:r/>
            <w:r>
              <w:rPr>
                <w:b w:val="0"/>
                <w:sz w:val="13"/>
              </w:rPr>
              <w:t>SEC Nigeria</w:t>
            </w:r>
          </w:p>
        </w:tc>
        <w:tc>
          <w:tcPr>
            <w:tcW w:type="dxa" w:w="4819"/>
            <w:vAlign w:val="top"/>
          </w:tcPr>
          <w:p>
            <w:r>
              <w:rPr>
                <w:sz w:val="13"/>
              </w:rPr>
            </w:r>
            <w:hyperlink r:id="rId31">
              <w:r>
                <w:rPr>
                  <w:color w:val="0563C1"/>
                  <w:u w:val="single"/>
                </w:rPr>
                <w:t xml:space="preserve">Monthly NAV for CIS — index</w:t>
              </w:r>
            </w:hyperlink>
          </w:p>
        </w:tc>
        <w:tc>
          <w:tcPr>
            <w:tcW w:type="dxa" w:w="3969"/>
            <w:vAlign w:val="top"/>
          </w:tcPr>
          <w:p>
            <w:r/>
            <w:r>
              <w:rPr>
                <w:b w:val="0"/>
                <w:sz w:val="13"/>
              </w:rPr>
              <w:t>Photographies mensuelles CIS</w:t>
            </w:r>
          </w:p>
        </w:tc>
        <w:tc>
          <w:tcPr>
            <w:tcW w:type="dxa" w:w="1701"/>
            <w:vAlign w:val="top"/>
          </w:tcPr>
          <w:p>
            <w:r/>
            <w:r>
              <w:rPr>
                <w:b w:val="0"/>
                <w:sz w:val="13"/>
              </w:rPr>
              <w:t>Mensuel</w:t>
            </w:r>
          </w:p>
        </w:tc>
        <w:tc>
          <w:tcPr>
            <w:tcW w:type="dxa" w:w="964"/>
            <w:vAlign w:val="top"/>
          </w:tcPr>
          <w:p>
            <w:r/>
            <w:r>
              <w:rPr>
                <w:b w:val="0"/>
                <w:sz w:val="13"/>
              </w:rPr>
              <w:t>T1</w:t>
            </w:r>
          </w:p>
        </w:tc>
      </w:tr>
      <w:tr>
        <w:trPr>
          <w:cantSplit/>
        </w:trPr>
        <w:tc>
          <w:tcPr>
            <w:tcW w:type="dxa" w:w="1247"/>
            <w:vAlign w:val="top"/>
          </w:tcPr>
          <w:p>
            <w:r/>
            <w:r>
              <w:rPr>
                <w:b w:val="0"/>
                <w:sz w:val="13"/>
              </w:rPr>
              <w:t>SEC-M-2019</w:t>
            </w:r>
          </w:p>
        </w:tc>
        <w:tc>
          <w:tcPr>
            <w:tcW w:type="dxa" w:w="2324"/>
            <w:vAlign w:val="top"/>
          </w:tcPr>
          <w:p>
            <w:r/>
            <w:r>
              <w:rPr>
                <w:b w:val="0"/>
                <w:sz w:val="13"/>
              </w:rPr>
              <w:t>SEC Nigeria</w:t>
            </w:r>
          </w:p>
        </w:tc>
        <w:tc>
          <w:tcPr>
            <w:tcW w:type="dxa" w:w="4819"/>
            <w:vAlign w:val="top"/>
          </w:tcPr>
          <w:p>
            <w:r>
              <w:rPr>
                <w:sz w:val="13"/>
              </w:rPr>
            </w:r>
            <w:hyperlink r:id="rId32">
              <w:r>
                <w:rPr>
                  <w:color w:val="0563C1"/>
                  <w:u w:val="single"/>
                </w:rPr>
                <w:t xml:space="preserve">Monthly CIS 2019</w:t>
              </w:r>
            </w:hyperlink>
          </w:p>
        </w:tc>
        <w:tc>
          <w:tcPr>
            <w:tcW w:type="dxa" w:w="3969"/>
            <w:vAlign w:val="top"/>
          </w:tcPr>
          <w:p>
            <w:r/>
            <w:r>
              <w:rPr>
                <w:b w:val="0"/>
                <w:sz w:val="13"/>
              </w:rPr>
              <w:t>Photographies mensuelles 2019</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SEC-M-2020</w:t>
            </w:r>
          </w:p>
        </w:tc>
        <w:tc>
          <w:tcPr>
            <w:tcW w:type="dxa" w:w="2324"/>
            <w:vAlign w:val="top"/>
          </w:tcPr>
          <w:p>
            <w:r/>
            <w:r>
              <w:rPr>
                <w:b w:val="0"/>
                <w:sz w:val="13"/>
              </w:rPr>
              <w:t>SEC Nigeria</w:t>
            </w:r>
          </w:p>
        </w:tc>
        <w:tc>
          <w:tcPr>
            <w:tcW w:type="dxa" w:w="4819"/>
            <w:vAlign w:val="top"/>
          </w:tcPr>
          <w:p>
            <w:r>
              <w:rPr>
                <w:sz w:val="13"/>
              </w:rPr>
            </w:r>
            <w:hyperlink r:id="rId33">
              <w:r>
                <w:rPr>
                  <w:color w:val="0563C1"/>
                  <w:u w:val="single"/>
                </w:rPr>
                <w:t xml:space="preserve">Monthly CIS 2020</w:t>
              </w:r>
            </w:hyperlink>
          </w:p>
        </w:tc>
        <w:tc>
          <w:tcPr>
            <w:tcW w:type="dxa" w:w="3969"/>
            <w:vAlign w:val="top"/>
          </w:tcPr>
          <w:p>
            <w:r/>
            <w:r>
              <w:rPr>
                <w:b w:val="0"/>
                <w:sz w:val="13"/>
              </w:rPr>
              <w:t>Photographies mensuelles 2020</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SEC-M-2021</w:t>
            </w:r>
          </w:p>
        </w:tc>
        <w:tc>
          <w:tcPr>
            <w:tcW w:type="dxa" w:w="2324"/>
            <w:vAlign w:val="top"/>
          </w:tcPr>
          <w:p>
            <w:r/>
            <w:r>
              <w:rPr>
                <w:b w:val="0"/>
                <w:sz w:val="13"/>
              </w:rPr>
              <w:t>SEC Nigeria</w:t>
            </w:r>
          </w:p>
        </w:tc>
        <w:tc>
          <w:tcPr>
            <w:tcW w:type="dxa" w:w="4819"/>
            <w:vAlign w:val="top"/>
          </w:tcPr>
          <w:p>
            <w:r>
              <w:rPr>
                <w:sz w:val="13"/>
              </w:rPr>
            </w:r>
            <w:hyperlink r:id="rId34">
              <w:r>
                <w:rPr>
                  <w:color w:val="0563C1"/>
                  <w:u w:val="single"/>
                </w:rPr>
                <w:t xml:space="preserve">Monthly CIS 2021</w:t>
              </w:r>
            </w:hyperlink>
          </w:p>
        </w:tc>
        <w:tc>
          <w:tcPr>
            <w:tcW w:type="dxa" w:w="3969"/>
            <w:vAlign w:val="top"/>
          </w:tcPr>
          <w:p>
            <w:r/>
            <w:r>
              <w:rPr>
                <w:b w:val="0"/>
                <w:sz w:val="13"/>
              </w:rPr>
              <w:t>Photographies mensuelles 2021</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SEC-M-2022</w:t>
            </w:r>
          </w:p>
        </w:tc>
        <w:tc>
          <w:tcPr>
            <w:tcW w:type="dxa" w:w="2324"/>
            <w:vAlign w:val="top"/>
          </w:tcPr>
          <w:p>
            <w:r/>
            <w:r>
              <w:rPr>
                <w:b w:val="0"/>
                <w:sz w:val="13"/>
              </w:rPr>
              <w:t>SEC Nigeria</w:t>
            </w:r>
          </w:p>
        </w:tc>
        <w:tc>
          <w:tcPr>
            <w:tcW w:type="dxa" w:w="4819"/>
            <w:vAlign w:val="top"/>
          </w:tcPr>
          <w:p>
            <w:r>
              <w:rPr>
                <w:sz w:val="13"/>
              </w:rPr>
            </w:r>
            <w:hyperlink r:id="rId35">
              <w:r>
                <w:rPr>
                  <w:color w:val="0563C1"/>
                  <w:u w:val="single"/>
                </w:rPr>
                <w:t xml:space="preserve">Monthly CIS 2022</w:t>
              </w:r>
            </w:hyperlink>
          </w:p>
        </w:tc>
        <w:tc>
          <w:tcPr>
            <w:tcW w:type="dxa" w:w="3969"/>
            <w:vAlign w:val="top"/>
          </w:tcPr>
          <w:p>
            <w:r/>
            <w:r>
              <w:rPr>
                <w:b w:val="0"/>
                <w:sz w:val="13"/>
              </w:rPr>
              <w:t>Photographies mensuelles 2022</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SEC-M-2023</w:t>
            </w:r>
          </w:p>
        </w:tc>
        <w:tc>
          <w:tcPr>
            <w:tcW w:type="dxa" w:w="2324"/>
            <w:vAlign w:val="top"/>
          </w:tcPr>
          <w:p>
            <w:r/>
            <w:r>
              <w:rPr>
                <w:b w:val="0"/>
                <w:sz w:val="13"/>
              </w:rPr>
              <w:t>SEC Nigeria</w:t>
            </w:r>
          </w:p>
        </w:tc>
        <w:tc>
          <w:tcPr>
            <w:tcW w:type="dxa" w:w="4819"/>
            <w:vAlign w:val="top"/>
          </w:tcPr>
          <w:p>
            <w:r>
              <w:rPr>
                <w:sz w:val="13"/>
              </w:rPr>
            </w:r>
            <w:hyperlink r:id="rId36">
              <w:r>
                <w:rPr>
                  <w:color w:val="0563C1"/>
                  <w:u w:val="single"/>
                </w:rPr>
                <w:t xml:space="preserve">Monthly CIS 2023</w:t>
              </w:r>
            </w:hyperlink>
          </w:p>
        </w:tc>
        <w:tc>
          <w:tcPr>
            <w:tcW w:type="dxa" w:w="3969"/>
            <w:vAlign w:val="top"/>
          </w:tcPr>
          <w:p>
            <w:r/>
            <w:r>
              <w:rPr>
                <w:b w:val="0"/>
                <w:sz w:val="13"/>
              </w:rPr>
              <w:t>Photographies mensuelles 2023</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SEC-M-2024</w:t>
            </w:r>
          </w:p>
        </w:tc>
        <w:tc>
          <w:tcPr>
            <w:tcW w:type="dxa" w:w="2324"/>
            <w:vAlign w:val="top"/>
          </w:tcPr>
          <w:p>
            <w:r/>
            <w:r>
              <w:rPr>
                <w:b w:val="0"/>
                <w:sz w:val="13"/>
              </w:rPr>
              <w:t>SEC Nigeria</w:t>
            </w:r>
          </w:p>
        </w:tc>
        <w:tc>
          <w:tcPr>
            <w:tcW w:type="dxa" w:w="4819"/>
            <w:vAlign w:val="top"/>
          </w:tcPr>
          <w:p>
            <w:r>
              <w:rPr>
                <w:sz w:val="13"/>
              </w:rPr>
            </w:r>
            <w:hyperlink r:id="rId37">
              <w:r>
                <w:rPr>
                  <w:color w:val="0563C1"/>
                  <w:u w:val="single"/>
                </w:rPr>
                <w:t xml:space="preserve">Monthly CIS 2024</w:t>
              </w:r>
            </w:hyperlink>
          </w:p>
        </w:tc>
        <w:tc>
          <w:tcPr>
            <w:tcW w:type="dxa" w:w="3969"/>
            <w:vAlign w:val="top"/>
          </w:tcPr>
          <w:p>
            <w:r/>
            <w:r>
              <w:rPr>
                <w:b w:val="0"/>
                <w:sz w:val="13"/>
              </w:rPr>
              <w:t>Photographies mensuelles 2024</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SEC-M-2025</w:t>
            </w:r>
          </w:p>
        </w:tc>
        <w:tc>
          <w:tcPr>
            <w:tcW w:type="dxa" w:w="2324"/>
            <w:vAlign w:val="top"/>
          </w:tcPr>
          <w:p>
            <w:r/>
            <w:r>
              <w:rPr>
                <w:b w:val="0"/>
                <w:sz w:val="13"/>
              </w:rPr>
              <w:t>SEC Nigeria</w:t>
            </w:r>
          </w:p>
        </w:tc>
        <w:tc>
          <w:tcPr>
            <w:tcW w:type="dxa" w:w="4819"/>
            <w:vAlign w:val="top"/>
          </w:tcPr>
          <w:p>
            <w:r>
              <w:rPr>
                <w:sz w:val="13"/>
              </w:rPr>
            </w:r>
            <w:hyperlink r:id="rId38">
              <w:r>
                <w:rPr>
                  <w:color w:val="0563C1"/>
                  <w:u w:val="single"/>
                </w:rPr>
                <w:t xml:space="preserve">Monthly CIS 2025</w:t>
              </w:r>
            </w:hyperlink>
          </w:p>
        </w:tc>
        <w:tc>
          <w:tcPr>
            <w:tcW w:type="dxa" w:w="3969"/>
            <w:vAlign w:val="top"/>
          </w:tcPr>
          <w:p>
            <w:r/>
            <w:r>
              <w:rPr>
                <w:b w:val="0"/>
                <w:sz w:val="13"/>
              </w:rPr>
              <w:t>Photographies mensuelles 2025</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SEC-M-2026</w:t>
            </w:r>
          </w:p>
        </w:tc>
        <w:tc>
          <w:tcPr>
            <w:tcW w:type="dxa" w:w="2324"/>
            <w:vAlign w:val="top"/>
          </w:tcPr>
          <w:p>
            <w:r/>
            <w:r>
              <w:rPr>
                <w:b w:val="0"/>
                <w:sz w:val="13"/>
              </w:rPr>
              <w:t>SEC Nigeria</w:t>
            </w:r>
          </w:p>
        </w:tc>
        <w:tc>
          <w:tcPr>
            <w:tcW w:type="dxa" w:w="4819"/>
            <w:vAlign w:val="top"/>
          </w:tcPr>
          <w:p>
            <w:r>
              <w:rPr>
                <w:sz w:val="13"/>
              </w:rPr>
            </w:r>
            <w:hyperlink r:id="rId39">
              <w:r>
                <w:rPr>
                  <w:color w:val="0563C1"/>
                  <w:u w:val="single"/>
                </w:rPr>
                <w:t xml:space="preserve">Monthly CIS 2026</w:t>
              </w:r>
            </w:hyperlink>
          </w:p>
        </w:tc>
        <w:tc>
          <w:tcPr>
            <w:tcW w:type="dxa" w:w="3969"/>
            <w:vAlign w:val="top"/>
          </w:tcPr>
          <w:p>
            <w:r/>
            <w:r>
              <w:rPr>
                <w:b w:val="0"/>
                <w:sz w:val="13"/>
              </w:rPr>
              <w:t>Photographies mensuelles 2026</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SEC-005</w:t>
            </w:r>
          </w:p>
        </w:tc>
        <w:tc>
          <w:tcPr>
            <w:tcW w:type="dxa" w:w="2324"/>
            <w:vAlign w:val="top"/>
          </w:tcPr>
          <w:p>
            <w:r/>
            <w:r>
              <w:rPr>
                <w:b w:val="0"/>
                <w:sz w:val="13"/>
              </w:rPr>
              <w:t>SEC Nigeria</w:t>
            </w:r>
          </w:p>
        </w:tc>
        <w:tc>
          <w:tcPr>
            <w:tcW w:type="dxa" w:w="4819"/>
            <w:vAlign w:val="top"/>
          </w:tcPr>
          <w:p>
            <w:r>
              <w:rPr>
                <w:sz w:val="13"/>
              </w:rPr>
            </w:r>
            <w:hyperlink r:id="rId40">
              <w:r>
                <w:rPr>
                  <w:color w:val="0563C1"/>
                  <w:u w:val="single"/>
                </w:rPr>
                <w:t xml:space="preserve">Monthly NAV for ETF — index</w:t>
              </w:r>
            </w:hyperlink>
          </w:p>
        </w:tc>
        <w:tc>
          <w:tcPr>
            <w:tcW w:type="dxa" w:w="3969"/>
            <w:vAlign w:val="top"/>
          </w:tcPr>
          <w:p>
            <w:r/>
            <w:r>
              <w:rPr>
                <w:b w:val="0"/>
                <w:sz w:val="13"/>
              </w:rPr>
              <w:t>Photographies mensuelles ETF</w:t>
            </w:r>
          </w:p>
        </w:tc>
        <w:tc>
          <w:tcPr>
            <w:tcW w:type="dxa" w:w="1701"/>
            <w:vAlign w:val="top"/>
          </w:tcPr>
          <w:p>
            <w:r/>
            <w:r>
              <w:rPr>
                <w:b w:val="0"/>
                <w:sz w:val="13"/>
              </w:rPr>
              <w:t>Mensuel</w:t>
            </w:r>
          </w:p>
        </w:tc>
        <w:tc>
          <w:tcPr>
            <w:tcW w:type="dxa" w:w="964"/>
            <w:vAlign w:val="top"/>
          </w:tcPr>
          <w:p>
            <w:r/>
            <w:r>
              <w:rPr>
                <w:b w:val="0"/>
                <w:sz w:val="13"/>
              </w:rPr>
              <w:t>T1</w:t>
            </w:r>
          </w:p>
        </w:tc>
      </w:tr>
      <w:tr>
        <w:trPr>
          <w:cantSplit/>
        </w:trPr>
        <w:tc>
          <w:tcPr>
            <w:tcW w:type="dxa" w:w="1247"/>
            <w:vAlign w:val="top"/>
          </w:tcPr>
          <w:p>
            <w:r/>
            <w:r>
              <w:rPr>
                <w:b w:val="0"/>
                <w:sz w:val="13"/>
              </w:rPr>
              <w:t>SEC-E-2017</w:t>
            </w:r>
          </w:p>
        </w:tc>
        <w:tc>
          <w:tcPr>
            <w:tcW w:type="dxa" w:w="2324"/>
            <w:vAlign w:val="top"/>
          </w:tcPr>
          <w:p>
            <w:r/>
            <w:r>
              <w:rPr>
                <w:b w:val="0"/>
                <w:sz w:val="13"/>
              </w:rPr>
              <w:t>SEC Nigeria</w:t>
            </w:r>
          </w:p>
        </w:tc>
        <w:tc>
          <w:tcPr>
            <w:tcW w:type="dxa" w:w="4819"/>
            <w:vAlign w:val="top"/>
          </w:tcPr>
          <w:p>
            <w:r>
              <w:rPr>
                <w:sz w:val="13"/>
              </w:rPr>
            </w:r>
            <w:hyperlink r:id="rId41">
              <w:r>
                <w:rPr>
                  <w:color w:val="0563C1"/>
                  <w:u w:val="single"/>
                </w:rPr>
                <w:t xml:space="preserve">Monthly ETF 2017</w:t>
              </w:r>
            </w:hyperlink>
          </w:p>
        </w:tc>
        <w:tc>
          <w:tcPr>
            <w:tcW w:type="dxa" w:w="3969"/>
            <w:vAlign w:val="top"/>
          </w:tcPr>
          <w:p>
            <w:r/>
            <w:r>
              <w:rPr>
                <w:b w:val="0"/>
                <w:sz w:val="13"/>
              </w:rPr>
              <w:t>ETF mensuels 2017</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SEC-E-2018</w:t>
            </w:r>
          </w:p>
        </w:tc>
        <w:tc>
          <w:tcPr>
            <w:tcW w:type="dxa" w:w="2324"/>
            <w:vAlign w:val="top"/>
          </w:tcPr>
          <w:p>
            <w:r/>
            <w:r>
              <w:rPr>
                <w:b w:val="0"/>
                <w:sz w:val="13"/>
              </w:rPr>
              <w:t>SEC Nigeria</w:t>
            </w:r>
          </w:p>
        </w:tc>
        <w:tc>
          <w:tcPr>
            <w:tcW w:type="dxa" w:w="4819"/>
            <w:vAlign w:val="top"/>
          </w:tcPr>
          <w:p>
            <w:r>
              <w:rPr>
                <w:sz w:val="13"/>
              </w:rPr>
            </w:r>
            <w:hyperlink r:id="rId42">
              <w:r>
                <w:rPr>
                  <w:color w:val="0563C1"/>
                  <w:u w:val="single"/>
                </w:rPr>
                <w:t xml:space="preserve">Monthly ETF 2018</w:t>
              </w:r>
            </w:hyperlink>
          </w:p>
        </w:tc>
        <w:tc>
          <w:tcPr>
            <w:tcW w:type="dxa" w:w="3969"/>
            <w:vAlign w:val="top"/>
          </w:tcPr>
          <w:p>
            <w:r/>
            <w:r>
              <w:rPr>
                <w:b w:val="0"/>
                <w:sz w:val="13"/>
              </w:rPr>
              <w:t>ETF mensuels 2018</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SEC-E-2019</w:t>
            </w:r>
          </w:p>
        </w:tc>
        <w:tc>
          <w:tcPr>
            <w:tcW w:type="dxa" w:w="2324"/>
            <w:vAlign w:val="top"/>
          </w:tcPr>
          <w:p>
            <w:r/>
            <w:r>
              <w:rPr>
                <w:b w:val="0"/>
                <w:sz w:val="13"/>
              </w:rPr>
              <w:t>SEC Nigeria</w:t>
            </w:r>
          </w:p>
        </w:tc>
        <w:tc>
          <w:tcPr>
            <w:tcW w:type="dxa" w:w="4819"/>
            <w:vAlign w:val="top"/>
          </w:tcPr>
          <w:p>
            <w:r>
              <w:rPr>
                <w:sz w:val="13"/>
              </w:rPr>
            </w:r>
            <w:hyperlink r:id="rId43">
              <w:r>
                <w:rPr>
                  <w:color w:val="0563C1"/>
                  <w:u w:val="single"/>
                </w:rPr>
                <w:t xml:space="preserve">Monthly ETF 2019</w:t>
              </w:r>
            </w:hyperlink>
          </w:p>
        </w:tc>
        <w:tc>
          <w:tcPr>
            <w:tcW w:type="dxa" w:w="3969"/>
            <w:vAlign w:val="top"/>
          </w:tcPr>
          <w:p>
            <w:r/>
            <w:r>
              <w:rPr>
                <w:b w:val="0"/>
                <w:sz w:val="13"/>
              </w:rPr>
              <w:t>ETF mensuels 2019</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SEC-E-2020</w:t>
            </w:r>
          </w:p>
        </w:tc>
        <w:tc>
          <w:tcPr>
            <w:tcW w:type="dxa" w:w="2324"/>
            <w:vAlign w:val="top"/>
          </w:tcPr>
          <w:p>
            <w:r/>
            <w:r>
              <w:rPr>
                <w:b w:val="0"/>
                <w:sz w:val="13"/>
              </w:rPr>
              <w:t>SEC Nigeria</w:t>
            </w:r>
          </w:p>
        </w:tc>
        <w:tc>
          <w:tcPr>
            <w:tcW w:type="dxa" w:w="4819"/>
            <w:vAlign w:val="top"/>
          </w:tcPr>
          <w:p>
            <w:r>
              <w:rPr>
                <w:sz w:val="13"/>
              </w:rPr>
            </w:r>
            <w:hyperlink r:id="rId44">
              <w:r>
                <w:rPr>
                  <w:color w:val="0563C1"/>
                  <w:u w:val="single"/>
                </w:rPr>
                <w:t xml:space="preserve">Monthly ETF 2020</w:t>
              </w:r>
            </w:hyperlink>
          </w:p>
        </w:tc>
        <w:tc>
          <w:tcPr>
            <w:tcW w:type="dxa" w:w="3969"/>
            <w:vAlign w:val="top"/>
          </w:tcPr>
          <w:p>
            <w:r/>
            <w:r>
              <w:rPr>
                <w:b w:val="0"/>
                <w:sz w:val="13"/>
              </w:rPr>
              <w:t>ETF mensuels 2020</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SEC-E-2021</w:t>
            </w:r>
          </w:p>
        </w:tc>
        <w:tc>
          <w:tcPr>
            <w:tcW w:type="dxa" w:w="2324"/>
            <w:vAlign w:val="top"/>
          </w:tcPr>
          <w:p>
            <w:r/>
            <w:r>
              <w:rPr>
                <w:b w:val="0"/>
                <w:sz w:val="13"/>
              </w:rPr>
              <w:t>SEC Nigeria</w:t>
            </w:r>
          </w:p>
        </w:tc>
        <w:tc>
          <w:tcPr>
            <w:tcW w:type="dxa" w:w="4819"/>
            <w:vAlign w:val="top"/>
          </w:tcPr>
          <w:p>
            <w:r>
              <w:rPr>
                <w:sz w:val="13"/>
              </w:rPr>
            </w:r>
            <w:hyperlink r:id="rId45">
              <w:r>
                <w:rPr>
                  <w:color w:val="0563C1"/>
                  <w:u w:val="single"/>
                </w:rPr>
                <w:t xml:space="preserve">Monthly ETF 2021</w:t>
              </w:r>
            </w:hyperlink>
          </w:p>
        </w:tc>
        <w:tc>
          <w:tcPr>
            <w:tcW w:type="dxa" w:w="3969"/>
            <w:vAlign w:val="top"/>
          </w:tcPr>
          <w:p>
            <w:r/>
            <w:r>
              <w:rPr>
                <w:b w:val="0"/>
                <w:sz w:val="13"/>
              </w:rPr>
              <w:t>ETF mensuels 2021</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SEC-E-2022</w:t>
            </w:r>
          </w:p>
        </w:tc>
        <w:tc>
          <w:tcPr>
            <w:tcW w:type="dxa" w:w="2324"/>
            <w:vAlign w:val="top"/>
          </w:tcPr>
          <w:p>
            <w:r/>
            <w:r>
              <w:rPr>
                <w:b w:val="0"/>
                <w:sz w:val="13"/>
              </w:rPr>
              <w:t>SEC Nigeria</w:t>
            </w:r>
          </w:p>
        </w:tc>
        <w:tc>
          <w:tcPr>
            <w:tcW w:type="dxa" w:w="4819"/>
            <w:vAlign w:val="top"/>
          </w:tcPr>
          <w:p>
            <w:r>
              <w:rPr>
                <w:sz w:val="13"/>
              </w:rPr>
            </w:r>
            <w:hyperlink r:id="rId46">
              <w:r>
                <w:rPr>
                  <w:color w:val="0563C1"/>
                  <w:u w:val="single"/>
                </w:rPr>
                <w:t xml:space="preserve">Monthly ETF 2022</w:t>
              </w:r>
            </w:hyperlink>
          </w:p>
        </w:tc>
        <w:tc>
          <w:tcPr>
            <w:tcW w:type="dxa" w:w="3969"/>
            <w:vAlign w:val="top"/>
          </w:tcPr>
          <w:p>
            <w:r/>
            <w:r>
              <w:rPr>
                <w:b w:val="0"/>
                <w:sz w:val="13"/>
              </w:rPr>
              <w:t>ETF mensuels 2022</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SEC-E-2023</w:t>
            </w:r>
          </w:p>
        </w:tc>
        <w:tc>
          <w:tcPr>
            <w:tcW w:type="dxa" w:w="2324"/>
            <w:vAlign w:val="top"/>
          </w:tcPr>
          <w:p>
            <w:r/>
            <w:r>
              <w:rPr>
                <w:b w:val="0"/>
                <w:sz w:val="13"/>
              </w:rPr>
              <w:t>SEC Nigeria</w:t>
            </w:r>
          </w:p>
        </w:tc>
        <w:tc>
          <w:tcPr>
            <w:tcW w:type="dxa" w:w="4819"/>
            <w:vAlign w:val="top"/>
          </w:tcPr>
          <w:p>
            <w:r>
              <w:rPr>
                <w:sz w:val="13"/>
              </w:rPr>
            </w:r>
            <w:hyperlink r:id="rId47">
              <w:r>
                <w:rPr>
                  <w:color w:val="0563C1"/>
                  <w:u w:val="single"/>
                </w:rPr>
                <w:t xml:space="preserve">Monthly ETF 2023</w:t>
              </w:r>
            </w:hyperlink>
          </w:p>
        </w:tc>
        <w:tc>
          <w:tcPr>
            <w:tcW w:type="dxa" w:w="3969"/>
            <w:vAlign w:val="top"/>
          </w:tcPr>
          <w:p>
            <w:r/>
            <w:r>
              <w:rPr>
                <w:b w:val="0"/>
                <w:sz w:val="13"/>
              </w:rPr>
              <w:t>ETF mensuels 2023</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SEC-E-2024</w:t>
            </w:r>
          </w:p>
        </w:tc>
        <w:tc>
          <w:tcPr>
            <w:tcW w:type="dxa" w:w="2324"/>
            <w:vAlign w:val="top"/>
          </w:tcPr>
          <w:p>
            <w:r/>
            <w:r>
              <w:rPr>
                <w:b w:val="0"/>
                <w:sz w:val="13"/>
              </w:rPr>
              <w:t>SEC Nigeria</w:t>
            </w:r>
          </w:p>
        </w:tc>
        <w:tc>
          <w:tcPr>
            <w:tcW w:type="dxa" w:w="4819"/>
            <w:vAlign w:val="top"/>
          </w:tcPr>
          <w:p>
            <w:r>
              <w:rPr>
                <w:sz w:val="13"/>
              </w:rPr>
            </w:r>
            <w:hyperlink r:id="rId48">
              <w:r>
                <w:rPr>
                  <w:color w:val="0563C1"/>
                  <w:u w:val="single"/>
                </w:rPr>
                <w:t xml:space="preserve">Monthly ETF 2024</w:t>
              </w:r>
            </w:hyperlink>
          </w:p>
        </w:tc>
        <w:tc>
          <w:tcPr>
            <w:tcW w:type="dxa" w:w="3969"/>
            <w:vAlign w:val="top"/>
          </w:tcPr>
          <w:p>
            <w:r/>
            <w:r>
              <w:rPr>
                <w:b w:val="0"/>
                <w:sz w:val="13"/>
              </w:rPr>
              <w:t>ETF mensuels 2024</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SEC-E-2025</w:t>
            </w:r>
          </w:p>
        </w:tc>
        <w:tc>
          <w:tcPr>
            <w:tcW w:type="dxa" w:w="2324"/>
            <w:vAlign w:val="top"/>
          </w:tcPr>
          <w:p>
            <w:r/>
            <w:r>
              <w:rPr>
                <w:b w:val="0"/>
                <w:sz w:val="13"/>
              </w:rPr>
              <w:t>SEC Nigeria</w:t>
            </w:r>
          </w:p>
        </w:tc>
        <w:tc>
          <w:tcPr>
            <w:tcW w:type="dxa" w:w="4819"/>
            <w:vAlign w:val="top"/>
          </w:tcPr>
          <w:p>
            <w:r>
              <w:rPr>
                <w:sz w:val="13"/>
              </w:rPr>
            </w:r>
            <w:hyperlink r:id="rId49">
              <w:r>
                <w:rPr>
                  <w:color w:val="0563C1"/>
                  <w:u w:val="single"/>
                </w:rPr>
                <w:t xml:space="preserve">Monthly ETF 2025</w:t>
              </w:r>
            </w:hyperlink>
          </w:p>
        </w:tc>
        <w:tc>
          <w:tcPr>
            <w:tcW w:type="dxa" w:w="3969"/>
            <w:vAlign w:val="top"/>
          </w:tcPr>
          <w:p>
            <w:r/>
            <w:r>
              <w:rPr>
                <w:b w:val="0"/>
                <w:sz w:val="13"/>
              </w:rPr>
              <w:t>ETF mensuels 2025</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SEC-E-2026</w:t>
            </w:r>
          </w:p>
        </w:tc>
        <w:tc>
          <w:tcPr>
            <w:tcW w:type="dxa" w:w="2324"/>
            <w:vAlign w:val="top"/>
          </w:tcPr>
          <w:p>
            <w:r/>
            <w:r>
              <w:rPr>
                <w:b w:val="0"/>
                <w:sz w:val="13"/>
              </w:rPr>
              <w:t>SEC Nigeria</w:t>
            </w:r>
          </w:p>
        </w:tc>
        <w:tc>
          <w:tcPr>
            <w:tcW w:type="dxa" w:w="4819"/>
            <w:vAlign w:val="top"/>
          </w:tcPr>
          <w:p>
            <w:r>
              <w:rPr>
                <w:sz w:val="13"/>
              </w:rPr>
            </w:r>
            <w:hyperlink r:id="rId50">
              <w:r>
                <w:rPr>
                  <w:color w:val="0563C1"/>
                  <w:u w:val="single"/>
                </w:rPr>
                <w:t xml:space="preserve">Monthly ETF 2026</w:t>
              </w:r>
            </w:hyperlink>
          </w:p>
        </w:tc>
        <w:tc>
          <w:tcPr>
            <w:tcW w:type="dxa" w:w="3969"/>
            <w:vAlign w:val="top"/>
          </w:tcPr>
          <w:p>
            <w:r/>
            <w:r>
              <w:rPr>
                <w:b w:val="0"/>
                <w:sz w:val="13"/>
              </w:rPr>
              <w:t>ETF mensuels 2026</w:t>
            </w:r>
          </w:p>
        </w:tc>
        <w:tc>
          <w:tcPr>
            <w:tcW w:type="dxa" w:w="1701"/>
            <w:vAlign w:val="top"/>
          </w:tcPr>
          <w:p>
            <w:r/>
            <w:r>
              <w:rPr>
                <w:b w:val="0"/>
                <w:sz w:val="13"/>
              </w:rPr>
              <w:t>Mensuel/archives</w:t>
            </w:r>
          </w:p>
        </w:tc>
        <w:tc>
          <w:tcPr>
            <w:tcW w:type="dxa" w:w="964"/>
            <w:vAlign w:val="top"/>
          </w:tcPr>
          <w:p>
            <w:r/>
            <w:r>
              <w:rPr>
                <w:b w:val="0"/>
                <w:sz w:val="13"/>
              </w:rPr>
              <w:t>T1</w:t>
            </w:r>
          </w:p>
        </w:tc>
      </w:tr>
      <w:tr>
        <w:trPr>
          <w:cantSplit/>
        </w:trPr>
        <w:tc>
          <w:tcPr>
            <w:tcW w:type="dxa" w:w="1247"/>
            <w:vAlign w:val="top"/>
          </w:tcPr>
          <w:p>
            <w:r/>
            <w:r>
              <w:rPr>
                <w:b w:val="0"/>
                <w:sz w:val="13"/>
              </w:rPr>
              <w:t>SEC-XLSX-202603</w:t>
            </w:r>
          </w:p>
        </w:tc>
        <w:tc>
          <w:tcPr>
            <w:tcW w:type="dxa" w:w="2324"/>
            <w:vAlign w:val="top"/>
          </w:tcPr>
          <w:p>
            <w:r/>
            <w:r>
              <w:rPr>
                <w:b w:val="0"/>
                <w:sz w:val="13"/>
              </w:rPr>
              <w:t>SEC Nigeria</w:t>
            </w:r>
          </w:p>
        </w:tc>
        <w:tc>
          <w:tcPr>
            <w:tcW w:type="dxa" w:w="4819"/>
            <w:vAlign w:val="top"/>
          </w:tcPr>
          <w:p>
            <w:r>
              <w:rPr>
                <w:sz w:val="13"/>
              </w:rPr>
            </w:r>
            <w:hyperlink r:id="rId51">
              <w:r>
                <w:rPr>
                  <w:color w:val="0563C1"/>
                  <w:u w:val="single"/>
                </w:rPr>
                <w:t xml:space="preserve">Monthly mutual funds — March 2026</w:t>
              </w:r>
            </w:hyperlink>
          </w:p>
        </w:tc>
        <w:tc>
          <w:tcPr>
            <w:tcW w:type="dxa" w:w="3969"/>
            <w:vAlign w:val="top"/>
          </w:tcPr>
          <w:p>
            <w:r/>
            <w:r>
              <w:rPr>
                <w:b w:val="0"/>
                <w:sz w:val="13"/>
              </w:rPr>
              <w:t>Fichier analysé pour la photographie courante</w:t>
            </w:r>
          </w:p>
        </w:tc>
        <w:tc>
          <w:tcPr>
            <w:tcW w:type="dxa" w:w="1701"/>
            <w:vAlign w:val="top"/>
          </w:tcPr>
          <w:p>
            <w:r/>
            <w:r>
              <w:rPr>
                <w:b w:val="0"/>
                <w:sz w:val="13"/>
              </w:rPr>
              <w:t>Ponctuel</w:t>
            </w:r>
          </w:p>
        </w:tc>
        <w:tc>
          <w:tcPr>
            <w:tcW w:type="dxa" w:w="964"/>
            <w:vAlign w:val="top"/>
          </w:tcPr>
          <w:p>
            <w:r/>
            <w:r>
              <w:rPr>
                <w:b w:val="0"/>
                <w:sz w:val="13"/>
              </w:rPr>
              <w:t>T1</w:t>
            </w:r>
          </w:p>
        </w:tc>
      </w:tr>
      <w:tr>
        <w:trPr>
          <w:cantSplit/>
        </w:trPr>
        <w:tc>
          <w:tcPr>
            <w:tcW w:type="dxa" w:w="1247"/>
            <w:vAlign w:val="top"/>
          </w:tcPr>
          <w:p>
            <w:r/>
            <w:r>
              <w:rPr>
                <w:b w:val="0"/>
                <w:sz w:val="13"/>
              </w:rPr>
              <w:t>SEC-XLSX-20260710</w:t>
            </w:r>
          </w:p>
        </w:tc>
        <w:tc>
          <w:tcPr>
            <w:tcW w:type="dxa" w:w="2324"/>
            <w:vAlign w:val="top"/>
          </w:tcPr>
          <w:p>
            <w:r/>
            <w:r>
              <w:rPr>
                <w:b w:val="0"/>
                <w:sz w:val="13"/>
              </w:rPr>
              <w:t>SEC Nigeria</w:t>
            </w:r>
          </w:p>
        </w:tc>
        <w:tc>
          <w:tcPr>
            <w:tcW w:type="dxa" w:w="4819"/>
            <w:vAlign w:val="top"/>
          </w:tcPr>
          <w:p>
            <w:r>
              <w:rPr>
                <w:sz w:val="13"/>
              </w:rPr>
            </w:r>
            <w:hyperlink r:id="rId52">
              <w:r>
                <w:rPr>
                  <w:color w:val="0563C1"/>
                  <w:u w:val="single"/>
                </w:rPr>
                <w:t xml:space="preserve">Weekly NAV — 10 July 2026</w:t>
              </w:r>
            </w:hyperlink>
          </w:p>
        </w:tc>
        <w:tc>
          <w:tcPr>
            <w:tcW w:type="dxa" w:w="3969"/>
            <w:vAlign w:val="top"/>
          </w:tcPr>
          <w:p>
            <w:r/>
            <w:r>
              <w:rPr>
                <w:b w:val="0"/>
                <w:sz w:val="13"/>
              </w:rPr>
              <w:t>Dernier fichier hebdomadaire identifié lors de la recherche</w:t>
            </w:r>
          </w:p>
        </w:tc>
        <w:tc>
          <w:tcPr>
            <w:tcW w:type="dxa" w:w="1701"/>
            <w:vAlign w:val="top"/>
          </w:tcPr>
          <w:p>
            <w:r/>
            <w:r>
              <w:rPr>
                <w:b w:val="0"/>
                <w:sz w:val="13"/>
              </w:rPr>
              <w:t>Ponctuel</w:t>
            </w:r>
          </w:p>
        </w:tc>
        <w:tc>
          <w:tcPr>
            <w:tcW w:type="dxa" w:w="964"/>
            <w:vAlign w:val="top"/>
          </w:tcPr>
          <w:p>
            <w:r/>
            <w:r>
              <w:rPr>
                <w:b w:val="0"/>
                <w:sz w:val="13"/>
              </w:rPr>
              <w:t>T1</w:t>
            </w:r>
          </w:p>
        </w:tc>
      </w:tr>
      <w:tr>
        <w:trPr>
          <w:cantSplit/>
        </w:trPr>
        <w:tc>
          <w:tcPr>
            <w:tcW w:type="dxa" w:w="1247"/>
            <w:vAlign w:val="top"/>
          </w:tcPr>
          <w:p>
            <w:r/>
            <w:r>
              <w:rPr>
                <w:b w:val="0"/>
                <w:sz w:val="13"/>
              </w:rPr>
              <w:t>SEC-006</w:t>
            </w:r>
          </w:p>
        </w:tc>
        <w:tc>
          <w:tcPr>
            <w:tcW w:type="dxa" w:w="2324"/>
            <w:vAlign w:val="top"/>
          </w:tcPr>
          <w:p>
            <w:r/>
            <w:r>
              <w:rPr>
                <w:b w:val="0"/>
                <w:sz w:val="13"/>
              </w:rPr>
              <w:t>SEC Nigeria</w:t>
            </w:r>
          </w:p>
        </w:tc>
        <w:tc>
          <w:tcPr>
            <w:tcW w:type="dxa" w:w="4819"/>
            <w:vAlign w:val="top"/>
          </w:tcPr>
          <w:p>
            <w:r>
              <w:rPr>
                <w:sz w:val="13"/>
              </w:rPr>
            </w:r>
            <w:hyperlink r:id="rId53">
              <w:r>
                <w:rPr>
                  <w:color w:val="0563C1"/>
                  <w:u w:val="single"/>
                </w:rPr>
                <w:t xml:space="preserve">Registered Operators</w:t>
              </w:r>
            </w:hyperlink>
          </w:p>
        </w:tc>
        <w:tc>
          <w:tcPr>
            <w:tcW w:type="dxa" w:w="3969"/>
            <w:vAlign w:val="top"/>
          </w:tcPr>
          <w:p>
            <w:r/>
            <w:r>
              <w:rPr>
                <w:b w:val="0"/>
                <w:sz w:val="13"/>
              </w:rPr>
              <w:t>Statut, fonction, date d’enregistrement, CAC, dirigeants</w:t>
            </w:r>
          </w:p>
        </w:tc>
        <w:tc>
          <w:tcPr>
            <w:tcW w:type="dxa" w:w="1701"/>
            <w:vAlign w:val="top"/>
          </w:tcPr>
          <w:p>
            <w:r/>
            <w:r>
              <w:rPr>
                <w:b w:val="0"/>
                <w:sz w:val="13"/>
              </w:rPr>
              <w:t>Mensuel</w:t>
            </w:r>
          </w:p>
        </w:tc>
        <w:tc>
          <w:tcPr>
            <w:tcW w:type="dxa" w:w="964"/>
            <w:vAlign w:val="top"/>
          </w:tcPr>
          <w:p>
            <w:r/>
            <w:r>
              <w:rPr>
                <w:b w:val="0"/>
                <w:sz w:val="13"/>
              </w:rPr>
              <w:t>T1</w:t>
            </w:r>
          </w:p>
        </w:tc>
      </w:tr>
      <w:tr>
        <w:trPr>
          <w:cantSplit/>
        </w:trPr>
        <w:tc>
          <w:tcPr>
            <w:tcW w:type="dxa" w:w="1247"/>
            <w:vAlign w:val="top"/>
          </w:tcPr>
          <w:p>
            <w:r/>
            <w:r>
              <w:rPr>
                <w:b w:val="0"/>
                <w:sz w:val="13"/>
              </w:rPr>
              <w:t>SEC-007</w:t>
            </w:r>
          </w:p>
        </w:tc>
        <w:tc>
          <w:tcPr>
            <w:tcW w:type="dxa" w:w="2324"/>
            <w:vAlign w:val="top"/>
          </w:tcPr>
          <w:p>
            <w:r/>
            <w:r>
              <w:rPr>
                <w:b w:val="0"/>
                <w:sz w:val="13"/>
              </w:rPr>
              <w:t>SEC Nigeria</w:t>
            </w:r>
          </w:p>
        </w:tc>
        <w:tc>
          <w:tcPr>
            <w:tcW w:type="dxa" w:w="4819"/>
            <w:vAlign w:val="top"/>
          </w:tcPr>
          <w:p>
            <w:r>
              <w:rPr>
                <w:sz w:val="13"/>
              </w:rPr>
            </w:r>
            <w:hyperlink r:id="rId54">
              <w:r>
                <w:rPr>
                  <w:color w:val="0563C1"/>
                  <w:u w:val="single"/>
                </w:rPr>
                <w:t xml:space="preserve">Circulars</w:t>
              </w:r>
            </w:hyperlink>
          </w:p>
        </w:tc>
        <w:tc>
          <w:tcPr>
            <w:tcW w:type="dxa" w:w="3969"/>
            <w:vAlign w:val="top"/>
          </w:tcPr>
          <w:p>
            <w:r/>
            <w:r>
              <w:rPr>
                <w:b w:val="0"/>
                <w:sz w:val="13"/>
              </w:rPr>
              <w:t>Circulaires et événements réglementaires</w:t>
            </w:r>
          </w:p>
        </w:tc>
        <w:tc>
          <w:tcPr>
            <w:tcW w:type="dxa" w:w="1701"/>
            <w:vAlign w:val="top"/>
          </w:tcPr>
          <w:p>
            <w:r/>
            <w:r>
              <w:rPr>
                <w:b w:val="0"/>
                <w:sz w:val="13"/>
              </w:rPr>
              <w:t>Hebdomadaire</w:t>
            </w:r>
          </w:p>
        </w:tc>
        <w:tc>
          <w:tcPr>
            <w:tcW w:type="dxa" w:w="964"/>
            <w:vAlign w:val="top"/>
          </w:tcPr>
          <w:p>
            <w:r/>
            <w:r>
              <w:rPr>
                <w:b w:val="0"/>
                <w:sz w:val="13"/>
              </w:rPr>
              <w:t>T0/T1</w:t>
            </w:r>
          </w:p>
        </w:tc>
      </w:tr>
      <w:tr>
        <w:trPr>
          <w:cantSplit/>
        </w:trPr>
        <w:tc>
          <w:tcPr>
            <w:tcW w:type="dxa" w:w="1247"/>
            <w:vAlign w:val="top"/>
          </w:tcPr>
          <w:p>
            <w:r/>
            <w:r>
              <w:rPr>
                <w:b w:val="0"/>
                <w:sz w:val="13"/>
              </w:rPr>
              <w:t>SEC-008</w:t>
            </w:r>
          </w:p>
        </w:tc>
        <w:tc>
          <w:tcPr>
            <w:tcW w:type="dxa" w:w="2324"/>
            <w:vAlign w:val="top"/>
          </w:tcPr>
          <w:p>
            <w:r/>
            <w:r>
              <w:rPr>
                <w:b w:val="0"/>
                <w:sz w:val="13"/>
              </w:rPr>
              <w:t>SEC Nigeria</w:t>
            </w:r>
          </w:p>
        </w:tc>
        <w:tc>
          <w:tcPr>
            <w:tcW w:type="dxa" w:w="4819"/>
            <w:vAlign w:val="top"/>
          </w:tcPr>
          <w:p>
            <w:r>
              <w:rPr>
                <w:sz w:val="13"/>
              </w:rPr>
            </w:r>
            <w:hyperlink r:id="rId55">
              <w:r>
                <w:rPr>
                  <w:color w:val="0563C1"/>
                  <w:u w:val="single"/>
                </w:rPr>
                <w:t xml:space="preserve">Rules and Regulations</w:t>
              </w:r>
            </w:hyperlink>
          </w:p>
        </w:tc>
        <w:tc>
          <w:tcPr>
            <w:tcW w:type="dxa" w:w="3969"/>
            <w:vAlign w:val="top"/>
          </w:tcPr>
          <w:p>
            <w:r/>
            <w:r>
              <w:rPr>
                <w:b w:val="0"/>
                <w:sz w:val="13"/>
              </w:rPr>
              <w:t>Règles consolidées et amendements</w:t>
            </w:r>
          </w:p>
        </w:tc>
        <w:tc>
          <w:tcPr>
            <w:tcW w:type="dxa" w:w="1701"/>
            <w:vAlign w:val="top"/>
          </w:tcPr>
          <w:p>
            <w:r/>
            <w:r>
              <w:rPr>
                <w:b w:val="0"/>
                <w:sz w:val="13"/>
              </w:rPr>
              <w:t>Mensuel</w:t>
            </w:r>
          </w:p>
        </w:tc>
        <w:tc>
          <w:tcPr>
            <w:tcW w:type="dxa" w:w="964"/>
            <w:vAlign w:val="top"/>
          </w:tcPr>
          <w:p>
            <w:r/>
            <w:r>
              <w:rPr>
                <w:b w:val="0"/>
                <w:sz w:val="13"/>
              </w:rPr>
              <w:t>T0</w:t>
            </w:r>
          </w:p>
        </w:tc>
      </w:tr>
      <w:tr>
        <w:trPr>
          <w:cantSplit/>
        </w:trPr>
        <w:tc>
          <w:tcPr>
            <w:tcW w:type="dxa" w:w="1247"/>
            <w:vAlign w:val="top"/>
          </w:tcPr>
          <w:p>
            <w:r/>
            <w:r>
              <w:rPr>
                <w:b w:val="0"/>
                <w:sz w:val="13"/>
              </w:rPr>
              <w:t>SEC-009</w:t>
            </w:r>
          </w:p>
        </w:tc>
        <w:tc>
          <w:tcPr>
            <w:tcW w:type="dxa" w:w="2324"/>
            <w:vAlign w:val="top"/>
          </w:tcPr>
          <w:p>
            <w:r/>
            <w:r>
              <w:rPr>
                <w:b w:val="0"/>
                <w:sz w:val="13"/>
              </w:rPr>
              <w:t>SEC Nigeria</w:t>
            </w:r>
          </w:p>
        </w:tc>
        <w:tc>
          <w:tcPr>
            <w:tcW w:type="dxa" w:w="4819"/>
            <w:vAlign w:val="top"/>
          </w:tcPr>
          <w:p>
            <w:r>
              <w:rPr>
                <w:sz w:val="13"/>
              </w:rPr>
            </w:r>
            <w:hyperlink r:id="rId56">
              <w:r>
                <w:rPr>
                  <w:color w:val="0563C1"/>
                  <w:u w:val="single"/>
                </w:rPr>
                <w:t xml:space="preserve">Investments and Securities Act 2025</w:t>
              </w:r>
            </w:hyperlink>
          </w:p>
        </w:tc>
        <w:tc>
          <w:tcPr>
            <w:tcW w:type="dxa" w:w="3969"/>
            <w:vAlign w:val="top"/>
          </w:tcPr>
          <w:p>
            <w:r/>
            <w:r>
              <w:rPr>
                <w:b w:val="0"/>
                <w:sz w:val="13"/>
              </w:rPr>
              <w:t>Cadre légal actuel</w:t>
            </w:r>
          </w:p>
        </w:tc>
        <w:tc>
          <w:tcPr>
            <w:tcW w:type="dxa" w:w="1701"/>
            <w:vAlign w:val="top"/>
          </w:tcPr>
          <w:p>
            <w:r/>
            <w:r>
              <w:rPr>
                <w:b w:val="0"/>
                <w:sz w:val="13"/>
              </w:rPr>
              <w:t>À chaque amendement</w:t>
            </w:r>
          </w:p>
        </w:tc>
        <w:tc>
          <w:tcPr>
            <w:tcW w:type="dxa" w:w="964"/>
            <w:vAlign w:val="top"/>
          </w:tcPr>
          <w:p>
            <w:r/>
            <w:r>
              <w:rPr>
                <w:b w:val="0"/>
                <w:sz w:val="13"/>
              </w:rPr>
              <w:t>T0</w:t>
            </w:r>
          </w:p>
        </w:tc>
      </w:tr>
      <w:tr>
        <w:trPr>
          <w:cantSplit/>
        </w:trPr>
        <w:tc>
          <w:tcPr>
            <w:tcW w:type="dxa" w:w="1247"/>
            <w:vAlign w:val="top"/>
          </w:tcPr>
          <w:p>
            <w:r/>
            <w:r>
              <w:rPr>
                <w:b w:val="0"/>
                <w:sz w:val="13"/>
              </w:rPr>
              <w:t>SEC-010</w:t>
            </w:r>
          </w:p>
        </w:tc>
        <w:tc>
          <w:tcPr>
            <w:tcW w:type="dxa" w:w="2324"/>
            <w:vAlign w:val="top"/>
          </w:tcPr>
          <w:p>
            <w:r/>
            <w:r>
              <w:rPr>
                <w:b w:val="0"/>
                <w:sz w:val="13"/>
              </w:rPr>
              <w:t>SEC Nigeria</w:t>
            </w:r>
          </w:p>
        </w:tc>
        <w:tc>
          <w:tcPr>
            <w:tcW w:type="dxa" w:w="4819"/>
            <w:vAlign w:val="top"/>
          </w:tcPr>
          <w:p>
            <w:r>
              <w:rPr>
                <w:sz w:val="13"/>
              </w:rPr>
            </w:r>
            <w:hyperlink r:id="rId57">
              <w:r>
                <w:rPr>
                  <w:color w:val="0563C1"/>
                  <w:u w:val="single"/>
                </w:rPr>
                <w:t xml:space="preserve">April 2025 rules and CIS amendments</w:t>
              </w:r>
            </w:hyperlink>
          </w:p>
        </w:tc>
        <w:tc>
          <w:tcPr>
            <w:tcW w:type="dxa" w:w="3969"/>
            <w:vAlign w:val="top"/>
          </w:tcPr>
          <w:p>
            <w:r/>
            <w:r>
              <w:rPr>
                <w:b w:val="0"/>
                <w:sz w:val="13"/>
              </w:rPr>
              <w:t>Amendements CIS et autres règles</w:t>
            </w:r>
          </w:p>
        </w:tc>
        <w:tc>
          <w:tcPr>
            <w:tcW w:type="dxa" w:w="1701"/>
            <w:vAlign w:val="top"/>
          </w:tcPr>
          <w:p>
            <w:r/>
            <w:r>
              <w:rPr>
                <w:b w:val="0"/>
                <w:sz w:val="13"/>
              </w:rPr>
              <w:t>Ponctuel</w:t>
            </w:r>
          </w:p>
        </w:tc>
        <w:tc>
          <w:tcPr>
            <w:tcW w:type="dxa" w:w="964"/>
            <w:vAlign w:val="top"/>
          </w:tcPr>
          <w:p>
            <w:r/>
            <w:r>
              <w:rPr>
                <w:b w:val="0"/>
                <w:sz w:val="13"/>
              </w:rPr>
              <w:t>T0</w:t>
            </w:r>
          </w:p>
        </w:tc>
      </w:tr>
      <w:tr>
        <w:trPr>
          <w:cantSplit/>
        </w:trPr>
        <w:tc>
          <w:tcPr>
            <w:tcW w:type="dxa" w:w="1247"/>
            <w:vAlign w:val="top"/>
          </w:tcPr>
          <w:p>
            <w:r/>
            <w:r>
              <w:rPr>
                <w:b w:val="0"/>
                <w:sz w:val="13"/>
              </w:rPr>
              <w:t>SEC-011</w:t>
            </w:r>
          </w:p>
        </w:tc>
        <w:tc>
          <w:tcPr>
            <w:tcW w:type="dxa" w:w="2324"/>
            <w:vAlign w:val="top"/>
          </w:tcPr>
          <w:p>
            <w:r/>
            <w:r>
              <w:rPr>
                <w:b w:val="0"/>
                <w:sz w:val="13"/>
              </w:rPr>
              <w:t>SEC Nigeria</w:t>
            </w:r>
          </w:p>
        </w:tc>
        <w:tc>
          <w:tcPr>
            <w:tcW w:type="dxa" w:w="4819"/>
            <w:vAlign w:val="top"/>
          </w:tcPr>
          <w:p>
            <w:r>
              <w:rPr>
                <w:sz w:val="13"/>
              </w:rPr>
            </w:r>
            <w:hyperlink r:id="rId58">
              <w:r>
                <w:rPr>
                  <w:color w:val="0563C1"/>
                  <w:u w:val="single"/>
                </w:rPr>
                <w:t xml:space="preserve">Executed Rules — December 2024</w:t>
              </w:r>
            </w:hyperlink>
          </w:p>
        </w:tc>
        <w:tc>
          <w:tcPr>
            <w:tcW w:type="dxa" w:w="3969"/>
            <w:vAlign w:val="top"/>
          </w:tcPr>
          <w:p>
            <w:r/>
            <w:r>
              <w:rPr>
                <w:b w:val="0"/>
                <w:sz w:val="13"/>
              </w:rPr>
              <w:t>Règles exécutées, dont frais CIS</w:t>
            </w:r>
          </w:p>
        </w:tc>
        <w:tc>
          <w:tcPr>
            <w:tcW w:type="dxa" w:w="1701"/>
            <w:vAlign w:val="top"/>
          </w:tcPr>
          <w:p>
            <w:r/>
            <w:r>
              <w:rPr>
                <w:b w:val="0"/>
                <w:sz w:val="13"/>
              </w:rPr>
              <w:t>Ponctuel</w:t>
            </w:r>
          </w:p>
        </w:tc>
        <w:tc>
          <w:tcPr>
            <w:tcW w:type="dxa" w:w="964"/>
            <w:vAlign w:val="top"/>
          </w:tcPr>
          <w:p>
            <w:r/>
            <w:r>
              <w:rPr>
                <w:b w:val="0"/>
                <w:sz w:val="13"/>
              </w:rPr>
              <w:t>T0</w:t>
            </w:r>
          </w:p>
        </w:tc>
      </w:tr>
      <w:tr>
        <w:trPr>
          <w:cantSplit/>
        </w:trPr>
        <w:tc>
          <w:tcPr>
            <w:tcW w:type="dxa" w:w="1247"/>
            <w:vAlign w:val="top"/>
          </w:tcPr>
          <w:p>
            <w:r/>
            <w:r>
              <w:rPr>
                <w:b w:val="0"/>
                <w:sz w:val="13"/>
              </w:rPr>
              <w:t>SEC-012</w:t>
            </w:r>
          </w:p>
        </w:tc>
        <w:tc>
          <w:tcPr>
            <w:tcW w:type="dxa" w:w="2324"/>
            <w:vAlign w:val="top"/>
          </w:tcPr>
          <w:p>
            <w:r/>
            <w:r>
              <w:rPr>
                <w:b w:val="0"/>
                <w:sz w:val="13"/>
              </w:rPr>
              <w:t>SEC Nigeria</w:t>
            </w:r>
          </w:p>
        </w:tc>
        <w:tc>
          <w:tcPr>
            <w:tcW w:type="dxa" w:w="4819"/>
            <w:vAlign w:val="top"/>
          </w:tcPr>
          <w:p>
            <w:r>
              <w:rPr>
                <w:sz w:val="13"/>
              </w:rPr>
            </w:r>
            <w:hyperlink r:id="rId59">
              <w:r>
                <w:rPr>
                  <w:color w:val="0563C1"/>
                  <w:u w:val="single"/>
                </w:rPr>
                <w:t xml:space="preserve">Executed Rules — January 2021</w:t>
              </w:r>
            </w:hyperlink>
          </w:p>
        </w:tc>
        <w:tc>
          <w:tcPr>
            <w:tcW w:type="dxa" w:w="3969"/>
            <w:vAlign w:val="top"/>
          </w:tcPr>
          <w:p>
            <w:r/>
            <w:r>
              <w:rPr>
                <w:b w:val="0"/>
                <w:sz w:val="13"/>
              </w:rPr>
              <w:t>Historique réglementaire</w:t>
            </w:r>
          </w:p>
        </w:tc>
        <w:tc>
          <w:tcPr>
            <w:tcW w:type="dxa" w:w="1701"/>
            <w:vAlign w:val="top"/>
          </w:tcPr>
          <w:p>
            <w:r/>
            <w:r>
              <w:rPr>
                <w:b w:val="0"/>
                <w:sz w:val="13"/>
              </w:rPr>
              <w:t>Archives</w:t>
            </w:r>
          </w:p>
        </w:tc>
        <w:tc>
          <w:tcPr>
            <w:tcW w:type="dxa" w:w="964"/>
            <w:vAlign w:val="top"/>
          </w:tcPr>
          <w:p>
            <w:r/>
            <w:r>
              <w:rPr>
                <w:b w:val="0"/>
                <w:sz w:val="13"/>
              </w:rPr>
              <w:t>T0</w:t>
            </w:r>
          </w:p>
        </w:tc>
      </w:tr>
      <w:tr>
        <w:trPr>
          <w:cantSplit/>
        </w:trPr>
        <w:tc>
          <w:tcPr>
            <w:tcW w:type="dxa" w:w="1247"/>
            <w:vAlign w:val="top"/>
          </w:tcPr>
          <w:p>
            <w:r/>
            <w:r>
              <w:rPr>
                <w:b w:val="0"/>
                <w:sz w:val="13"/>
              </w:rPr>
              <w:t>SEC-013</w:t>
            </w:r>
          </w:p>
        </w:tc>
        <w:tc>
          <w:tcPr>
            <w:tcW w:type="dxa" w:w="2324"/>
            <w:vAlign w:val="top"/>
          </w:tcPr>
          <w:p>
            <w:r/>
            <w:r>
              <w:rPr>
                <w:b w:val="0"/>
                <w:sz w:val="13"/>
              </w:rPr>
              <w:t>SEC Nigeria</w:t>
            </w:r>
          </w:p>
        </w:tc>
        <w:tc>
          <w:tcPr>
            <w:tcW w:type="dxa" w:w="4819"/>
            <w:vAlign w:val="top"/>
          </w:tcPr>
          <w:p>
            <w:r>
              <w:rPr>
                <w:sz w:val="13"/>
              </w:rPr>
            </w:r>
            <w:hyperlink r:id="rId60">
              <w:r>
                <w:rPr>
                  <w:color w:val="0563C1"/>
                  <w:u w:val="single"/>
                </w:rPr>
                <w:t xml:space="preserve">New Rules — December 2019</w:t>
              </w:r>
            </w:hyperlink>
          </w:p>
        </w:tc>
        <w:tc>
          <w:tcPr>
            <w:tcW w:type="dxa" w:w="3969"/>
            <w:vAlign w:val="top"/>
          </w:tcPr>
          <w:p>
            <w:r/>
            <w:r>
              <w:rPr>
                <w:b w:val="0"/>
                <w:sz w:val="13"/>
              </w:rPr>
              <w:t>Historique réglementaire</w:t>
            </w:r>
          </w:p>
        </w:tc>
        <w:tc>
          <w:tcPr>
            <w:tcW w:type="dxa" w:w="1701"/>
            <w:vAlign w:val="top"/>
          </w:tcPr>
          <w:p>
            <w:r/>
            <w:r>
              <w:rPr>
                <w:b w:val="0"/>
                <w:sz w:val="13"/>
              </w:rPr>
              <w:t>Archives</w:t>
            </w:r>
          </w:p>
        </w:tc>
        <w:tc>
          <w:tcPr>
            <w:tcW w:type="dxa" w:w="964"/>
            <w:vAlign w:val="top"/>
          </w:tcPr>
          <w:p>
            <w:r/>
            <w:r>
              <w:rPr>
                <w:b w:val="0"/>
                <w:sz w:val="13"/>
              </w:rPr>
              <w:t>T0</w:t>
            </w:r>
          </w:p>
        </w:tc>
      </w:tr>
      <w:tr>
        <w:trPr>
          <w:cantSplit/>
        </w:trPr>
        <w:tc>
          <w:tcPr>
            <w:tcW w:type="dxa" w:w="1247"/>
            <w:vAlign w:val="top"/>
          </w:tcPr>
          <w:p>
            <w:r/>
            <w:r>
              <w:rPr>
                <w:b w:val="0"/>
                <w:sz w:val="13"/>
              </w:rPr>
              <w:t>SEC-014</w:t>
            </w:r>
          </w:p>
        </w:tc>
        <w:tc>
          <w:tcPr>
            <w:tcW w:type="dxa" w:w="2324"/>
            <w:vAlign w:val="top"/>
          </w:tcPr>
          <w:p>
            <w:r/>
            <w:r>
              <w:rPr>
                <w:b w:val="0"/>
                <w:sz w:val="13"/>
              </w:rPr>
              <w:t>SEC Nigeria</w:t>
            </w:r>
          </w:p>
        </w:tc>
        <w:tc>
          <w:tcPr>
            <w:tcW w:type="dxa" w:w="4819"/>
            <w:vAlign w:val="top"/>
          </w:tcPr>
          <w:p>
            <w:r>
              <w:rPr>
                <w:sz w:val="13"/>
              </w:rPr>
            </w:r>
            <w:hyperlink r:id="rId61">
              <w:r>
                <w:rPr>
                  <w:color w:val="0563C1"/>
                  <w:u w:val="single"/>
                </w:rPr>
                <w:t xml:space="preserve">Rules — June 2017</w:t>
              </w:r>
            </w:hyperlink>
          </w:p>
        </w:tc>
        <w:tc>
          <w:tcPr>
            <w:tcW w:type="dxa" w:w="3969"/>
            <w:vAlign w:val="top"/>
          </w:tcPr>
          <w:p>
            <w:r/>
            <w:r>
              <w:rPr>
                <w:b w:val="0"/>
                <w:sz w:val="13"/>
              </w:rPr>
              <w:t>Historique réglementaire</w:t>
            </w:r>
          </w:p>
        </w:tc>
        <w:tc>
          <w:tcPr>
            <w:tcW w:type="dxa" w:w="1701"/>
            <w:vAlign w:val="top"/>
          </w:tcPr>
          <w:p>
            <w:r/>
            <w:r>
              <w:rPr>
                <w:b w:val="0"/>
                <w:sz w:val="13"/>
              </w:rPr>
              <w:t>Archives</w:t>
            </w:r>
          </w:p>
        </w:tc>
        <w:tc>
          <w:tcPr>
            <w:tcW w:type="dxa" w:w="964"/>
            <w:vAlign w:val="top"/>
          </w:tcPr>
          <w:p>
            <w:r/>
            <w:r>
              <w:rPr>
                <w:b w:val="0"/>
                <w:sz w:val="13"/>
              </w:rPr>
              <w:t>T0</w:t>
            </w:r>
          </w:p>
        </w:tc>
      </w:tr>
      <w:tr>
        <w:trPr>
          <w:cantSplit/>
        </w:trPr>
        <w:tc>
          <w:tcPr>
            <w:tcW w:type="dxa" w:w="1247"/>
            <w:vAlign w:val="top"/>
          </w:tcPr>
          <w:p>
            <w:r/>
            <w:r>
              <w:rPr>
                <w:b w:val="0"/>
                <w:sz w:val="13"/>
              </w:rPr>
              <w:t>SEC-015</w:t>
            </w:r>
          </w:p>
        </w:tc>
        <w:tc>
          <w:tcPr>
            <w:tcW w:type="dxa" w:w="2324"/>
            <w:vAlign w:val="top"/>
          </w:tcPr>
          <w:p>
            <w:r/>
            <w:r>
              <w:rPr>
                <w:b w:val="0"/>
                <w:sz w:val="13"/>
              </w:rPr>
              <w:t>SEC Nigeria</w:t>
            </w:r>
          </w:p>
        </w:tc>
        <w:tc>
          <w:tcPr>
            <w:tcW w:type="dxa" w:w="4819"/>
            <w:vAlign w:val="top"/>
          </w:tcPr>
          <w:p>
            <w:r>
              <w:rPr>
                <w:sz w:val="13"/>
              </w:rPr>
            </w:r>
            <w:hyperlink r:id="rId62">
              <w:r>
                <w:rPr>
                  <w:color w:val="0563C1"/>
                  <w:u w:val="single"/>
                </w:rPr>
                <w:t xml:space="preserve">Rules on bid/offer computation — July 2017</w:t>
              </w:r>
            </w:hyperlink>
          </w:p>
        </w:tc>
        <w:tc>
          <w:tcPr>
            <w:tcW w:type="dxa" w:w="3969"/>
            <w:vAlign w:val="top"/>
          </w:tcPr>
          <w:p>
            <w:r/>
            <w:r>
              <w:rPr>
                <w:b w:val="0"/>
                <w:sz w:val="13"/>
              </w:rPr>
              <w:t>Interprétation Bid/Offer</w:t>
            </w:r>
          </w:p>
        </w:tc>
        <w:tc>
          <w:tcPr>
            <w:tcW w:type="dxa" w:w="1701"/>
            <w:vAlign w:val="top"/>
          </w:tcPr>
          <w:p>
            <w:r/>
            <w:r>
              <w:rPr>
                <w:b w:val="0"/>
                <w:sz w:val="13"/>
              </w:rPr>
              <w:t>Archives</w:t>
            </w:r>
          </w:p>
        </w:tc>
        <w:tc>
          <w:tcPr>
            <w:tcW w:type="dxa" w:w="964"/>
            <w:vAlign w:val="top"/>
          </w:tcPr>
          <w:p>
            <w:r/>
            <w:r>
              <w:rPr>
                <w:b w:val="0"/>
                <w:sz w:val="13"/>
              </w:rPr>
              <w:t>T0</w:t>
            </w:r>
          </w:p>
        </w:tc>
      </w:tr>
      <w:tr>
        <w:trPr>
          <w:cantSplit/>
        </w:trPr>
        <w:tc>
          <w:tcPr>
            <w:tcW w:type="dxa" w:w="1247"/>
            <w:vAlign w:val="top"/>
          </w:tcPr>
          <w:p>
            <w:r/>
            <w:r>
              <w:rPr>
                <w:b w:val="0"/>
                <w:sz w:val="13"/>
              </w:rPr>
              <w:t>SEC-016</w:t>
            </w:r>
          </w:p>
        </w:tc>
        <w:tc>
          <w:tcPr>
            <w:tcW w:type="dxa" w:w="2324"/>
            <w:vAlign w:val="top"/>
          </w:tcPr>
          <w:p>
            <w:r/>
            <w:r>
              <w:rPr>
                <w:b w:val="0"/>
                <w:sz w:val="13"/>
              </w:rPr>
              <w:t>SEC Nigeria</w:t>
            </w:r>
          </w:p>
        </w:tc>
        <w:tc>
          <w:tcPr>
            <w:tcW w:type="dxa" w:w="4819"/>
            <w:vAlign w:val="top"/>
          </w:tcPr>
          <w:p>
            <w:r>
              <w:rPr>
                <w:sz w:val="13"/>
              </w:rPr>
            </w:r>
            <w:hyperlink r:id="rId63">
              <w:r>
                <w:rPr>
                  <w:color w:val="0563C1"/>
                  <w:u w:val="single"/>
                </w:rPr>
                <w:t xml:space="preserve">Rules and amendments — August 2019</w:t>
              </w:r>
            </w:hyperlink>
          </w:p>
        </w:tc>
        <w:tc>
          <w:tcPr>
            <w:tcW w:type="dxa" w:w="3969"/>
            <w:vAlign w:val="top"/>
          </w:tcPr>
          <w:p>
            <w:r/>
            <w:r>
              <w:rPr>
                <w:b w:val="0"/>
                <w:sz w:val="13"/>
              </w:rPr>
              <w:t>Formulaires et amendements</w:t>
            </w:r>
          </w:p>
        </w:tc>
        <w:tc>
          <w:tcPr>
            <w:tcW w:type="dxa" w:w="1701"/>
            <w:vAlign w:val="top"/>
          </w:tcPr>
          <w:p>
            <w:r/>
            <w:r>
              <w:rPr>
                <w:b w:val="0"/>
                <w:sz w:val="13"/>
              </w:rPr>
              <w:t>Archives</w:t>
            </w:r>
          </w:p>
        </w:tc>
        <w:tc>
          <w:tcPr>
            <w:tcW w:type="dxa" w:w="964"/>
            <w:vAlign w:val="top"/>
          </w:tcPr>
          <w:p>
            <w:r/>
            <w:r>
              <w:rPr>
                <w:b w:val="0"/>
                <w:sz w:val="13"/>
              </w:rPr>
              <w:t>T0</w:t>
            </w:r>
          </w:p>
        </w:tc>
      </w:tr>
      <w:tr>
        <w:trPr>
          <w:cantSplit/>
        </w:trPr>
        <w:tc>
          <w:tcPr>
            <w:tcW w:type="dxa" w:w="1247"/>
            <w:vAlign w:val="top"/>
          </w:tcPr>
          <w:p>
            <w:r/>
            <w:r>
              <w:rPr>
                <w:b w:val="0"/>
                <w:sz w:val="13"/>
              </w:rPr>
              <w:t>SEC-017</w:t>
            </w:r>
          </w:p>
        </w:tc>
        <w:tc>
          <w:tcPr>
            <w:tcW w:type="dxa" w:w="2324"/>
            <w:vAlign w:val="top"/>
          </w:tcPr>
          <w:p>
            <w:r/>
            <w:r>
              <w:rPr>
                <w:b w:val="0"/>
                <w:sz w:val="13"/>
              </w:rPr>
              <w:t>SEC Nigeria</w:t>
            </w:r>
          </w:p>
        </w:tc>
        <w:tc>
          <w:tcPr>
            <w:tcW w:type="dxa" w:w="4819"/>
            <w:vAlign w:val="top"/>
          </w:tcPr>
          <w:p>
            <w:r>
              <w:rPr>
                <w:sz w:val="13"/>
              </w:rPr>
            </w:r>
            <w:hyperlink r:id="rId64">
              <w:r>
                <w:rPr>
                  <w:color w:val="0563C1"/>
                  <w:u w:val="single"/>
                </w:rPr>
                <w:t xml:space="preserve">Minimum capital requirements — 2026</w:t>
              </w:r>
            </w:hyperlink>
          </w:p>
        </w:tc>
        <w:tc>
          <w:tcPr>
            <w:tcW w:type="dxa" w:w="3969"/>
            <w:vAlign w:val="top"/>
          </w:tcPr>
          <w:p>
            <w:r/>
            <w:r>
              <w:rPr>
                <w:b w:val="0"/>
                <w:sz w:val="13"/>
              </w:rPr>
              <w:t>Capital des opérateurs et risques de consolidation</w:t>
            </w:r>
          </w:p>
        </w:tc>
        <w:tc>
          <w:tcPr>
            <w:tcW w:type="dxa" w:w="1701"/>
            <w:vAlign w:val="top"/>
          </w:tcPr>
          <w:p>
            <w:r/>
            <w:r>
              <w:rPr>
                <w:b w:val="0"/>
                <w:sz w:val="13"/>
              </w:rPr>
              <w:t>Ponctuel + suivi</w:t>
            </w:r>
          </w:p>
        </w:tc>
        <w:tc>
          <w:tcPr>
            <w:tcW w:type="dxa" w:w="964"/>
            <w:vAlign w:val="top"/>
          </w:tcPr>
          <w:p>
            <w:r/>
            <w:r>
              <w:rPr>
                <w:b w:val="0"/>
                <w:sz w:val="13"/>
              </w:rPr>
              <w:t>T0</w:t>
            </w:r>
          </w:p>
        </w:tc>
      </w:tr>
      <w:tr>
        <w:trPr>
          <w:cantSplit/>
        </w:trPr>
        <w:tc>
          <w:tcPr>
            <w:tcW w:type="dxa" w:w="1247"/>
            <w:vAlign w:val="top"/>
          </w:tcPr>
          <w:p>
            <w:r/>
            <w:r>
              <w:rPr>
                <w:b w:val="0"/>
                <w:sz w:val="13"/>
              </w:rPr>
              <w:t>SEC-018</w:t>
            </w:r>
          </w:p>
        </w:tc>
        <w:tc>
          <w:tcPr>
            <w:tcW w:type="dxa" w:w="2324"/>
            <w:vAlign w:val="top"/>
          </w:tcPr>
          <w:p>
            <w:r/>
            <w:r>
              <w:rPr>
                <w:b w:val="0"/>
                <w:sz w:val="13"/>
              </w:rPr>
              <w:t>SEC Nigeria</w:t>
            </w:r>
          </w:p>
        </w:tc>
        <w:tc>
          <w:tcPr>
            <w:tcW w:type="dxa" w:w="4819"/>
            <w:vAlign w:val="top"/>
          </w:tcPr>
          <w:p>
            <w:r>
              <w:rPr>
                <w:sz w:val="13"/>
              </w:rPr>
            </w:r>
            <w:hyperlink r:id="rId65">
              <w:r>
                <w:rPr>
                  <w:color w:val="0563C1"/>
                  <w:u w:val="single"/>
                </w:rPr>
                <w:t xml:space="preserve">Guidelines on new capital base — 2026</w:t>
              </w:r>
            </w:hyperlink>
          </w:p>
        </w:tc>
        <w:tc>
          <w:tcPr>
            <w:tcW w:type="dxa" w:w="3969"/>
            <w:vAlign w:val="top"/>
          </w:tcPr>
          <w:p>
            <w:r/>
            <w:r>
              <w:rPr>
                <w:b w:val="0"/>
                <w:sz w:val="13"/>
              </w:rPr>
              <w:t>Mise en œuvre du capital minimum</w:t>
            </w:r>
          </w:p>
        </w:tc>
        <w:tc>
          <w:tcPr>
            <w:tcW w:type="dxa" w:w="1701"/>
            <w:vAlign w:val="top"/>
          </w:tcPr>
          <w:p>
            <w:r/>
            <w:r>
              <w:rPr>
                <w:b w:val="0"/>
                <w:sz w:val="13"/>
              </w:rPr>
              <w:t>Ponctuel + suivi</w:t>
            </w:r>
          </w:p>
        </w:tc>
        <w:tc>
          <w:tcPr>
            <w:tcW w:type="dxa" w:w="964"/>
            <w:vAlign w:val="top"/>
          </w:tcPr>
          <w:p>
            <w:r/>
            <w:r>
              <w:rPr>
                <w:b w:val="0"/>
                <w:sz w:val="13"/>
              </w:rPr>
              <w:t>T0</w:t>
            </w:r>
          </w:p>
        </w:tc>
      </w:tr>
      <w:tr>
        <w:trPr>
          <w:cantSplit/>
        </w:trPr>
        <w:tc>
          <w:tcPr>
            <w:tcW w:type="dxa" w:w="1247"/>
            <w:vAlign w:val="top"/>
          </w:tcPr>
          <w:p>
            <w:r/>
            <w:r>
              <w:rPr>
                <w:b w:val="0"/>
                <w:sz w:val="13"/>
              </w:rPr>
              <w:t>SEC-019</w:t>
            </w:r>
          </w:p>
        </w:tc>
        <w:tc>
          <w:tcPr>
            <w:tcW w:type="dxa" w:w="2324"/>
            <w:vAlign w:val="top"/>
          </w:tcPr>
          <w:p>
            <w:r/>
            <w:r>
              <w:rPr>
                <w:b w:val="0"/>
                <w:sz w:val="13"/>
              </w:rPr>
              <w:t>SEC Nigeria</w:t>
            </w:r>
          </w:p>
        </w:tc>
        <w:tc>
          <w:tcPr>
            <w:tcW w:type="dxa" w:w="4819"/>
            <w:vAlign w:val="top"/>
          </w:tcPr>
          <w:p>
            <w:r>
              <w:rPr>
                <w:sz w:val="13"/>
              </w:rPr>
            </w:r>
            <w:hyperlink r:id="rId66">
              <w:r>
                <w:rPr>
                  <w:color w:val="0563C1"/>
                  <w:u w:val="single"/>
                </w:rPr>
                <w:t xml:space="preserve">FAQ — Collective Investment Schemes</w:t>
              </w:r>
            </w:hyperlink>
          </w:p>
        </w:tc>
        <w:tc>
          <w:tcPr>
            <w:tcW w:type="dxa" w:w="3969"/>
            <w:vAlign w:val="top"/>
          </w:tcPr>
          <w:p>
            <w:r/>
            <w:r>
              <w:rPr>
                <w:b w:val="0"/>
                <w:sz w:val="13"/>
              </w:rPr>
              <w:t>Définitions et fonctionnement</w:t>
            </w:r>
          </w:p>
        </w:tc>
        <w:tc>
          <w:tcPr>
            <w:tcW w:type="dxa" w:w="1701"/>
            <w:vAlign w:val="top"/>
          </w:tcPr>
          <w:p>
            <w:r/>
            <w:r>
              <w:rPr>
                <w:b w:val="0"/>
                <w:sz w:val="13"/>
              </w:rPr>
              <w:t>Annuel</w:t>
            </w:r>
          </w:p>
        </w:tc>
        <w:tc>
          <w:tcPr>
            <w:tcW w:type="dxa" w:w="964"/>
            <w:vAlign w:val="top"/>
          </w:tcPr>
          <w:p>
            <w:r/>
            <w:r>
              <w:rPr>
                <w:b w:val="0"/>
                <w:sz w:val="13"/>
              </w:rPr>
              <w:t>T1</w:t>
            </w:r>
          </w:p>
        </w:tc>
      </w:tr>
      <w:tr>
        <w:trPr>
          <w:cantSplit/>
        </w:trPr>
        <w:tc>
          <w:tcPr>
            <w:tcW w:type="dxa" w:w="1247"/>
            <w:vAlign w:val="top"/>
          </w:tcPr>
          <w:p>
            <w:r/>
            <w:r>
              <w:rPr>
                <w:b w:val="0"/>
                <w:sz w:val="13"/>
              </w:rPr>
              <w:t>SEC-020</w:t>
            </w:r>
          </w:p>
        </w:tc>
        <w:tc>
          <w:tcPr>
            <w:tcW w:type="dxa" w:w="2324"/>
            <w:vAlign w:val="top"/>
          </w:tcPr>
          <w:p>
            <w:r/>
            <w:r>
              <w:rPr>
                <w:b w:val="0"/>
                <w:sz w:val="13"/>
              </w:rPr>
              <w:t>SEC Nigeria</w:t>
            </w:r>
          </w:p>
        </w:tc>
        <w:tc>
          <w:tcPr>
            <w:tcW w:type="dxa" w:w="4819"/>
            <w:vAlign w:val="top"/>
          </w:tcPr>
          <w:p>
            <w:r>
              <w:rPr>
                <w:sz w:val="13"/>
              </w:rPr>
            </w:r>
            <w:hyperlink r:id="rId67">
              <w:r>
                <w:rPr>
                  <w:color w:val="0563C1"/>
                  <w:u w:val="single"/>
                </w:rPr>
                <w:t xml:space="preserve">FAQ — NAV and Unit Price</w:t>
              </w:r>
            </w:hyperlink>
          </w:p>
        </w:tc>
        <w:tc>
          <w:tcPr>
            <w:tcW w:type="dxa" w:w="3969"/>
            <w:vAlign w:val="top"/>
          </w:tcPr>
          <w:p>
            <w:r/>
            <w:r>
              <w:rPr>
                <w:b w:val="0"/>
                <w:sz w:val="13"/>
              </w:rPr>
              <w:t>Définition officielle NAV/Unit Price</w:t>
            </w:r>
          </w:p>
        </w:tc>
        <w:tc>
          <w:tcPr>
            <w:tcW w:type="dxa" w:w="1701"/>
            <w:vAlign w:val="top"/>
          </w:tcPr>
          <w:p>
            <w:r/>
            <w:r>
              <w:rPr>
                <w:b w:val="0"/>
                <w:sz w:val="13"/>
              </w:rPr>
              <w:t>Annuel</w:t>
            </w:r>
          </w:p>
        </w:tc>
        <w:tc>
          <w:tcPr>
            <w:tcW w:type="dxa" w:w="964"/>
            <w:vAlign w:val="top"/>
          </w:tcPr>
          <w:p>
            <w:r/>
            <w:r>
              <w:rPr>
                <w:b w:val="0"/>
                <w:sz w:val="13"/>
              </w:rPr>
              <w:t>T1</w:t>
            </w:r>
          </w:p>
        </w:tc>
      </w:tr>
      <w:tr>
        <w:trPr>
          <w:cantSplit/>
        </w:trPr>
        <w:tc>
          <w:tcPr>
            <w:tcW w:type="dxa" w:w="1247"/>
            <w:vAlign w:val="top"/>
          </w:tcPr>
          <w:p>
            <w:r/>
            <w:r>
              <w:rPr>
                <w:b w:val="0"/>
                <w:sz w:val="13"/>
              </w:rPr>
              <w:t>SEC-021</w:t>
            </w:r>
          </w:p>
        </w:tc>
        <w:tc>
          <w:tcPr>
            <w:tcW w:type="dxa" w:w="2324"/>
            <w:vAlign w:val="top"/>
          </w:tcPr>
          <w:p>
            <w:r/>
            <w:r>
              <w:rPr>
                <w:b w:val="0"/>
                <w:sz w:val="13"/>
              </w:rPr>
              <w:t>SEC Nigeria</w:t>
            </w:r>
          </w:p>
        </w:tc>
        <w:tc>
          <w:tcPr>
            <w:tcW w:type="dxa" w:w="4819"/>
            <w:vAlign w:val="top"/>
          </w:tcPr>
          <w:p>
            <w:r>
              <w:rPr>
                <w:sz w:val="13"/>
              </w:rPr>
            </w:r>
            <w:hyperlink r:id="rId68">
              <w:r>
                <w:rPr>
                  <w:color w:val="0563C1"/>
                  <w:u w:val="single"/>
                </w:rPr>
                <w:t xml:space="preserve">CIS / REIT / ETF registration checklist</w:t>
              </w:r>
            </w:hyperlink>
          </w:p>
        </w:tc>
        <w:tc>
          <w:tcPr>
            <w:tcW w:type="dxa" w:w="3969"/>
            <w:vAlign w:val="top"/>
          </w:tcPr>
          <w:p>
            <w:r/>
            <w:r>
              <w:rPr>
                <w:b w:val="0"/>
                <w:sz w:val="13"/>
              </w:rPr>
              <w:t>Documents et acteurs attendus</w:t>
            </w:r>
          </w:p>
        </w:tc>
        <w:tc>
          <w:tcPr>
            <w:tcW w:type="dxa" w:w="1701"/>
            <w:vAlign w:val="top"/>
          </w:tcPr>
          <w:p>
            <w:r/>
            <w:r>
              <w:rPr>
                <w:b w:val="0"/>
                <w:sz w:val="13"/>
              </w:rPr>
              <w:t>Annuel</w:t>
            </w:r>
          </w:p>
        </w:tc>
        <w:tc>
          <w:tcPr>
            <w:tcW w:type="dxa" w:w="964"/>
            <w:vAlign w:val="top"/>
          </w:tcPr>
          <w:p>
            <w:r/>
            <w:r>
              <w:rPr>
                <w:b w:val="0"/>
                <w:sz w:val="13"/>
              </w:rPr>
              <w:t>T1</w:t>
            </w:r>
          </w:p>
        </w:tc>
      </w:tr>
      <w:tr>
        <w:trPr>
          <w:cantSplit/>
        </w:trPr>
        <w:tc>
          <w:tcPr>
            <w:tcW w:type="dxa" w:w="1247"/>
            <w:vAlign w:val="top"/>
          </w:tcPr>
          <w:p>
            <w:r/>
            <w:r>
              <w:rPr>
                <w:b w:val="0"/>
                <w:sz w:val="13"/>
              </w:rPr>
              <w:t>SEC-022</w:t>
            </w:r>
          </w:p>
        </w:tc>
        <w:tc>
          <w:tcPr>
            <w:tcW w:type="dxa" w:w="2324"/>
            <w:vAlign w:val="top"/>
          </w:tcPr>
          <w:p>
            <w:r/>
            <w:r>
              <w:rPr>
                <w:b w:val="0"/>
                <w:sz w:val="13"/>
              </w:rPr>
              <w:t>SEC Nigeria</w:t>
            </w:r>
          </w:p>
        </w:tc>
        <w:tc>
          <w:tcPr>
            <w:tcW w:type="dxa" w:w="4819"/>
            <w:vAlign w:val="top"/>
          </w:tcPr>
          <w:p>
            <w:r>
              <w:rPr>
                <w:sz w:val="13"/>
              </w:rPr>
            </w:r>
            <w:hyperlink r:id="rId69">
              <w:r>
                <w:rPr>
                  <w:color w:val="0563C1"/>
                  <w:u w:val="single"/>
                </w:rPr>
                <w:t xml:space="preserve">Fund/Portfolio Manager registration requirements</w:t>
              </w:r>
            </w:hyperlink>
          </w:p>
        </w:tc>
        <w:tc>
          <w:tcPr>
            <w:tcW w:type="dxa" w:w="3969"/>
            <w:vAlign w:val="top"/>
          </w:tcPr>
          <w:p>
            <w:r/>
            <w:r>
              <w:rPr>
                <w:b w:val="0"/>
                <w:sz w:val="13"/>
              </w:rPr>
              <w:t>Exigences opérateurs</w:t>
            </w:r>
          </w:p>
        </w:tc>
        <w:tc>
          <w:tcPr>
            <w:tcW w:type="dxa" w:w="1701"/>
            <w:vAlign w:val="top"/>
          </w:tcPr>
          <w:p>
            <w:r/>
            <w:r>
              <w:rPr>
                <w:b w:val="0"/>
                <w:sz w:val="13"/>
              </w:rPr>
              <w:t>Annuel</w:t>
            </w:r>
          </w:p>
        </w:tc>
        <w:tc>
          <w:tcPr>
            <w:tcW w:type="dxa" w:w="964"/>
            <w:vAlign w:val="top"/>
          </w:tcPr>
          <w:p>
            <w:r/>
            <w:r>
              <w:rPr>
                <w:b w:val="0"/>
                <w:sz w:val="13"/>
              </w:rPr>
              <w:t>T1</w:t>
            </w:r>
          </w:p>
        </w:tc>
      </w:tr>
      <w:tr>
        <w:trPr>
          <w:cantSplit/>
        </w:trPr>
        <w:tc>
          <w:tcPr>
            <w:tcW w:type="dxa" w:w="1247"/>
            <w:vAlign w:val="top"/>
          </w:tcPr>
          <w:p>
            <w:r/>
            <w:r>
              <w:rPr>
                <w:b w:val="0"/>
                <w:sz w:val="13"/>
              </w:rPr>
              <w:t>SEC-023</w:t>
            </w:r>
          </w:p>
        </w:tc>
        <w:tc>
          <w:tcPr>
            <w:tcW w:type="dxa" w:w="2324"/>
            <w:vAlign w:val="top"/>
          </w:tcPr>
          <w:p>
            <w:r/>
            <w:r>
              <w:rPr>
                <w:b w:val="0"/>
                <w:sz w:val="13"/>
              </w:rPr>
              <w:t>SEC Nigeria</w:t>
            </w:r>
          </w:p>
        </w:tc>
        <w:tc>
          <w:tcPr>
            <w:tcW w:type="dxa" w:w="4819"/>
            <w:vAlign w:val="top"/>
          </w:tcPr>
          <w:p>
            <w:r>
              <w:rPr>
                <w:sz w:val="13"/>
              </w:rPr>
            </w:r>
            <w:hyperlink r:id="rId70">
              <w:r>
                <w:rPr>
                  <w:color w:val="0563C1"/>
                  <w:u w:val="single"/>
                </w:rPr>
                <w:t xml:space="preserve">Checklists index</w:t>
              </w:r>
            </w:hyperlink>
          </w:p>
        </w:tc>
        <w:tc>
          <w:tcPr>
            <w:tcW w:type="dxa" w:w="3969"/>
            <w:vAlign w:val="top"/>
          </w:tcPr>
          <w:p>
            <w:r/>
            <w:r>
              <w:rPr>
                <w:b w:val="0"/>
                <w:sz w:val="13"/>
              </w:rPr>
              <w:t>Procédures et pièces</w:t>
            </w:r>
          </w:p>
        </w:tc>
        <w:tc>
          <w:tcPr>
            <w:tcW w:type="dxa" w:w="1701"/>
            <w:vAlign w:val="top"/>
          </w:tcPr>
          <w:p>
            <w:r/>
            <w:r>
              <w:rPr>
                <w:b w:val="0"/>
                <w:sz w:val="13"/>
              </w:rPr>
              <w:t>Mensuel</w:t>
            </w:r>
          </w:p>
        </w:tc>
        <w:tc>
          <w:tcPr>
            <w:tcW w:type="dxa" w:w="964"/>
            <w:vAlign w:val="top"/>
          </w:tcPr>
          <w:p>
            <w:r/>
            <w:r>
              <w:rPr>
                <w:b w:val="0"/>
                <w:sz w:val="13"/>
              </w:rPr>
              <w:t>T1</w:t>
            </w:r>
          </w:p>
        </w:tc>
      </w:tr>
      <w:tr>
        <w:trPr>
          <w:cantSplit/>
        </w:trPr>
        <w:tc>
          <w:tcPr>
            <w:tcW w:type="dxa" w:w="1247"/>
            <w:vAlign w:val="top"/>
          </w:tcPr>
          <w:p>
            <w:r/>
            <w:r>
              <w:rPr>
                <w:b w:val="0"/>
                <w:sz w:val="13"/>
              </w:rPr>
              <w:t>SEC-024</w:t>
            </w:r>
          </w:p>
        </w:tc>
        <w:tc>
          <w:tcPr>
            <w:tcW w:type="dxa" w:w="2324"/>
            <w:vAlign w:val="top"/>
          </w:tcPr>
          <w:p>
            <w:r/>
            <w:r>
              <w:rPr>
                <w:b w:val="0"/>
                <w:sz w:val="13"/>
              </w:rPr>
              <w:t>SEC Nigeria</w:t>
            </w:r>
          </w:p>
        </w:tc>
        <w:tc>
          <w:tcPr>
            <w:tcW w:type="dxa" w:w="4819"/>
            <w:vAlign w:val="top"/>
          </w:tcPr>
          <w:p>
            <w:r>
              <w:rPr>
                <w:sz w:val="13"/>
              </w:rPr>
            </w:r>
            <w:hyperlink r:id="rId71">
              <w:r>
                <w:rPr>
                  <w:color w:val="0563C1"/>
                  <w:u w:val="single"/>
                </w:rPr>
                <w:t xml:space="preserve">Quarterly PE and infrastructure funds</w:t>
              </w:r>
            </w:hyperlink>
          </w:p>
        </w:tc>
        <w:tc>
          <w:tcPr>
            <w:tcW w:type="dxa" w:w="3969"/>
            <w:vAlign w:val="top"/>
          </w:tcPr>
          <w:p>
            <w:r/>
            <w:r>
              <w:rPr>
                <w:b w:val="0"/>
                <w:sz w:val="13"/>
              </w:rPr>
              <w:t>Fonds alternatifs et infrastructures</w:t>
            </w:r>
          </w:p>
        </w:tc>
        <w:tc>
          <w:tcPr>
            <w:tcW w:type="dxa" w:w="1701"/>
            <w:vAlign w:val="top"/>
          </w:tcPr>
          <w:p>
            <w:r/>
            <w:r>
              <w:rPr>
                <w:b w:val="0"/>
                <w:sz w:val="13"/>
              </w:rPr>
              <w:t>Trimestriel</w:t>
            </w:r>
          </w:p>
        </w:tc>
        <w:tc>
          <w:tcPr>
            <w:tcW w:type="dxa" w:w="964"/>
            <w:vAlign w:val="top"/>
          </w:tcPr>
          <w:p>
            <w:r/>
            <w:r>
              <w:rPr>
                <w:b w:val="0"/>
                <w:sz w:val="13"/>
              </w:rPr>
              <w:t>T1</w:t>
            </w:r>
          </w:p>
        </w:tc>
      </w:tr>
      <w:tr>
        <w:trPr>
          <w:cantSplit/>
        </w:trPr>
        <w:tc>
          <w:tcPr>
            <w:tcW w:type="dxa" w:w="1247"/>
            <w:vAlign w:val="top"/>
          </w:tcPr>
          <w:p>
            <w:r/>
            <w:r>
              <w:rPr>
                <w:b w:val="0"/>
                <w:sz w:val="13"/>
              </w:rPr>
              <w:t>SEC-025</w:t>
            </w:r>
          </w:p>
        </w:tc>
        <w:tc>
          <w:tcPr>
            <w:tcW w:type="dxa" w:w="2324"/>
            <w:vAlign w:val="top"/>
          </w:tcPr>
          <w:p>
            <w:r/>
            <w:r>
              <w:rPr>
                <w:b w:val="0"/>
                <w:sz w:val="13"/>
              </w:rPr>
              <w:t>SEC Nigeria</w:t>
            </w:r>
          </w:p>
        </w:tc>
        <w:tc>
          <w:tcPr>
            <w:tcW w:type="dxa" w:w="4819"/>
            <w:vAlign w:val="top"/>
          </w:tcPr>
          <w:p>
            <w:r>
              <w:rPr>
                <w:sz w:val="13"/>
              </w:rPr>
            </w:r>
            <w:hyperlink r:id="rId72">
              <w:r>
                <w:rPr>
                  <w:color w:val="0563C1"/>
                  <w:u w:val="single"/>
                </w:rPr>
                <w:t xml:space="preserve">Market Review and Outlook</w:t>
              </w:r>
            </w:hyperlink>
          </w:p>
        </w:tc>
        <w:tc>
          <w:tcPr>
            <w:tcW w:type="dxa" w:w="3969"/>
            <w:vAlign w:val="top"/>
          </w:tcPr>
          <w:p>
            <w:r/>
            <w:r>
              <w:rPr>
                <w:b w:val="0"/>
                <w:sz w:val="13"/>
              </w:rPr>
              <w:t>Contexte de marché</w:t>
            </w:r>
          </w:p>
        </w:tc>
        <w:tc>
          <w:tcPr>
            <w:tcW w:type="dxa" w:w="1701"/>
            <w:vAlign w:val="top"/>
          </w:tcPr>
          <w:p>
            <w:r/>
            <w:r>
              <w:rPr>
                <w:b w:val="0"/>
                <w:sz w:val="13"/>
              </w:rPr>
              <w:t>Trimestriel/annuel</w:t>
            </w:r>
          </w:p>
        </w:tc>
        <w:tc>
          <w:tcPr>
            <w:tcW w:type="dxa" w:w="964"/>
            <w:vAlign w:val="top"/>
          </w:tcPr>
          <w:p>
            <w:r/>
            <w:r>
              <w:rPr>
                <w:b w:val="0"/>
                <w:sz w:val="13"/>
              </w:rPr>
              <w:t>T1</w:t>
            </w:r>
          </w:p>
        </w:tc>
      </w:tr>
      <w:tr>
        <w:trPr>
          <w:cantSplit/>
        </w:trPr>
        <w:tc>
          <w:tcPr>
            <w:tcW w:type="dxa" w:w="1247"/>
            <w:vAlign w:val="top"/>
          </w:tcPr>
          <w:p>
            <w:r/>
            <w:r>
              <w:rPr>
                <w:b w:val="0"/>
                <w:sz w:val="13"/>
              </w:rPr>
              <w:t>SEC-026</w:t>
            </w:r>
          </w:p>
        </w:tc>
        <w:tc>
          <w:tcPr>
            <w:tcW w:type="dxa" w:w="2324"/>
            <w:vAlign w:val="top"/>
          </w:tcPr>
          <w:p>
            <w:r/>
            <w:r>
              <w:rPr>
                <w:b w:val="0"/>
                <w:sz w:val="13"/>
              </w:rPr>
              <w:t>SEC Nigeria</w:t>
            </w:r>
          </w:p>
        </w:tc>
        <w:tc>
          <w:tcPr>
            <w:tcW w:type="dxa" w:w="4819"/>
            <w:vAlign w:val="top"/>
          </w:tcPr>
          <w:p>
            <w:r>
              <w:rPr>
                <w:sz w:val="13"/>
              </w:rPr>
            </w:r>
            <w:hyperlink r:id="rId73">
              <w:r>
                <w:rPr>
                  <w:color w:val="0563C1"/>
                  <w:u w:val="single"/>
                </w:rPr>
                <w:t xml:space="preserve">Who we regulate</w:t>
              </w:r>
            </w:hyperlink>
          </w:p>
        </w:tc>
        <w:tc>
          <w:tcPr>
            <w:tcW w:type="dxa" w:w="3969"/>
            <w:vAlign w:val="top"/>
          </w:tcPr>
          <w:p>
            <w:r/>
            <w:r>
              <w:rPr>
                <w:b w:val="0"/>
                <w:sz w:val="13"/>
              </w:rPr>
              <w:t>Typologie des opérateurs</w:t>
            </w:r>
          </w:p>
        </w:tc>
        <w:tc>
          <w:tcPr>
            <w:tcW w:type="dxa" w:w="1701"/>
            <w:vAlign w:val="top"/>
          </w:tcPr>
          <w:p>
            <w:r/>
            <w:r>
              <w:rPr>
                <w:b w:val="0"/>
                <w:sz w:val="13"/>
              </w:rPr>
              <w:t>Annuel</w:t>
            </w:r>
          </w:p>
        </w:tc>
        <w:tc>
          <w:tcPr>
            <w:tcW w:type="dxa" w:w="964"/>
            <w:vAlign w:val="top"/>
          </w:tcPr>
          <w:p>
            <w:r/>
            <w:r>
              <w:rPr>
                <w:b w:val="0"/>
                <w:sz w:val="13"/>
              </w:rPr>
              <w:t>T1</w:t>
            </w:r>
          </w:p>
        </w:tc>
      </w:tr>
      <w:tr>
        <w:trPr>
          <w:cantSplit/>
        </w:trPr>
        <w:tc>
          <w:tcPr>
            <w:tcW w:type="dxa" w:w="1247"/>
            <w:vAlign w:val="top"/>
          </w:tcPr>
          <w:p>
            <w:r/>
            <w:r>
              <w:rPr>
                <w:b w:val="0"/>
                <w:sz w:val="13"/>
              </w:rPr>
              <w:t>SEC-027</w:t>
            </w:r>
          </w:p>
        </w:tc>
        <w:tc>
          <w:tcPr>
            <w:tcW w:type="dxa" w:w="2324"/>
            <w:vAlign w:val="top"/>
          </w:tcPr>
          <w:p>
            <w:r/>
            <w:r>
              <w:rPr>
                <w:b w:val="0"/>
                <w:sz w:val="13"/>
              </w:rPr>
              <w:t>SEC Nigeria</w:t>
            </w:r>
          </w:p>
        </w:tc>
        <w:tc>
          <w:tcPr>
            <w:tcW w:type="dxa" w:w="4819"/>
            <w:vAlign w:val="top"/>
          </w:tcPr>
          <w:p>
            <w:r>
              <w:rPr>
                <w:sz w:val="13"/>
              </w:rPr>
            </w:r>
            <w:hyperlink r:id="rId74">
              <w:r>
                <w:rPr>
                  <w:color w:val="0563C1"/>
                  <w:u w:val="single"/>
                </w:rPr>
                <w:t xml:space="preserve">Become an operator</w:t>
              </w:r>
            </w:hyperlink>
          </w:p>
        </w:tc>
        <w:tc>
          <w:tcPr>
            <w:tcW w:type="dxa" w:w="3969"/>
            <w:vAlign w:val="top"/>
          </w:tcPr>
          <w:p>
            <w:r/>
            <w:r>
              <w:rPr>
                <w:b w:val="0"/>
                <w:sz w:val="13"/>
              </w:rPr>
              <w:t>Fonctions des opérateurs</w:t>
            </w:r>
          </w:p>
        </w:tc>
        <w:tc>
          <w:tcPr>
            <w:tcW w:type="dxa" w:w="1701"/>
            <w:vAlign w:val="top"/>
          </w:tcPr>
          <w:p>
            <w:r/>
            <w:r>
              <w:rPr>
                <w:b w:val="0"/>
                <w:sz w:val="13"/>
              </w:rPr>
              <w:t>Annuel</w:t>
            </w:r>
          </w:p>
        </w:tc>
        <w:tc>
          <w:tcPr>
            <w:tcW w:type="dxa" w:w="964"/>
            <w:vAlign w:val="top"/>
          </w:tcPr>
          <w:p>
            <w:r/>
            <w:r>
              <w:rPr>
                <w:b w:val="0"/>
                <w:sz w:val="13"/>
              </w:rPr>
              <w:t>T1</w:t>
            </w:r>
          </w:p>
        </w:tc>
      </w:tr>
      <w:tr>
        <w:trPr>
          <w:cantSplit/>
        </w:trPr>
        <w:tc>
          <w:tcPr>
            <w:tcW w:type="dxa" w:w="1247"/>
            <w:vAlign w:val="top"/>
          </w:tcPr>
          <w:p>
            <w:r/>
            <w:r>
              <w:rPr>
                <w:b w:val="0"/>
                <w:sz w:val="13"/>
              </w:rPr>
              <w:t>SEC-028</w:t>
            </w:r>
          </w:p>
        </w:tc>
        <w:tc>
          <w:tcPr>
            <w:tcW w:type="dxa" w:w="2324"/>
            <w:vAlign w:val="top"/>
          </w:tcPr>
          <w:p>
            <w:r/>
            <w:r>
              <w:rPr>
                <w:b w:val="0"/>
                <w:sz w:val="13"/>
              </w:rPr>
              <w:t>SEC Nigeria</w:t>
            </w:r>
          </w:p>
        </w:tc>
        <w:tc>
          <w:tcPr>
            <w:tcW w:type="dxa" w:w="4819"/>
            <w:vAlign w:val="top"/>
          </w:tcPr>
          <w:p>
            <w:r>
              <w:rPr>
                <w:sz w:val="13"/>
              </w:rPr>
            </w:r>
            <w:hyperlink r:id="rId75">
              <w:r>
                <w:rPr>
                  <w:color w:val="0563C1"/>
                  <w:u w:val="single"/>
                </w:rPr>
                <w:t xml:space="preserve">Pre-notice of cancellation/withdrawal — 2020</w:t>
              </w:r>
            </w:hyperlink>
          </w:p>
        </w:tc>
        <w:tc>
          <w:tcPr>
            <w:tcW w:type="dxa" w:w="3969"/>
            <w:vAlign w:val="top"/>
          </w:tcPr>
          <w:p>
            <w:r/>
            <w:r>
              <w:rPr>
                <w:b w:val="0"/>
                <w:sz w:val="13"/>
              </w:rPr>
              <w:t>Historique de statut des opérateurs</w:t>
            </w:r>
          </w:p>
        </w:tc>
        <w:tc>
          <w:tcPr>
            <w:tcW w:type="dxa" w:w="1701"/>
            <w:vAlign w:val="top"/>
          </w:tcPr>
          <w:p>
            <w:r/>
            <w:r>
              <w:rPr>
                <w:b w:val="0"/>
                <w:sz w:val="13"/>
              </w:rPr>
              <w:t>Archives</w:t>
            </w:r>
          </w:p>
        </w:tc>
        <w:tc>
          <w:tcPr>
            <w:tcW w:type="dxa" w:w="964"/>
            <w:vAlign w:val="top"/>
          </w:tcPr>
          <w:p>
            <w:r/>
            <w:r>
              <w:rPr>
                <w:b w:val="0"/>
                <w:sz w:val="13"/>
              </w:rPr>
              <w:t>T1</w:t>
            </w:r>
          </w:p>
        </w:tc>
      </w:tr>
      <w:tr>
        <w:trPr>
          <w:cantSplit/>
        </w:trPr>
        <w:tc>
          <w:tcPr>
            <w:tcW w:type="dxa" w:w="1247"/>
            <w:vAlign w:val="top"/>
          </w:tcPr>
          <w:p>
            <w:r/>
            <w:r>
              <w:rPr>
                <w:b w:val="0"/>
                <w:sz w:val="13"/>
              </w:rPr>
              <w:t>CBN-001</w:t>
            </w:r>
          </w:p>
        </w:tc>
        <w:tc>
          <w:tcPr>
            <w:tcW w:type="dxa" w:w="2324"/>
            <w:vAlign w:val="top"/>
          </w:tcPr>
          <w:p>
            <w:r/>
            <w:r>
              <w:rPr>
                <w:b w:val="0"/>
                <w:sz w:val="13"/>
              </w:rPr>
              <w:t>Central Bank of Nigeria</w:t>
            </w:r>
          </w:p>
        </w:tc>
        <w:tc>
          <w:tcPr>
            <w:tcW w:type="dxa" w:w="4819"/>
            <w:vAlign w:val="top"/>
          </w:tcPr>
          <w:p>
            <w:r>
              <w:rPr>
                <w:sz w:val="13"/>
              </w:rPr>
            </w:r>
            <w:hyperlink r:id="rId76">
              <w:r>
                <w:rPr>
                  <w:color w:val="0563C1"/>
                  <w:u w:val="single"/>
                </w:rPr>
                <w:t xml:space="preserve">Data and Statistics</w:t>
              </w:r>
            </w:hyperlink>
          </w:p>
        </w:tc>
        <w:tc>
          <w:tcPr>
            <w:tcW w:type="dxa" w:w="3969"/>
            <w:vAlign w:val="top"/>
          </w:tcPr>
          <w:p>
            <w:r/>
            <w:r>
              <w:rPr>
                <w:b w:val="0"/>
                <w:sz w:val="13"/>
              </w:rPr>
              <w:t>FX, taux et statistiques</w:t>
            </w:r>
          </w:p>
        </w:tc>
        <w:tc>
          <w:tcPr>
            <w:tcW w:type="dxa" w:w="1701"/>
            <w:vAlign w:val="top"/>
          </w:tcPr>
          <w:p>
            <w:r/>
            <w:r>
              <w:rPr>
                <w:b w:val="0"/>
                <w:sz w:val="13"/>
              </w:rPr>
              <w:t>Quotidien/mensuel</w:t>
            </w:r>
          </w:p>
        </w:tc>
        <w:tc>
          <w:tcPr>
            <w:tcW w:type="dxa" w:w="964"/>
            <w:vAlign w:val="top"/>
          </w:tcPr>
          <w:p>
            <w:r/>
            <w:r>
              <w:rPr>
                <w:b w:val="0"/>
                <w:sz w:val="13"/>
              </w:rPr>
              <w:t>T3</w:t>
            </w:r>
          </w:p>
        </w:tc>
      </w:tr>
      <w:tr>
        <w:trPr>
          <w:cantSplit/>
        </w:trPr>
        <w:tc>
          <w:tcPr>
            <w:tcW w:type="dxa" w:w="1247"/>
            <w:vAlign w:val="top"/>
          </w:tcPr>
          <w:p>
            <w:r/>
            <w:r>
              <w:rPr>
                <w:b w:val="0"/>
                <w:sz w:val="13"/>
              </w:rPr>
              <w:t>CBN-002</w:t>
            </w:r>
          </w:p>
        </w:tc>
        <w:tc>
          <w:tcPr>
            <w:tcW w:type="dxa" w:w="2324"/>
            <w:vAlign w:val="top"/>
          </w:tcPr>
          <w:p>
            <w:r/>
            <w:r>
              <w:rPr>
                <w:b w:val="0"/>
                <w:sz w:val="13"/>
              </w:rPr>
              <w:t>Central Bank of Nigeria</w:t>
            </w:r>
          </w:p>
        </w:tc>
        <w:tc>
          <w:tcPr>
            <w:tcW w:type="dxa" w:w="4819"/>
            <w:vAlign w:val="top"/>
          </w:tcPr>
          <w:p>
            <w:r>
              <w:rPr>
                <w:sz w:val="13"/>
              </w:rPr>
            </w:r>
            <w:hyperlink r:id="rId77">
              <w:r>
                <w:rPr>
                  <w:color w:val="0563C1"/>
                  <w:u w:val="single"/>
                </w:rPr>
                <w:t xml:space="preserve">Government Securities</w:t>
              </w:r>
            </w:hyperlink>
          </w:p>
        </w:tc>
        <w:tc>
          <w:tcPr>
            <w:tcW w:type="dxa" w:w="3969"/>
            <w:vAlign w:val="top"/>
          </w:tcPr>
          <w:p>
            <w:r/>
            <w:r>
              <w:rPr>
                <w:b w:val="0"/>
                <w:sz w:val="13"/>
              </w:rPr>
              <w:t>T-bills et titres publics</w:t>
            </w:r>
          </w:p>
        </w:tc>
        <w:tc>
          <w:tcPr>
            <w:tcW w:type="dxa" w:w="1701"/>
            <w:vAlign w:val="top"/>
          </w:tcPr>
          <w:p>
            <w:r/>
            <w:r>
              <w:rPr>
                <w:b w:val="0"/>
                <w:sz w:val="13"/>
              </w:rPr>
              <w:t>Selon publication</w:t>
            </w:r>
          </w:p>
        </w:tc>
        <w:tc>
          <w:tcPr>
            <w:tcW w:type="dxa" w:w="964"/>
            <w:vAlign w:val="top"/>
          </w:tcPr>
          <w:p>
            <w:r/>
            <w:r>
              <w:rPr>
                <w:b w:val="0"/>
                <w:sz w:val="13"/>
              </w:rPr>
              <w:t>T3</w:t>
            </w:r>
          </w:p>
        </w:tc>
      </w:tr>
      <w:tr>
        <w:trPr>
          <w:cantSplit/>
        </w:trPr>
        <w:tc>
          <w:tcPr>
            <w:tcW w:type="dxa" w:w="1247"/>
            <w:vAlign w:val="top"/>
          </w:tcPr>
          <w:p>
            <w:r/>
            <w:r>
              <w:rPr>
                <w:b w:val="0"/>
                <w:sz w:val="13"/>
              </w:rPr>
              <w:t>CBN-003</w:t>
            </w:r>
          </w:p>
        </w:tc>
        <w:tc>
          <w:tcPr>
            <w:tcW w:type="dxa" w:w="2324"/>
            <w:vAlign w:val="top"/>
          </w:tcPr>
          <w:p>
            <w:r/>
            <w:r>
              <w:rPr>
                <w:b w:val="0"/>
                <w:sz w:val="13"/>
              </w:rPr>
              <w:t>Central Bank of Nigeria</w:t>
            </w:r>
          </w:p>
        </w:tc>
        <w:tc>
          <w:tcPr>
            <w:tcW w:type="dxa" w:w="4819"/>
            <w:vAlign w:val="top"/>
          </w:tcPr>
          <w:p>
            <w:r>
              <w:rPr>
                <w:sz w:val="13"/>
              </w:rPr>
            </w:r>
            <w:hyperlink r:id="rId78">
              <w:r>
                <w:rPr>
                  <w:color w:val="0563C1"/>
                  <w:u w:val="single"/>
                </w:rPr>
                <w:t xml:space="preserve">Macroeconomic Indicators</w:t>
              </w:r>
            </w:hyperlink>
          </w:p>
        </w:tc>
        <w:tc>
          <w:tcPr>
            <w:tcW w:type="dxa" w:w="3969"/>
            <w:vAlign w:val="top"/>
          </w:tcPr>
          <w:p>
            <w:r/>
            <w:r>
              <w:rPr>
                <w:b w:val="0"/>
                <w:sz w:val="13"/>
              </w:rPr>
              <w:t>Indicateurs macro</w:t>
            </w:r>
          </w:p>
        </w:tc>
        <w:tc>
          <w:tcPr>
            <w:tcW w:type="dxa" w:w="1701"/>
            <w:vAlign w:val="top"/>
          </w:tcPr>
          <w:p>
            <w:r/>
            <w:r>
              <w:rPr>
                <w:b w:val="0"/>
                <w:sz w:val="13"/>
              </w:rPr>
              <w:t>Mensuel</w:t>
            </w:r>
          </w:p>
        </w:tc>
        <w:tc>
          <w:tcPr>
            <w:tcW w:type="dxa" w:w="964"/>
            <w:vAlign w:val="top"/>
          </w:tcPr>
          <w:p>
            <w:r/>
            <w:r>
              <w:rPr>
                <w:b w:val="0"/>
                <w:sz w:val="13"/>
              </w:rPr>
              <w:t>T3</w:t>
            </w:r>
          </w:p>
        </w:tc>
      </w:tr>
      <w:tr>
        <w:trPr>
          <w:cantSplit/>
        </w:trPr>
        <w:tc>
          <w:tcPr>
            <w:tcW w:type="dxa" w:w="1247"/>
            <w:vAlign w:val="top"/>
          </w:tcPr>
          <w:p>
            <w:r/>
            <w:r>
              <w:rPr>
                <w:b w:val="0"/>
                <w:sz w:val="13"/>
              </w:rPr>
              <w:t>CBN-004</w:t>
            </w:r>
          </w:p>
        </w:tc>
        <w:tc>
          <w:tcPr>
            <w:tcW w:type="dxa" w:w="2324"/>
            <w:vAlign w:val="top"/>
          </w:tcPr>
          <w:p>
            <w:r/>
            <w:r>
              <w:rPr>
                <w:b w:val="0"/>
                <w:sz w:val="13"/>
              </w:rPr>
              <w:t>Central Bank of Nigeria</w:t>
            </w:r>
          </w:p>
        </w:tc>
        <w:tc>
          <w:tcPr>
            <w:tcW w:type="dxa" w:w="4819"/>
            <w:vAlign w:val="top"/>
          </w:tcPr>
          <w:p>
            <w:r>
              <w:rPr>
                <w:sz w:val="13"/>
              </w:rPr>
            </w:r>
            <w:hyperlink r:id="rId79">
              <w:r>
                <w:rPr>
                  <w:color w:val="0563C1"/>
                  <w:u w:val="single"/>
                </w:rPr>
                <w:t xml:space="preserve">Money Market Indicators</w:t>
              </w:r>
            </w:hyperlink>
          </w:p>
        </w:tc>
        <w:tc>
          <w:tcPr>
            <w:tcW w:type="dxa" w:w="3969"/>
            <w:vAlign w:val="top"/>
          </w:tcPr>
          <w:p>
            <w:r/>
            <w:r>
              <w:rPr>
                <w:b w:val="0"/>
                <w:sz w:val="13"/>
              </w:rPr>
              <w:t>Taux monétaires</w:t>
            </w:r>
          </w:p>
        </w:tc>
        <w:tc>
          <w:tcPr>
            <w:tcW w:type="dxa" w:w="1701"/>
            <w:vAlign w:val="top"/>
          </w:tcPr>
          <w:p>
            <w:r/>
            <w:r>
              <w:rPr>
                <w:b w:val="0"/>
                <w:sz w:val="13"/>
              </w:rPr>
              <w:t>Quotidien</w:t>
            </w:r>
          </w:p>
        </w:tc>
        <w:tc>
          <w:tcPr>
            <w:tcW w:type="dxa" w:w="964"/>
            <w:vAlign w:val="top"/>
          </w:tcPr>
          <w:p>
            <w:r/>
            <w:r>
              <w:rPr>
                <w:b w:val="0"/>
                <w:sz w:val="13"/>
              </w:rPr>
              <w:t>T3</w:t>
            </w:r>
          </w:p>
        </w:tc>
      </w:tr>
      <w:tr>
        <w:trPr>
          <w:cantSplit/>
        </w:trPr>
        <w:tc>
          <w:tcPr>
            <w:tcW w:type="dxa" w:w="1247"/>
            <w:vAlign w:val="top"/>
          </w:tcPr>
          <w:p>
            <w:r/>
            <w:r>
              <w:rPr>
                <w:b w:val="0"/>
                <w:sz w:val="13"/>
              </w:rPr>
              <w:t>CBN-005</w:t>
            </w:r>
          </w:p>
        </w:tc>
        <w:tc>
          <w:tcPr>
            <w:tcW w:type="dxa" w:w="2324"/>
            <w:vAlign w:val="top"/>
          </w:tcPr>
          <w:p>
            <w:r/>
            <w:r>
              <w:rPr>
                <w:b w:val="0"/>
                <w:sz w:val="13"/>
              </w:rPr>
              <w:t>Central Bank of Nigeria</w:t>
            </w:r>
          </w:p>
        </w:tc>
        <w:tc>
          <w:tcPr>
            <w:tcW w:type="dxa" w:w="4819"/>
            <w:vAlign w:val="top"/>
          </w:tcPr>
          <w:p>
            <w:r>
              <w:rPr>
                <w:sz w:val="13"/>
              </w:rPr>
            </w:r>
            <w:hyperlink r:id="rId80">
              <w:r>
                <w:rPr>
                  <w:color w:val="0563C1"/>
                  <w:u w:val="single"/>
                </w:rPr>
                <w:t xml:space="preserve">NTB drilldown</w:t>
              </w:r>
            </w:hyperlink>
          </w:p>
        </w:tc>
        <w:tc>
          <w:tcPr>
            <w:tcW w:type="dxa" w:w="3969"/>
            <w:vAlign w:val="top"/>
          </w:tcPr>
          <w:p>
            <w:r/>
            <w:r>
              <w:rPr>
                <w:b w:val="0"/>
                <w:sz w:val="13"/>
              </w:rPr>
              <w:t>Treasury Bills</w:t>
            </w:r>
          </w:p>
        </w:tc>
        <w:tc>
          <w:tcPr>
            <w:tcW w:type="dxa" w:w="1701"/>
            <w:vAlign w:val="top"/>
          </w:tcPr>
          <w:p>
            <w:r/>
            <w:r>
              <w:rPr>
                <w:b w:val="0"/>
                <w:sz w:val="13"/>
              </w:rPr>
              <w:t>Selon publication</w:t>
            </w:r>
          </w:p>
        </w:tc>
        <w:tc>
          <w:tcPr>
            <w:tcW w:type="dxa" w:w="964"/>
            <w:vAlign w:val="top"/>
          </w:tcPr>
          <w:p>
            <w:r/>
            <w:r>
              <w:rPr>
                <w:b w:val="0"/>
                <w:sz w:val="13"/>
              </w:rPr>
              <w:t>T3</w:t>
            </w:r>
          </w:p>
        </w:tc>
      </w:tr>
      <w:tr>
        <w:trPr>
          <w:cantSplit/>
        </w:trPr>
        <w:tc>
          <w:tcPr>
            <w:tcW w:type="dxa" w:w="1247"/>
            <w:vAlign w:val="top"/>
          </w:tcPr>
          <w:p>
            <w:r/>
            <w:r>
              <w:rPr>
                <w:b w:val="0"/>
                <w:sz w:val="13"/>
              </w:rPr>
              <w:t>DMO-001</w:t>
            </w:r>
          </w:p>
        </w:tc>
        <w:tc>
          <w:tcPr>
            <w:tcW w:type="dxa" w:w="2324"/>
            <w:vAlign w:val="top"/>
          </w:tcPr>
          <w:p>
            <w:r/>
            <w:r>
              <w:rPr>
                <w:b w:val="0"/>
                <w:sz w:val="13"/>
              </w:rPr>
              <w:t>Debt Management Office</w:t>
            </w:r>
          </w:p>
        </w:tc>
        <w:tc>
          <w:tcPr>
            <w:tcW w:type="dxa" w:w="4819"/>
            <w:vAlign w:val="top"/>
          </w:tcPr>
          <w:p>
            <w:r>
              <w:rPr>
                <w:sz w:val="13"/>
              </w:rPr>
            </w:r>
            <w:hyperlink r:id="rId81">
              <w:r>
                <w:rPr>
                  <w:color w:val="0563C1"/>
                  <w:u w:val="single"/>
                </w:rPr>
                <w:t xml:space="preserve">Accueil</w:t>
              </w:r>
            </w:hyperlink>
          </w:p>
        </w:tc>
        <w:tc>
          <w:tcPr>
            <w:tcW w:type="dxa" w:w="3969"/>
            <w:vAlign w:val="top"/>
          </w:tcPr>
          <w:p>
            <w:r/>
            <w:r>
              <w:rPr>
                <w:b w:val="0"/>
                <w:sz w:val="13"/>
              </w:rPr>
              <w:t>Dette souveraine</w:t>
            </w:r>
          </w:p>
        </w:tc>
        <w:tc>
          <w:tcPr>
            <w:tcW w:type="dxa" w:w="1701"/>
            <w:vAlign w:val="top"/>
          </w:tcPr>
          <w:p>
            <w:r/>
            <w:r>
              <w:rPr>
                <w:b w:val="0"/>
                <w:sz w:val="13"/>
              </w:rPr>
              <w:t>Hebdomadaire</w:t>
            </w:r>
          </w:p>
        </w:tc>
        <w:tc>
          <w:tcPr>
            <w:tcW w:type="dxa" w:w="964"/>
            <w:vAlign w:val="top"/>
          </w:tcPr>
          <w:p>
            <w:r/>
            <w:r>
              <w:rPr>
                <w:b w:val="0"/>
                <w:sz w:val="13"/>
              </w:rPr>
              <w:t>T3</w:t>
            </w:r>
          </w:p>
        </w:tc>
      </w:tr>
      <w:tr>
        <w:trPr>
          <w:cantSplit/>
        </w:trPr>
        <w:tc>
          <w:tcPr>
            <w:tcW w:type="dxa" w:w="1247"/>
            <w:vAlign w:val="top"/>
          </w:tcPr>
          <w:p>
            <w:r/>
            <w:r>
              <w:rPr>
                <w:b w:val="0"/>
                <w:sz w:val="13"/>
              </w:rPr>
              <w:t>DMO-002</w:t>
            </w:r>
          </w:p>
        </w:tc>
        <w:tc>
          <w:tcPr>
            <w:tcW w:type="dxa" w:w="2324"/>
            <w:vAlign w:val="top"/>
          </w:tcPr>
          <w:p>
            <w:r/>
            <w:r>
              <w:rPr>
                <w:b w:val="0"/>
                <w:sz w:val="13"/>
              </w:rPr>
              <w:t>Debt Management Office</w:t>
            </w:r>
          </w:p>
        </w:tc>
        <w:tc>
          <w:tcPr>
            <w:tcW w:type="dxa" w:w="4819"/>
            <w:vAlign w:val="top"/>
          </w:tcPr>
          <w:p>
            <w:r>
              <w:rPr>
                <w:sz w:val="13"/>
              </w:rPr>
            </w:r>
            <w:hyperlink r:id="rId82">
              <w:r>
                <w:rPr>
                  <w:color w:val="0563C1"/>
                  <w:u w:val="single"/>
                </w:rPr>
                <w:t xml:space="preserve">FGN Bonds</w:t>
              </w:r>
            </w:hyperlink>
          </w:p>
        </w:tc>
        <w:tc>
          <w:tcPr>
            <w:tcW w:type="dxa" w:w="3969"/>
            <w:vAlign w:val="top"/>
          </w:tcPr>
          <w:p>
            <w:r/>
            <w:r>
              <w:rPr>
                <w:b w:val="0"/>
                <w:sz w:val="13"/>
              </w:rPr>
              <w:t>Documentation obligataire</w:t>
            </w:r>
          </w:p>
        </w:tc>
        <w:tc>
          <w:tcPr>
            <w:tcW w:type="dxa" w:w="1701"/>
            <w:vAlign w:val="top"/>
          </w:tcPr>
          <w:p>
            <w:r/>
            <w:r>
              <w:rPr>
                <w:b w:val="0"/>
                <w:sz w:val="13"/>
              </w:rPr>
              <w:t>Selon émission</w:t>
            </w:r>
          </w:p>
        </w:tc>
        <w:tc>
          <w:tcPr>
            <w:tcW w:type="dxa" w:w="964"/>
            <w:vAlign w:val="top"/>
          </w:tcPr>
          <w:p>
            <w:r/>
            <w:r>
              <w:rPr>
                <w:b w:val="0"/>
                <w:sz w:val="13"/>
              </w:rPr>
              <w:t>T3</w:t>
            </w:r>
          </w:p>
        </w:tc>
      </w:tr>
      <w:tr>
        <w:trPr>
          <w:cantSplit/>
        </w:trPr>
        <w:tc>
          <w:tcPr>
            <w:tcW w:type="dxa" w:w="1247"/>
            <w:vAlign w:val="top"/>
          </w:tcPr>
          <w:p>
            <w:r/>
            <w:r>
              <w:rPr>
                <w:b w:val="0"/>
                <w:sz w:val="13"/>
              </w:rPr>
              <w:t>DMO-003</w:t>
            </w:r>
          </w:p>
        </w:tc>
        <w:tc>
          <w:tcPr>
            <w:tcW w:type="dxa" w:w="2324"/>
            <w:vAlign w:val="top"/>
          </w:tcPr>
          <w:p>
            <w:r/>
            <w:r>
              <w:rPr>
                <w:b w:val="0"/>
                <w:sz w:val="13"/>
              </w:rPr>
              <w:t>Debt Management Office</w:t>
            </w:r>
          </w:p>
        </w:tc>
        <w:tc>
          <w:tcPr>
            <w:tcW w:type="dxa" w:w="4819"/>
            <w:vAlign w:val="top"/>
          </w:tcPr>
          <w:p>
            <w:r>
              <w:rPr>
                <w:sz w:val="13"/>
              </w:rPr>
            </w:r>
            <w:hyperlink r:id="rId83">
              <w:r>
                <w:rPr>
                  <w:color w:val="0563C1"/>
                  <w:u w:val="single"/>
                </w:rPr>
                <w:t xml:space="preserve">FGN Bond Updates</w:t>
              </w:r>
            </w:hyperlink>
          </w:p>
        </w:tc>
        <w:tc>
          <w:tcPr>
            <w:tcW w:type="dxa" w:w="3969"/>
            <w:vAlign w:val="top"/>
          </w:tcPr>
          <w:p>
            <w:r/>
            <w:r>
              <w:rPr>
                <w:b w:val="0"/>
                <w:sz w:val="13"/>
              </w:rPr>
              <w:t>Mises à jour et résultats</w:t>
            </w:r>
          </w:p>
        </w:tc>
        <w:tc>
          <w:tcPr>
            <w:tcW w:type="dxa" w:w="1701"/>
            <w:vAlign w:val="top"/>
          </w:tcPr>
          <w:p>
            <w:r/>
            <w:r>
              <w:rPr>
                <w:b w:val="0"/>
                <w:sz w:val="13"/>
              </w:rPr>
              <w:t>Selon publication</w:t>
            </w:r>
          </w:p>
        </w:tc>
        <w:tc>
          <w:tcPr>
            <w:tcW w:type="dxa" w:w="964"/>
            <w:vAlign w:val="top"/>
          </w:tcPr>
          <w:p>
            <w:r/>
            <w:r>
              <w:rPr>
                <w:b w:val="0"/>
                <w:sz w:val="13"/>
              </w:rPr>
              <w:t>T3</w:t>
            </w:r>
          </w:p>
        </w:tc>
      </w:tr>
      <w:tr>
        <w:trPr>
          <w:cantSplit/>
        </w:trPr>
        <w:tc>
          <w:tcPr>
            <w:tcW w:type="dxa" w:w="1247"/>
            <w:vAlign w:val="top"/>
          </w:tcPr>
          <w:p>
            <w:r/>
            <w:r>
              <w:rPr>
                <w:b w:val="0"/>
                <w:sz w:val="13"/>
              </w:rPr>
              <w:t>DMO-004</w:t>
            </w:r>
          </w:p>
        </w:tc>
        <w:tc>
          <w:tcPr>
            <w:tcW w:type="dxa" w:w="2324"/>
            <w:vAlign w:val="top"/>
          </w:tcPr>
          <w:p>
            <w:r/>
            <w:r>
              <w:rPr>
                <w:b w:val="0"/>
                <w:sz w:val="13"/>
              </w:rPr>
              <w:t>Debt Management Office</w:t>
            </w:r>
          </w:p>
        </w:tc>
        <w:tc>
          <w:tcPr>
            <w:tcW w:type="dxa" w:w="4819"/>
            <w:vAlign w:val="top"/>
          </w:tcPr>
          <w:p>
            <w:r>
              <w:rPr>
                <w:sz w:val="13"/>
              </w:rPr>
            </w:r>
            <w:hyperlink r:id="rId84">
              <w:r>
                <w:rPr>
                  <w:color w:val="0563C1"/>
                  <w:u w:val="single"/>
                </w:rPr>
                <w:t xml:space="preserve">Eurobonds Trading</w:t>
              </w:r>
            </w:hyperlink>
          </w:p>
        </w:tc>
        <w:tc>
          <w:tcPr>
            <w:tcW w:type="dxa" w:w="3969"/>
            <w:vAlign w:val="top"/>
          </w:tcPr>
          <w:p>
            <w:r/>
            <w:r>
              <w:rPr>
                <w:b w:val="0"/>
                <w:sz w:val="13"/>
              </w:rPr>
              <w:t>Références Eurobonds</w:t>
            </w:r>
          </w:p>
        </w:tc>
        <w:tc>
          <w:tcPr>
            <w:tcW w:type="dxa" w:w="1701"/>
            <w:vAlign w:val="top"/>
          </w:tcPr>
          <w:p>
            <w:r/>
            <w:r>
              <w:rPr>
                <w:b w:val="0"/>
                <w:sz w:val="13"/>
              </w:rPr>
              <w:t>Selon publication</w:t>
            </w:r>
          </w:p>
        </w:tc>
        <w:tc>
          <w:tcPr>
            <w:tcW w:type="dxa" w:w="964"/>
            <w:vAlign w:val="top"/>
          </w:tcPr>
          <w:p>
            <w:r/>
            <w:r>
              <w:rPr>
                <w:b w:val="0"/>
                <w:sz w:val="13"/>
              </w:rPr>
              <w:t>T3</w:t>
            </w:r>
          </w:p>
        </w:tc>
      </w:tr>
      <w:tr>
        <w:trPr>
          <w:cantSplit/>
        </w:trPr>
        <w:tc>
          <w:tcPr>
            <w:tcW w:type="dxa" w:w="1247"/>
            <w:vAlign w:val="top"/>
          </w:tcPr>
          <w:p>
            <w:r/>
            <w:r>
              <w:rPr>
                <w:b w:val="0"/>
                <w:sz w:val="13"/>
              </w:rPr>
              <w:t>DMO-005</w:t>
            </w:r>
          </w:p>
        </w:tc>
        <w:tc>
          <w:tcPr>
            <w:tcW w:type="dxa" w:w="2324"/>
            <w:vAlign w:val="top"/>
          </w:tcPr>
          <w:p>
            <w:r/>
            <w:r>
              <w:rPr>
                <w:b w:val="0"/>
                <w:sz w:val="13"/>
              </w:rPr>
              <w:t>Debt Management Office</w:t>
            </w:r>
          </w:p>
        </w:tc>
        <w:tc>
          <w:tcPr>
            <w:tcW w:type="dxa" w:w="4819"/>
            <w:vAlign w:val="top"/>
          </w:tcPr>
          <w:p>
            <w:r>
              <w:rPr>
                <w:sz w:val="13"/>
              </w:rPr>
            </w:r>
            <w:hyperlink r:id="rId85">
              <w:r>
                <w:rPr>
                  <w:color w:val="0563C1"/>
                  <w:u w:val="single"/>
                </w:rPr>
                <w:t xml:space="preserve">Bond Auction Results</w:t>
              </w:r>
            </w:hyperlink>
          </w:p>
        </w:tc>
        <w:tc>
          <w:tcPr>
            <w:tcW w:type="dxa" w:w="3969"/>
            <w:vAlign w:val="top"/>
          </w:tcPr>
          <w:p>
            <w:r/>
            <w:r>
              <w:rPr>
                <w:b w:val="0"/>
                <w:sz w:val="13"/>
              </w:rPr>
              <w:t>Résultats d’adjudication</w:t>
            </w:r>
          </w:p>
        </w:tc>
        <w:tc>
          <w:tcPr>
            <w:tcW w:type="dxa" w:w="1701"/>
            <w:vAlign w:val="top"/>
          </w:tcPr>
          <w:p>
            <w:r/>
            <w:r>
              <w:rPr>
                <w:b w:val="0"/>
                <w:sz w:val="13"/>
              </w:rPr>
              <w:t>Mensuel</w:t>
            </w:r>
          </w:p>
        </w:tc>
        <w:tc>
          <w:tcPr>
            <w:tcW w:type="dxa" w:w="964"/>
            <w:vAlign w:val="top"/>
          </w:tcPr>
          <w:p>
            <w:r/>
            <w:r>
              <w:rPr>
                <w:b w:val="0"/>
                <w:sz w:val="13"/>
              </w:rPr>
              <w:t>T3</w:t>
            </w:r>
          </w:p>
        </w:tc>
      </w:tr>
      <w:tr>
        <w:trPr>
          <w:cantSplit/>
        </w:trPr>
        <w:tc>
          <w:tcPr>
            <w:tcW w:type="dxa" w:w="1247"/>
            <w:vAlign w:val="top"/>
          </w:tcPr>
          <w:p>
            <w:r/>
            <w:r>
              <w:rPr>
                <w:b w:val="0"/>
                <w:sz w:val="13"/>
              </w:rPr>
              <w:t>NGX-001</w:t>
            </w:r>
          </w:p>
        </w:tc>
        <w:tc>
          <w:tcPr>
            <w:tcW w:type="dxa" w:w="2324"/>
            <w:vAlign w:val="top"/>
          </w:tcPr>
          <w:p>
            <w:r/>
            <w:r>
              <w:rPr>
                <w:b w:val="0"/>
                <w:sz w:val="13"/>
              </w:rPr>
              <w:t>Nigerian Exchange</w:t>
            </w:r>
          </w:p>
        </w:tc>
        <w:tc>
          <w:tcPr>
            <w:tcW w:type="dxa" w:w="4819"/>
            <w:vAlign w:val="top"/>
          </w:tcPr>
          <w:p>
            <w:r>
              <w:rPr>
                <w:sz w:val="13"/>
              </w:rPr>
            </w:r>
            <w:hyperlink r:id="rId86">
              <w:r>
                <w:rPr>
                  <w:color w:val="0563C1"/>
                  <w:u w:val="single"/>
                </w:rPr>
                <w:t xml:space="preserve">Indices</w:t>
              </w:r>
            </w:hyperlink>
          </w:p>
        </w:tc>
        <w:tc>
          <w:tcPr>
            <w:tcW w:type="dxa" w:w="3969"/>
            <w:vAlign w:val="top"/>
          </w:tcPr>
          <w:p>
            <w:r/>
            <w:r>
              <w:rPr>
                <w:b w:val="0"/>
                <w:sz w:val="13"/>
              </w:rPr>
              <w:t>Benchmarks actions</w:t>
            </w:r>
          </w:p>
        </w:tc>
        <w:tc>
          <w:tcPr>
            <w:tcW w:type="dxa" w:w="1701"/>
            <w:vAlign w:val="top"/>
          </w:tcPr>
          <w:p>
            <w:r/>
            <w:r>
              <w:rPr>
                <w:b w:val="0"/>
                <w:sz w:val="13"/>
              </w:rPr>
              <w:t>Quotidien</w:t>
            </w:r>
          </w:p>
        </w:tc>
        <w:tc>
          <w:tcPr>
            <w:tcW w:type="dxa" w:w="964"/>
            <w:vAlign w:val="top"/>
          </w:tcPr>
          <w:p>
            <w:r/>
            <w:r>
              <w:rPr>
                <w:b w:val="0"/>
                <w:sz w:val="13"/>
              </w:rPr>
              <w:t>T3</w:t>
            </w:r>
          </w:p>
        </w:tc>
      </w:tr>
      <w:tr>
        <w:trPr>
          <w:cantSplit/>
        </w:trPr>
        <w:tc>
          <w:tcPr>
            <w:tcW w:type="dxa" w:w="1247"/>
            <w:vAlign w:val="top"/>
          </w:tcPr>
          <w:p>
            <w:r/>
            <w:r>
              <w:rPr>
                <w:b w:val="0"/>
                <w:sz w:val="13"/>
              </w:rPr>
              <w:t>NGX-002</w:t>
            </w:r>
          </w:p>
        </w:tc>
        <w:tc>
          <w:tcPr>
            <w:tcW w:type="dxa" w:w="2324"/>
            <w:vAlign w:val="top"/>
          </w:tcPr>
          <w:p>
            <w:r/>
            <w:r>
              <w:rPr>
                <w:b w:val="0"/>
                <w:sz w:val="13"/>
              </w:rPr>
              <w:t>Nigerian Exchange</w:t>
            </w:r>
          </w:p>
        </w:tc>
        <w:tc>
          <w:tcPr>
            <w:tcW w:type="dxa" w:w="4819"/>
            <w:vAlign w:val="top"/>
          </w:tcPr>
          <w:p>
            <w:r>
              <w:rPr>
                <w:sz w:val="13"/>
              </w:rPr>
            </w:r>
            <w:hyperlink r:id="rId87">
              <w:r>
                <w:rPr>
                  <w:color w:val="0563C1"/>
                  <w:u w:val="single"/>
                </w:rPr>
                <w:t xml:space="preserve">ETFs</w:t>
              </w:r>
            </w:hyperlink>
          </w:p>
        </w:tc>
        <w:tc>
          <w:tcPr>
            <w:tcW w:type="dxa" w:w="3969"/>
            <w:vAlign w:val="top"/>
          </w:tcPr>
          <w:p>
            <w:r/>
            <w:r>
              <w:rPr>
                <w:b w:val="0"/>
                <w:sz w:val="13"/>
              </w:rPr>
              <w:t>ETF et structure de marché</w:t>
            </w:r>
          </w:p>
        </w:tc>
        <w:tc>
          <w:tcPr>
            <w:tcW w:type="dxa" w:w="1701"/>
            <w:vAlign w:val="top"/>
          </w:tcPr>
          <w:p>
            <w:r/>
            <w:r>
              <w:rPr>
                <w:b w:val="0"/>
                <w:sz w:val="13"/>
              </w:rPr>
              <w:t>Hebdomadaire</w:t>
            </w:r>
          </w:p>
        </w:tc>
        <w:tc>
          <w:tcPr>
            <w:tcW w:type="dxa" w:w="964"/>
            <w:vAlign w:val="top"/>
          </w:tcPr>
          <w:p>
            <w:r/>
            <w:r>
              <w:rPr>
                <w:b w:val="0"/>
                <w:sz w:val="13"/>
              </w:rPr>
              <w:t>T3</w:t>
            </w:r>
          </w:p>
        </w:tc>
      </w:tr>
      <w:tr>
        <w:trPr>
          <w:cantSplit/>
        </w:trPr>
        <w:tc>
          <w:tcPr>
            <w:tcW w:type="dxa" w:w="1247"/>
            <w:vAlign w:val="top"/>
          </w:tcPr>
          <w:p>
            <w:r/>
            <w:r>
              <w:rPr>
                <w:b w:val="0"/>
                <w:sz w:val="13"/>
              </w:rPr>
              <w:t>NGX-003</w:t>
            </w:r>
          </w:p>
        </w:tc>
        <w:tc>
          <w:tcPr>
            <w:tcW w:type="dxa" w:w="2324"/>
            <w:vAlign w:val="top"/>
          </w:tcPr>
          <w:p>
            <w:r/>
            <w:r>
              <w:rPr>
                <w:b w:val="0"/>
                <w:sz w:val="13"/>
              </w:rPr>
              <w:t>Nigerian Exchange</w:t>
            </w:r>
          </w:p>
        </w:tc>
        <w:tc>
          <w:tcPr>
            <w:tcW w:type="dxa" w:w="4819"/>
            <w:vAlign w:val="top"/>
          </w:tcPr>
          <w:p>
            <w:r>
              <w:rPr>
                <w:sz w:val="13"/>
              </w:rPr>
            </w:r>
            <w:hyperlink r:id="rId88">
              <w:r>
                <w:rPr>
                  <w:color w:val="0563C1"/>
                  <w:u w:val="single"/>
                </w:rPr>
                <w:t xml:space="preserve">Listed ETPs</w:t>
              </w:r>
            </w:hyperlink>
          </w:p>
        </w:tc>
        <w:tc>
          <w:tcPr>
            <w:tcW w:type="dxa" w:w="3969"/>
            <w:vAlign w:val="top"/>
          </w:tcPr>
          <w:p>
            <w:r/>
            <w:r>
              <w:rPr>
                <w:b w:val="0"/>
                <w:sz w:val="13"/>
              </w:rPr>
              <w:t>Instruments cotés</w:t>
            </w:r>
          </w:p>
        </w:tc>
        <w:tc>
          <w:tcPr>
            <w:tcW w:type="dxa" w:w="1701"/>
            <w:vAlign w:val="top"/>
          </w:tcPr>
          <w:p>
            <w:r/>
            <w:r>
              <w:rPr>
                <w:b w:val="0"/>
                <w:sz w:val="13"/>
              </w:rPr>
              <w:t>Hebdomadaire</w:t>
            </w:r>
          </w:p>
        </w:tc>
        <w:tc>
          <w:tcPr>
            <w:tcW w:type="dxa" w:w="964"/>
            <w:vAlign w:val="top"/>
          </w:tcPr>
          <w:p>
            <w:r/>
            <w:r>
              <w:rPr>
                <w:b w:val="0"/>
                <w:sz w:val="13"/>
              </w:rPr>
              <w:t>T3</w:t>
            </w:r>
          </w:p>
        </w:tc>
      </w:tr>
      <w:tr>
        <w:trPr>
          <w:cantSplit/>
        </w:trPr>
        <w:tc>
          <w:tcPr>
            <w:tcW w:type="dxa" w:w="1247"/>
            <w:vAlign w:val="top"/>
          </w:tcPr>
          <w:p>
            <w:r/>
            <w:r>
              <w:rPr>
                <w:b w:val="0"/>
                <w:sz w:val="13"/>
              </w:rPr>
              <w:t>NGX-004</w:t>
            </w:r>
          </w:p>
        </w:tc>
        <w:tc>
          <w:tcPr>
            <w:tcW w:type="dxa" w:w="2324"/>
            <w:vAlign w:val="top"/>
          </w:tcPr>
          <w:p>
            <w:r/>
            <w:r>
              <w:rPr>
                <w:b w:val="0"/>
                <w:sz w:val="13"/>
              </w:rPr>
              <w:t>Nigerian Exchange</w:t>
            </w:r>
          </w:p>
        </w:tc>
        <w:tc>
          <w:tcPr>
            <w:tcW w:type="dxa" w:w="4819"/>
            <w:vAlign w:val="top"/>
          </w:tcPr>
          <w:p>
            <w:r>
              <w:rPr>
                <w:sz w:val="13"/>
              </w:rPr>
            </w:r>
            <w:hyperlink r:id="rId89">
              <w:r>
                <w:rPr>
                  <w:color w:val="0563C1"/>
                  <w:u w:val="single"/>
                </w:rPr>
                <w:t xml:space="preserve">REITs and CEFs</w:t>
              </w:r>
            </w:hyperlink>
          </w:p>
        </w:tc>
        <w:tc>
          <w:tcPr>
            <w:tcW w:type="dxa" w:w="3969"/>
            <w:vAlign w:val="top"/>
          </w:tcPr>
          <w:p>
            <w:r/>
            <w:r>
              <w:rPr>
                <w:b w:val="0"/>
                <w:sz w:val="13"/>
              </w:rPr>
              <w:t>REIT et closed-end funds</w:t>
            </w:r>
          </w:p>
        </w:tc>
        <w:tc>
          <w:tcPr>
            <w:tcW w:type="dxa" w:w="1701"/>
            <w:vAlign w:val="top"/>
          </w:tcPr>
          <w:p>
            <w:r/>
            <w:r>
              <w:rPr>
                <w:b w:val="0"/>
                <w:sz w:val="13"/>
              </w:rPr>
              <w:t>Hebdomadaire</w:t>
            </w:r>
          </w:p>
        </w:tc>
        <w:tc>
          <w:tcPr>
            <w:tcW w:type="dxa" w:w="964"/>
            <w:vAlign w:val="top"/>
          </w:tcPr>
          <w:p>
            <w:r/>
            <w:r>
              <w:rPr>
                <w:b w:val="0"/>
                <w:sz w:val="13"/>
              </w:rPr>
              <w:t>T3</w:t>
            </w:r>
          </w:p>
        </w:tc>
      </w:tr>
      <w:tr>
        <w:trPr>
          <w:cantSplit/>
        </w:trPr>
        <w:tc>
          <w:tcPr>
            <w:tcW w:type="dxa" w:w="1247"/>
            <w:vAlign w:val="top"/>
          </w:tcPr>
          <w:p>
            <w:r/>
            <w:r>
              <w:rPr>
                <w:b w:val="0"/>
                <w:sz w:val="13"/>
              </w:rPr>
              <w:t>NGX-005</w:t>
            </w:r>
          </w:p>
        </w:tc>
        <w:tc>
          <w:tcPr>
            <w:tcW w:type="dxa" w:w="2324"/>
            <w:vAlign w:val="top"/>
          </w:tcPr>
          <w:p>
            <w:r/>
            <w:r>
              <w:rPr>
                <w:b w:val="0"/>
                <w:sz w:val="13"/>
              </w:rPr>
              <w:t>Nigerian Exchange</w:t>
            </w:r>
          </w:p>
        </w:tc>
        <w:tc>
          <w:tcPr>
            <w:tcW w:type="dxa" w:w="4819"/>
            <w:vAlign w:val="top"/>
          </w:tcPr>
          <w:p>
            <w:r>
              <w:rPr>
                <w:sz w:val="13"/>
              </w:rPr>
            </w:r>
            <w:hyperlink r:id="rId90">
              <w:r>
                <w:rPr>
                  <w:color w:val="0563C1"/>
                  <w:u w:val="single"/>
                </w:rPr>
                <w:t xml:space="preserve">Equities Price List</w:t>
              </w:r>
            </w:hyperlink>
          </w:p>
        </w:tc>
        <w:tc>
          <w:tcPr>
            <w:tcW w:type="dxa" w:w="3969"/>
            <w:vAlign w:val="top"/>
          </w:tcPr>
          <w:p>
            <w:r/>
            <w:r>
              <w:rPr>
                <w:b w:val="0"/>
                <w:sz w:val="13"/>
              </w:rPr>
              <w:t>Cours de marché</w:t>
            </w:r>
          </w:p>
        </w:tc>
        <w:tc>
          <w:tcPr>
            <w:tcW w:type="dxa" w:w="1701"/>
            <w:vAlign w:val="top"/>
          </w:tcPr>
          <w:p>
            <w:r/>
            <w:r>
              <w:rPr>
                <w:b w:val="0"/>
                <w:sz w:val="13"/>
              </w:rPr>
              <w:t>Quotidien</w:t>
            </w:r>
          </w:p>
        </w:tc>
        <w:tc>
          <w:tcPr>
            <w:tcW w:type="dxa" w:w="964"/>
            <w:vAlign w:val="top"/>
          </w:tcPr>
          <w:p>
            <w:r/>
            <w:r>
              <w:rPr>
                <w:b w:val="0"/>
                <w:sz w:val="13"/>
              </w:rPr>
              <w:t>T3</w:t>
            </w:r>
          </w:p>
        </w:tc>
      </w:tr>
      <w:tr>
        <w:trPr>
          <w:cantSplit/>
        </w:trPr>
        <w:tc>
          <w:tcPr>
            <w:tcW w:type="dxa" w:w="1247"/>
            <w:vAlign w:val="top"/>
          </w:tcPr>
          <w:p>
            <w:r/>
            <w:r>
              <w:rPr>
                <w:b w:val="0"/>
                <w:sz w:val="13"/>
              </w:rPr>
              <w:t>NGX-006</w:t>
            </w:r>
          </w:p>
        </w:tc>
        <w:tc>
          <w:tcPr>
            <w:tcW w:type="dxa" w:w="2324"/>
            <w:vAlign w:val="top"/>
          </w:tcPr>
          <w:p>
            <w:r/>
            <w:r>
              <w:rPr>
                <w:b w:val="0"/>
                <w:sz w:val="13"/>
              </w:rPr>
              <w:t>Nigerian Exchange</w:t>
            </w:r>
          </w:p>
        </w:tc>
        <w:tc>
          <w:tcPr>
            <w:tcW w:type="dxa" w:w="4819"/>
            <w:vAlign w:val="top"/>
          </w:tcPr>
          <w:p>
            <w:r>
              <w:rPr>
                <w:sz w:val="13"/>
              </w:rPr>
            </w:r>
            <w:hyperlink r:id="rId91">
              <w:r>
                <w:rPr>
                  <w:color w:val="0563C1"/>
                  <w:u w:val="single"/>
                </w:rPr>
                <w:t xml:space="preserve">Data Library</w:t>
              </w:r>
            </w:hyperlink>
          </w:p>
        </w:tc>
        <w:tc>
          <w:tcPr>
            <w:tcW w:type="dxa" w:w="3969"/>
            <w:vAlign w:val="top"/>
          </w:tcPr>
          <w:p>
            <w:r/>
            <w:r>
              <w:rPr>
                <w:b w:val="0"/>
                <w:sz w:val="13"/>
              </w:rPr>
              <w:t>Rapports et historiques</w:t>
            </w:r>
          </w:p>
        </w:tc>
        <w:tc>
          <w:tcPr>
            <w:tcW w:type="dxa" w:w="1701"/>
            <w:vAlign w:val="top"/>
          </w:tcPr>
          <w:p>
            <w:r/>
            <w:r>
              <w:rPr>
                <w:b w:val="0"/>
                <w:sz w:val="13"/>
              </w:rPr>
              <w:t>Hebdomadaire</w:t>
            </w:r>
          </w:p>
        </w:tc>
        <w:tc>
          <w:tcPr>
            <w:tcW w:type="dxa" w:w="964"/>
            <w:vAlign w:val="top"/>
          </w:tcPr>
          <w:p>
            <w:r/>
            <w:r>
              <w:rPr>
                <w:b w:val="0"/>
                <w:sz w:val="13"/>
              </w:rPr>
              <w:t>T3</w:t>
            </w:r>
          </w:p>
        </w:tc>
      </w:tr>
      <w:tr>
        <w:trPr>
          <w:cantSplit/>
        </w:trPr>
        <w:tc>
          <w:tcPr>
            <w:tcW w:type="dxa" w:w="1247"/>
            <w:vAlign w:val="top"/>
          </w:tcPr>
          <w:p>
            <w:r/>
            <w:r>
              <w:rPr>
                <w:b w:val="0"/>
                <w:sz w:val="13"/>
              </w:rPr>
              <w:t>FMDQ-001</w:t>
            </w:r>
          </w:p>
        </w:tc>
        <w:tc>
          <w:tcPr>
            <w:tcW w:type="dxa" w:w="2324"/>
            <w:vAlign w:val="top"/>
          </w:tcPr>
          <w:p>
            <w:r/>
            <w:r>
              <w:rPr>
                <w:b w:val="0"/>
                <w:sz w:val="13"/>
              </w:rPr>
              <w:t>FMDQ</w:t>
            </w:r>
          </w:p>
        </w:tc>
        <w:tc>
          <w:tcPr>
            <w:tcW w:type="dxa" w:w="4819"/>
            <w:vAlign w:val="top"/>
          </w:tcPr>
          <w:p>
            <w:r>
              <w:rPr>
                <w:sz w:val="13"/>
              </w:rPr>
            </w:r>
            <w:hyperlink r:id="rId92">
              <w:r>
                <w:rPr>
                  <w:color w:val="0563C1"/>
                  <w:u w:val="single"/>
                </w:rPr>
                <w:t xml:space="preserve">Exchange</w:t>
              </w:r>
            </w:hyperlink>
          </w:p>
        </w:tc>
        <w:tc>
          <w:tcPr>
            <w:tcW w:type="dxa" w:w="3969"/>
            <w:vAlign w:val="top"/>
          </w:tcPr>
          <w:p>
            <w:r/>
            <w:r>
              <w:rPr>
                <w:b w:val="0"/>
                <w:sz w:val="13"/>
              </w:rPr>
              <w:t>Infrastructure de marché fixed income</w:t>
            </w:r>
          </w:p>
        </w:tc>
        <w:tc>
          <w:tcPr>
            <w:tcW w:type="dxa" w:w="1701"/>
            <w:vAlign w:val="top"/>
          </w:tcPr>
          <w:p>
            <w:r/>
            <w:r>
              <w:rPr>
                <w:b w:val="0"/>
                <w:sz w:val="13"/>
              </w:rPr>
              <w:t>Hebdomadaire</w:t>
            </w:r>
          </w:p>
        </w:tc>
        <w:tc>
          <w:tcPr>
            <w:tcW w:type="dxa" w:w="964"/>
            <w:vAlign w:val="top"/>
          </w:tcPr>
          <w:p>
            <w:r/>
            <w:r>
              <w:rPr>
                <w:b w:val="0"/>
                <w:sz w:val="13"/>
              </w:rPr>
              <w:t>T3</w:t>
            </w:r>
          </w:p>
        </w:tc>
      </w:tr>
      <w:tr>
        <w:trPr>
          <w:cantSplit/>
        </w:trPr>
        <w:tc>
          <w:tcPr>
            <w:tcW w:type="dxa" w:w="1247"/>
            <w:vAlign w:val="top"/>
          </w:tcPr>
          <w:p>
            <w:r/>
            <w:r>
              <w:rPr>
                <w:b w:val="0"/>
                <w:sz w:val="13"/>
              </w:rPr>
              <w:t>FMDQ-002</w:t>
            </w:r>
          </w:p>
        </w:tc>
        <w:tc>
          <w:tcPr>
            <w:tcW w:type="dxa" w:w="2324"/>
            <w:vAlign w:val="top"/>
          </w:tcPr>
          <w:p>
            <w:r/>
            <w:r>
              <w:rPr>
                <w:b w:val="0"/>
                <w:sz w:val="13"/>
              </w:rPr>
              <w:t>FMDQ</w:t>
            </w:r>
          </w:p>
        </w:tc>
        <w:tc>
          <w:tcPr>
            <w:tcW w:type="dxa" w:w="4819"/>
            <w:vAlign w:val="top"/>
          </w:tcPr>
          <w:p>
            <w:r>
              <w:rPr>
                <w:sz w:val="13"/>
              </w:rPr>
            </w:r>
            <w:hyperlink r:id="rId93">
              <w:r>
                <w:rPr>
                  <w:color w:val="0563C1"/>
                  <w:u w:val="single"/>
                </w:rPr>
                <w:t xml:space="preserve">Market Data</w:t>
              </w:r>
            </w:hyperlink>
          </w:p>
        </w:tc>
        <w:tc>
          <w:tcPr>
            <w:tcW w:type="dxa" w:w="3969"/>
            <w:vAlign w:val="top"/>
          </w:tcPr>
          <w:p>
            <w:r/>
            <w:r>
              <w:rPr>
                <w:b w:val="0"/>
                <w:sz w:val="13"/>
              </w:rPr>
              <w:t>Courbes, taux et prix</w:t>
            </w:r>
          </w:p>
        </w:tc>
        <w:tc>
          <w:tcPr>
            <w:tcW w:type="dxa" w:w="1701"/>
            <w:vAlign w:val="top"/>
          </w:tcPr>
          <w:p>
            <w:r/>
            <w:r>
              <w:rPr>
                <w:b w:val="0"/>
                <w:sz w:val="13"/>
              </w:rPr>
              <w:t>Quotidien</w:t>
            </w:r>
          </w:p>
        </w:tc>
        <w:tc>
          <w:tcPr>
            <w:tcW w:type="dxa" w:w="964"/>
            <w:vAlign w:val="top"/>
          </w:tcPr>
          <w:p>
            <w:r/>
            <w:r>
              <w:rPr>
                <w:b w:val="0"/>
                <w:sz w:val="13"/>
              </w:rPr>
              <w:t>T3</w:t>
            </w:r>
          </w:p>
        </w:tc>
      </w:tr>
      <w:tr>
        <w:trPr>
          <w:cantSplit/>
        </w:trPr>
        <w:tc>
          <w:tcPr>
            <w:tcW w:type="dxa" w:w="1247"/>
            <w:vAlign w:val="top"/>
          </w:tcPr>
          <w:p>
            <w:r/>
            <w:r>
              <w:rPr>
                <w:b w:val="0"/>
                <w:sz w:val="13"/>
              </w:rPr>
              <w:t>FMDQ-003</w:t>
            </w:r>
          </w:p>
        </w:tc>
        <w:tc>
          <w:tcPr>
            <w:tcW w:type="dxa" w:w="2324"/>
            <w:vAlign w:val="top"/>
          </w:tcPr>
          <w:p>
            <w:r/>
            <w:r>
              <w:rPr>
                <w:b w:val="0"/>
                <w:sz w:val="13"/>
              </w:rPr>
              <w:t>FMDQ</w:t>
            </w:r>
          </w:p>
        </w:tc>
        <w:tc>
          <w:tcPr>
            <w:tcW w:type="dxa" w:w="4819"/>
            <w:vAlign w:val="top"/>
          </w:tcPr>
          <w:p>
            <w:r>
              <w:rPr>
                <w:sz w:val="13"/>
              </w:rPr>
            </w:r>
            <w:hyperlink r:id="rId94">
              <w:r>
                <w:rPr>
                  <w:color w:val="0563C1"/>
                  <w:u w:val="single"/>
                </w:rPr>
                <w:t xml:space="preserve">NITTY FAQ</w:t>
              </w:r>
            </w:hyperlink>
          </w:p>
        </w:tc>
        <w:tc>
          <w:tcPr>
            <w:tcW w:type="dxa" w:w="3969"/>
            <w:vAlign w:val="top"/>
          </w:tcPr>
          <w:p>
            <w:r/>
            <w:r>
              <w:rPr>
                <w:b w:val="0"/>
                <w:sz w:val="13"/>
              </w:rPr>
              <w:t>T-bill true yield</w:t>
            </w:r>
          </w:p>
        </w:tc>
        <w:tc>
          <w:tcPr>
            <w:tcW w:type="dxa" w:w="1701"/>
            <w:vAlign w:val="top"/>
          </w:tcPr>
          <w:p>
            <w:r/>
            <w:r>
              <w:rPr>
                <w:b w:val="0"/>
                <w:sz w:val="13"/>
              </w:rPr>
              <w:t>Annuel</w:t>
            </w:r>
          </w:p>
        </w:tc>
        <w:tc>
          <w:tcPr>
            <w:tcW w:type="dxa" w:w="964"/>
            <w:vAlign w:val="top"/>
          </w:tcPr>
          <w:p>
            <w:r/>
            <w:r>
              <w:rPr>
                <w:b w:val="0"/>
                <w:sz w:val="13"/>
              </w:rPr>
              <w:t>T3</w:t>
            </w:r>
          </w:p>
        </w:tc>
      </w:tr>
      <w:tr>
        <w:trPr>
          <w:cantSplit/>
        </w:trPr>
        <w:tc>
          <w:tcPr>
            <w:tcW w:type="dxa" w:w="1247"/>
            <w:vAlign w:val="top"/>
          </w:tcPr>
          <w:p>
            <w:r/>
            <w:r>
              <w:rPr>
                <w:b w:val="0"/>
                <w:sz w:val="13"/>
              </w:rPr>
              <w:t>FMDQ-004</w:t>
            </w:r>
          </w:p>
        </w:tc>
        <w:tc>
          <w:tcPr>
            <w:tcW w:type="dxa" w:w="2324"/>
            <w:vAlign w:val="top"/>
          </w:tcPr>
          <w:p>
            <w:r/>
            <w:r>
              <w:rPr>
                <w:b w:val="0"/>
                <w:sz w:val="13"/>
              </w:rPr>
              <w:t>FMDQ</w:t>
            </w:r>
          </w:p>
        </w:tc>
        <w:tc>
          <w:tcPr>
            <w:tcW w:type="dxa" w:w="4819"/>
            <w:vAlign w:val="top"/>
          </w:tcPr>
          <w:p>
            <w:r>
              <w:rPr>
                <w:sz w:val="13"/>
              </w:rPr>
            </w:r>
            <w:hyperlink r:id="rId95">
              <w:r>
                <w:rPr>
                  <w:color w:val="0563C1"/>
                  <w:u w:val="single"/>
                </w:rPr>
                <w:t xml:space="preserve">NIBOR FAQ</w:t>
              </w:r>
            </w:hyperlink>
          </w:p>
        </w:tc>
        <w:tc>
          <w:tcPr>
            <w:tcW w:type="dxa" w:w="3969"/>
            <w:vAlign w:val="top"/>
          </w:tcPr>
          <w:p>
            <w:r/>
            <w:r>
              <w:rPr>
                <w:b w:val="0"/>
                <w:sz w:val="13"/>
              </w:rPr>
              <w:t>Taux interbancaire</w:t>
            </w:r>
          </w:p>
        </w:tc>
        <w:tc>
          <w:tcPr>
            <w:tcW w:type="dxa" w:w="1701"/>
            <w:vAlign w:val="top"/>
          </w:tcPr>
          <w:p>
            <w:r/>
            <w:r>
              <w:rPr>
                <w:b w:val="0"/>
                <w:sz w:val="13"/>
              </w:rPr>
              <w:t>Annuel</w:t>
            </w:r>
          </w:p>
        </w:tc>
        <w:tc>
          <w:tcPr>
            <w:tcW w:type="dxa" w:w="964"/>
            <w:vAlign w:val="top"/>
          </w:tcPr>
          <w:p>
            <w:r/>
            <w:r>
              <w:rPr>
                <w:b w:val="0"/>
                <w:sz w:val="13"/>
              </w:rPr>
              <w:t>T3</w:t>
            </w:r>
          </w:p>
        </w:tc>
      </w:tr>
      <w:tr>
        <w:trPr>
          <w:cantSplit/>
        </w:trPr>
        <w:tc>
          <w:tcPr>
            <w:tcW w:type="dxa" w:w="1247"/>
            <w:vAlign w:val="top"/>
          </w:tcPr>
          <w:p>
            <w:r/>
            <w:r>
              <w:rPr>
                <w:b w:val="0"/>
                <w:sz w:val="13"/>
              </w:rPr>
              <w:t>CAC-001</w:t>
            </w:r>
          </w:p>
        </w:tc>
        <w:tc>
          <w:tcPr>
            <w:tcW w:type="dxa" w:w="2324"/>
            <w:vAlign w:val="top"/>
          </w:tcPr>
          <w:p>
            <w:r/>
            <w:r>
              <w:rPr>
                <w:b w:val="0"/>
                <w:sz w:val="13"/>
              </w:rPr>
              <w:t>Corporate Affairs Commission</w:t>
            </w:r>
          </w:p>
        </w:tc>
        <w:tc>
          <w:tcPr>
            <w:tcW w:type="dxa" w:w="4819"/>
            <w:vAlign w:val="top"/>
          </w:tcPr>
          <w:p>
            <w:r>
              <w:rPr>
                <w:sz w:val="13"/>
              </w:rPr>
            </w:r>
            <w:hyperlink r:id="rId96">
              <w:r>
                <w:rPr>
                  <w:color w:val="0563C1"/>
                  <w:u w:val="single"/>
                </w:rPr>
                <w:t xml:space="preserve">Company Search</w:t>
              </w:r>
            </w:hyperlink>
          </w:p>
        </w:tc>
        <w:tc>
          <w:tcPr>
            <w:tcW w:type="dxa" w:w="3969"/>
            <w:vAlign w:val="top"/>
          </w:tcPr>
          <w:p>
            <w:r/>
            <w:r>
              <w:rPr>
                <w:b w:val="0"/>
                <w:sz w:val="13"/>
              </w:rPr>
              <w:t>Identité légale et RC</w:t>
            </w:r>
          </w:p>
        </w:tc>
        <w:tc>
          <w:tcPr>
            <w:tcW w:type="dxa" w:w="1701"/>
            <w:vAlign w:val="top"/>
          </w:tcPr>
          <w:p>
            <w:r/>
            <w:r>
              <w:rPr>
                <w:b w:val="0"/>
                <w:sz w:val="13"/>
              </w:rPr>
              <w:t>À la demande</w:t>
            </w:r>
          </w:p>
        </w:tc>
        <w:tc>
          <w:tcPr>
            <w:tcW w:type="dxa" w:w="964"/>
            <w:vAlign w:val="top"/>
          </w:tcPr>
          <w:p>
            <w:r/>
            <w:r>
              <w:rPr>
                <w:b w:val="0"/>
                <w:sz w:val="13"/>
              </w:rPr>
              <w:t>T3</w:t>
            </w:r>
          </w:p>
        </w:tc>
      </w:tr>
      <w:tr>
        <w:trPr>
          <w:cantSplit/>
        </w:trPr>
        <w:tc>
          <w:tcPr>
            <w:tcW w:type="dxa" w:w="1247"/>
            <w:vAlign w:val="top"/>
          </w:tcPr>
          <w:p>
            <w:r/>
            <w:r>
              <w:rPr>
                <w:b w:val="0"/>
                <w:sz w:val="13"/>
              </w:rPr>
              <w:t>CAC-002</w:t>
            </w:r>
          </w:p>
        </w:tc>
        <w:tc>
          <w:tcPr>
            <w:tcW w:type="dxa" w:w="2324"/>
            <w:vAlign w:val="top"/>
          </w:tcPr>
          <w:p>
            <w:r/>
            <w:r>
              <w:rPr>
                <w:b w:val="0"/>
                <w:sz w:val="13"/>
              </w:rPr>
              <w:t>Corporate Affairs Commission</w:t>
            </w:r>
          </w:p>
        </w:tc>
        <w:tc>
          <w:tcPr>
            <w:tcW w:type="dxa" w:w="4819"/>
            <w:vAlign w:val="top"/>
          </w:tcPr>
          <w:p>
            <w:r>
              <w:rPr>
                <w:sz w:val="13"/>
              </w:rPr>
            </w:r>
            <w:hyperlink r:id="rId97">
              <w:r>
                <w:rPr>
                  <w:color w:val="0563C1"/>
                  <w:u w:val="single"/>
                </w:rPr>
                <w:t xml:space="preserve">Public Search</w:t>
              </w:r>
            </w:hyperlink>
          </w:p>
        </w:tc>
        <w:tc>
          <w:tcPr>
            <w:tcW w:type="dxa" w:w="3969"/>
            <w:vAlign w:val="top"/>
          </w:tcPr>
          <w:p>
            <w:r/>
            <w:r>
              <w:rPr>
                <w:b w:val="0"/>
                <w:sz w:val="13"/>
              </w:rPr>
              <w:t>Recherche d’entités</w:t>
            </w:r>
          </w:p>
        </w:tc>
        <w:tc>
          <w:tcPr>
            <w:tcW w:type="dxa" w:w="1701"/>
            <w:vAlign w:val="top"/>
          </w:tcPr>
          <w:p>
            <w:r/>
            <w:r>
              <w:rPr>
                <w:b w:val="0"/>
                <w:sz w:val="13"/>
              </w:rPr>
              <w:t>À la demande</w:t>
            </w:r>
          </w:p>
        </w:tc>
        <w:tc>
          <w:tcPr>
            <w:tcW w:type="dxa" w:w="964"/>
            <w:vAlign w:val="top"/>
          </w:tcPr>
          <w:p>
            <w:r/>
            <w:r>
              <w:rPr>
                <w:b w:val="0"/>
                <w:sz w:val="13"/>
              </w:rPr>
              <w:t>T3</w:t>
            </w:r>
          </w:p>
        </w:tc>
      </w:tr>
      <w:tr>
        <w:trPr>
          <w:cantSplit/>
        </w:trPr>
        <w:tc>
          <w:tcPr>
            <w:tcW w:type="dxa" w:w="1247"/>
            <w:vAlign w:val="top"/>
          </w:tcPr>
          <w:p>
            <w:r/>
            <w:r>
              <w:rPr>
                <w:b w:val="0"/>
                <w:sz w:val="13"/>
              </w:rPr>
              <w:t>CAC-003</w:t>
            </w:r>
          </w:p>
        </w:tc>
        <w:tc>
          <w:tcPr>
            <w:tcW w:type="dxa" w:w="2324"/>
            <w:vAlign w:val="top"/>
          </w:tcPr>
          <w:p>
            <w:r/>
            <w:r>
              <w:rPr>
                <w:b w:val="0"/>
                <w:sz w:val="13"/>
              </w:rPr>
              <w:t>Corporate Affairs Commission</w:t>
            </w:r>
          </w:p>
        </w:tc>
        <w:tc>
          <w:tcPr>
            <w:tcW w:type="dxa" w:w="4819"/>
            <w:vAlign w:val="top"/>
          </w:tcPr>
          <w:p>
            <w:r>
              <w:rPr>
                <w:sz w:val="13"/>
              </w:rPr>
            </w:r>
            <w:hyperlink r:id="rId98">
              <w:r>
                <w:rPr>
                  <w:color w:val="0563C1"/>
                  <w:u w:val="single"/>
                </w:rPr>
                <w:t xml:space="preserve">Beneficial Ownership Register</w:t>
              </w:r>
            </w:hyperlink>
          </w:p>
        </w:tc>
        <w:tc>
          <w:tcPr>
            <w:tcW w:type="dxa" w:w="3969"/>
            <w:vAlign w:val="top"/>
          </w:tcPr>
          <w:p>
            <w:r/>
            <w:r>
              <w:rPr>
                <w:b w:val="0"/>
                <w:sz w:val="13"/>
              </w:rPr>
              <w:t>Bénéficiaires effectifs</w:t>
            </w:r>
          </w:p>
        </w:tc>
        <w:tc>
          <w:tcPr>
            <w:tcW w:type="dxa" w:w="1701"/>
            <w:vAlign w:val="top"/>
          </w:tcPr>
          <w:p>
            <w:r/>
            <w:r>
              <w:rPr>
                <w:b w:val="0"/>
                <w:sz w:val="13"/>
              </w:rPr>
              <w:t>À la demande</w:t>
            </w:r>
          </w:p>
        </w:tc>
        <w:tc>
          <w:tcPr>
            <w:tcW w:type="dxa" w:w="964"/>
            <w:vAlign w:val="top"/>
          </w:tcPr>
          <w:p>
            <w:r/>
            <w:r>
              <w:rPr>
                <w:b w:val="0"/>
                <w:sz w:val="13"/>
              </w:rPr>
              <w:t>T3</w:t>
            </w:r>
          </w:p>
        </w:tc>
      </w:tr>
      <w:tr>
        <w:trPr>
          <w:cantSplit/>
        </w:trPr>
        <w:tc>
          <w:tcPr>
            <w:tcW w:type="dxa" w:w="1247"/>
            <w:vAlign w:val="top"/>
          </w:tcPr>
          <w:p>
            <w:r/>
            <w:r>
              <w:rPr>
                <w:b w:val="0"/>
                <w:sz w:val="13"/>
              </w:rPr>
              <w:t>NBS-001</w:t>
            </w:r>
          </w:p>
        </w:tc>
        <w:tc>
          <w:tcPr>
            <w:tcW w:type="dxa" w:w="2324"/>
            <w:vAlign w:val="top"/>
          </w:tcPr>
          <w:p>
            <w:r/>
            <w:r>
              <w:rPr>
                <w:b w:val="0"/>
                <w:sz w:val="13"/>
              </w:rPr>
              <w:t>National Bureau of Statistics</w:t>
            </w:r>
          </w:p>
        </w:tc>
        <w:tc>
          <w:tcPr>
            <w:tcW w:type="dxa" w:w="4819"/>
            <w:vAlign w:val="top"/>
          </w:tcPr>
          <w:p>
            <w:r>
              <w:rPr>
                <w:sz w:val="13"/>
              </w:rPr>
            </w:r>
            <w:hyperlink r:id="rId99">
              <w:r>
                <w:rPr>
                  <w:color w:val="0563C1"/>
                  <w:u w:val="single"/>
                </w:rPr>
                <w:t xml:space="preserve">Official Statistics</w:t>
              </w:r>
            </w:hyperlink>
          </w:p>
        </w:tc>
        <w:tc>
          <w:tcPr>
            <w:tcW w:type="dxa" w:w="3969"/>
            <w:vAlign w:val="top"/>
          </w:tcPr>
          <w:p>
            <w:r/>
            <w:r>
              <w:rPr>
                <w:b w:val="0"/>
                <w:sz w:val="13"/>
              </w:rPr>
              <w:t>Inflation et macro</w:t>
            </w:r>
          </w:p>
        </w:tc>
        <w:tc>
          <w:tcPr>
            <w:tcW w:type="dxa" w:w="1701"/>
            <w:vAlign w:val="top"/>
          </w:tcPr>
          <w:p>
            <w:r/>
            <w:r>
              <w:rPr>
                <w:b w:val="0"/>
                <w:sz w:val="13"/>
              </w:rPr>
              <w:t>Mensuel</w:t>
            </w:r>
          </w:p>
        </w:tc>
        <w:tc>
          <w:tcPr>
            <w:tcW w:type="dxa" w:w="964"/>
            <w:vAlign w:val="top"/>
          </w:tcPr>
          <w:p>
            <w:r/>
            <w:r>
              <w:rPr>
                <w:b w:val="0"/>
                <w:sz w:val="13"/>
              </w:rPr>
              <w:t>T3</w:t>
            </w:r>
          </w:p>
        </w:tc>
      </w:tr>
      <w:tr>
        <w:trPr>
          <w:cantSplit/>
        </w:trPr>
        <w:tc>
          <w:tcPr>
            <w:tcW w:type="dxa" w:w="1247"/>
            <w:vAlign w:val="top"/>
          </w:tcPr>
          <w:p>
            <w:r/>
            <w:r>
              <w:rPr>
                <w:b w:val="0"/>
                <w:sz w:val="13"/>
              </w:rPr>
              <w:t>FMAN-001</w:t>
            </w:r>
          </w:p>
        </w:tc>
        <w:tc>
          <w:tcPr>
            <w:tcW w:type="dxa" w:w="2324"/>
            <w:vAlign w:val="top"/>
          </w:tcPr>
          <w:p>
            <w:r/>
            <w:r>
              <w:rPr>
                <w:b w:val="0"/>
                <w:sz w:val="13"/>
              </w:rPr>
              <w:t>Fund Managers Association of Nigeria</w:t>
            </w:r>
          </w:p>
        </w:tc>
        <w:tc>
          <w:tcPr>
            <w:tcW w:type="dxa" w:w="4819"/>
            <w:vAlign w:val="top"/>
          </w:tcPr>
          <w:p>
            <w:r>
              <w:rPr>
                <w:sz w:val="13"/>
              </w:rPr>
            </w:r>
            <w:hyperlink r:id="rId100">
              <w:r>
                <w:rPr>
                  <w:color w:val="0563C1"/>
                  <w:u w:val="single"/>
                </w:rPr>
                <w:t xml:space="preserve">Accueil</w:t>
              </w:r>
            </w:hyperlink>
          </w:p>
        </w:tc>
        <w:tc>
          <w:tcPr>
            <w:tcW w:type="dxa" w:w="3969"/>
            <w:vAlign w:val="top"/>
          </w:tcPr>
          <w:p>
            <w:r/>
            <w:r>
              <w:rPr>
                <w:b w:val="0"/>
                <w:sz w:val="13"/>
              </w:rPr>
              <w:t>Association professionnelle</w:t>
            </w:r>
          </w:p>
        </w:tc>
        <w:tc>
          <w:tcPr>
            <w:tcW w:type="dxa" w:w="1701"/>
            <w:vAlign w:val="top"/>
          </w:tcPr>
          <w:p>
            <w:r/>
            <w:r>
              <w:rPr>
                <w:b w:val="0"/>
                <w:sz w:val="13"/>
              </w:rPr>
              <w:t>Mensuel</w:t>
            </w:r>
          </w:p>
        </w:tc>
        <w:tc>
          <w:tcPr>
            <w:tcW w:type="dxa" w:w="964"/>
            <w:vAlign w:val="top"/>
          </w:tcPr>
          <w:p>
            <w:r/>
            <w:r>
              <w:rPr>
                <w:b w:val="0"/>
                <w:sz w:val="13"/>
              </w:rPr>
              <w:t>T3/T5</w:t>
            </w:r>
          </w:p>
        </w:tc>
      </w:tr>
      <w:tr>
        <w:trPr>
          <w:cantSplit/>
        </w:trPr>
        <w:tc>
          <w:tcPr>
            <w:tcW w:type="dxa" w:w="1247"/>
            <w:vAlign w:val="top"/>
          </w:tcPr>
          <w:p>
            <w:r/>
            <w:r>
              <w:rPr>
                <w:b w:val="0"/>
                <w:sz w:val="13"/>
              </w:rPr>
              <w:t>FMAN-002</w:t>
            </w:r>
          </w:p>
        </w:tc>
        <w:tc>
          <w:tcPr>
            <w:tcW w:type="dxa" w:w="2324"/>
            <w:vAlign w:val="top"/>
          </w:tcPr>
          <w:p>
            <w:r/>
            <w:r>
              <w:rPr>
                <w:b w:val="0"/>
                <w:sz w:val="13"/>
              </w:rPr>
              <w:t>Fund Managers Association of Nigeria</w:t>
            </w:r>
          </w:p>
        </w:tc>
        <w:tc>
          <w:tcPr>
            <w:tcW w:type="dxa" w:w="4819"/>
            <w:vAlign w:val="top"/>
          </w:tcPr>
          <w:p>
            <w:r>
              <w:rPr>
                <w:sz w:val="13"/>
              </w:rPr>
            </w:r>
            <w:hyperlink r:id="rId101">
              <w:r>
                <w:rPr>
                  <w:color w:val="0563C1"/>
                  <w:u w:val="single"/>
                </w:rPr>
                <w:t xml:space="preserve">Members List</w:t>
              </w:r>
            </w:hyperlink>
          </w:p>
        </w:tc>
        <w:tc>
          <w:tcPr>
            <w:tcW w:type="dxa" w:w="3969"/>
            <w:vAlign w:val="top"/>
          </w:tcPr>
          <w:p>
            <w:r/>
            <w:r>
              <w:rPr>
                <w:b w:val="0"/>
                <w:sz w:val="13"/>
              </w:rPr>
              <w:t>Découverte des domaines de gestionnaires</w:t>
            </w:r>
          </w:p>
        </w:tc>
        <w:tc>
          <w:tcPr>
            <w:tcW w:type="dxa" w:w="1701"/>
            <w:vAlign w:val="top"/>
          </w:tcPr>
          <w:p>
            <w:r/>
            <w:r>
              <w:rPr>
                <w:b w:val="0"/>
                <w:sz w:val="13"/>
              </w:rPr>
              <w:t>Mensuel</w:t>
            </w:r>
          </w:p>
        </w:tc>
        <w:tc>
          <w:tcPr>
            <w:tcW w:type="dxa" w:w="964"/>
            <w:vAlign w:val="top"/>
          </w:tcPr>
          <w:p>
            <w:r/>
            <w:r>
              <w:rPr>
                <w:b w:val="0"/>
                <w:sz w:val="13"/>
              </w:rPr>
              <w:t>T3/T5</w:t>
            </w:r>
          </w:p>
        </w:tc>
      </w:tr>
      <w:tr>
        <w:trPr>
          <w:cantSplit/>
        </w:trPr>
        <w:tc>
          <w:tcPr>
            <w:tcW w:type="dxa" w:w="1247"/>
            <w:vAlign w:val="top"/>
          </w:tcPr>
          <w:p>
            <w:r/>
            <w:r>
              <w:rPr>
                <w:b w:val="0"/>
                <w:sz w:val="13"/>
              </w:rPr>
              <w:t>CSCS-001</w:t>
            </w:r>
          </w:p>
        </w:tc>
        <w:tc>
          <w:tcPr>
            <w:tcW w:type="dxa" w:w="2324"/>
            <w:vAlign w:val="top"/>
          </w:tcPr>
          <w:p>
            <w:r/>
            <w:r>
              <w:rPr>
                <w:b w:val="0"/>
                <w:sz w:val="13"/>
              </w:rPr>
              <w:t>CSCS</w:t>
            </w:r>
          </w:p>
        </w:tc>
        <w:tc>
          <w:tcPr>
            <w:tcW w:type="dxa" w:w="4819"/>
            <w:vAlign w:val="top"/>
          </w:tcPr>
          <w:p>
            <w:r>
              <w:rPr>
                <w:sz w:val="13"/>
              </w:rPr>
            </w:r>
            <w:hyperlink r:id="rId102">
              <w:r>
                <w:rPr>
                  <w:color w:val="0563C1"/>
                  <w:u w:val="single"/>
                </w:rPr>
                <w:t xml:space="preserve">LEI Services</w:t>
              </w:r>
            </w:hyperlink>
          </w:p>
        </w:tc>
        <w:tc>
          <w:tcPr>
            <w:tcW w:type="dxa" w:w="3969"/>
            <w:vAlign w:val="top"/>
          </w:tcPr>
          <w:p>
            <w:r/>
            <w:r>
              <w:rPr>
                <w:b w:val="0"/>
                <w:sz w:val="13"/>
              </w:rPr>
              <w:t>Identifiants LEI</w:t>
            </w:r>
          </w:p>
        </w:tc>
        <w:tc>
          <w:tcPr>
            <w:tcW w:type="dxa" w:w="1701"/>
            <w:vAlign w:val="top"/>
          </w:tcPr>
          <w:p>
            <w:r/>
            <w:r>
              <w:rPr>
                <w:b w:val="0"/>
                <w:sz w:val="13"/>
              </w:rPr>
              <w:t>À la demande</w:t>
            </w:r>
          </w:p>
        </w:tc>
        <w:tc>
          <w:tcPr>
            <w:tcW w:type="dxa" w:w="964"/>
            <w:vAlign w:val="top"/>
          </w:tcPr>
          <w:p>
            <w:r/>
            <w:r>
              <w:rPr>
                <w:b w:val="0"/>
                <w:sz w:val="13"/>
              </w:rPr>
              <w:t>T3</w:t>
            </w:r>
          </w:p>
        </w:tc>
      </w:tr>
      <w:tr>
        <w:trPr>
          <w:cantSplit/>
        </w:trPr>
        <w:tc>
          <w:tcPr>
            <w:tcW w:type="dxa" w:w="1247"/>
            <w:vAlign w:val="top"/>
          </w:tcPr>
          <w:p>
            <w:r/>
            <w:r>
              <w:rPr>
                <w:b w:val="0"/>
                <w:sz w:val="13"/>
              </w:rPr>
              <w:t>CSCS-002</w:t>
            </w:r>
          </w:p>
        </w:tc>
        <w:tc>
          <w:tcPr>
            <w:tcW w:type="dxa" w:w="2324"/>
            <w:vAlign w:val="top"/>
          </w:tcPr>
          <w:p>
            <w:r/>
            <w:r>
              <w:rPr>
                <w:b w:val="0"/>
                <w:sz w:val="13"/>
              </w:rPr>
              <w:t>CSCS</w:t>
            </w:r>
          </w:p>
        </w:tc>
        <w:tc>
          <w:tcPr>
            <w:tcW w:type="dxa" w:w="4819"/>
            <w:vAlign w:val="top"/>
          </w:tcPr>
          <w:p>
            <w:r>
              <w:rPr>
                <w:sz w:val="13"/>
              </w:rPr>
            </w:r>
            <w:hyperlink r:id="rId103">
              <w:r>
                <w:rPr>
                  <w:color w:val="0563C1"/>
                  <w:u w:val="single"/>
                </w:rPr>
                <w:t xml:space="preserve">LEI Listing</w:t>
              </w:r>
            </w:hyperlink>
          </w:p>
        </w:tc>
        <w:tc>
          <w:tcPr>
            <w:tcW w:type="dxa" w:w="3969"/>
            <w:vAlign w:val="top"/>
          </w:tcPr>
          <w:p>
            <w:r/>
            <w:r>
              <w:rPr>
                <w:b w:val="0"/>
                <w:sz w:val="13"/>
              </w:rPr>
              <w:t>Recherche d’entités et LEI</w:t>
            </w:r>
          </w:p>
        </w:tc>
        <w:tc>
          <w:tcPr>
            <w:tcW w:type="dxa" w:w="1701"/>
            <w:vAlign w:val="top"/>
          </w:tcPr>
          <w:p>
            <w:r/>
            <w:r>
              <w:rPr>
                <w:b w:val="0"/>
                <w:sz w:val="13"/>
              </w:rPr>
              <w:t>Mensuel</w:t>
            </w:r>
          </w:p>
        </w:tc>
        <w:tc>
          <w:tcPr>
            <w:tcW w:type="dxa" w:w="964"/>
            <w:vAlign w:val="top"/>
          </w:tcPr>
          <w:p>
            <w:r/>
            <w:r>
              <w:rPr>
                <w:b w:val="0"/>
                <w:sz w:val="13"/>
              </w:rPr>
              <w:t>T3</w:t>
            </w:r>
          </w:p>
        </w:tc>
      </w:tr>
      <w:tr>
        <w:trPr>
          <w:cantSplit/>
        </w:trPr>
        <w:tc>
          <w:tcPr>
            <w:tcW w:type="dxa" w:w="1247"/>
            <w:vAlign w:val="top"/>
          </w:tcPr>
          <w:p>
            <w:r/>
            <w:r>
              <w:rPr>
                <w:b w:val="0"/>
                <w:sz w:val="13"/>
              </w:rPr>
              <w:t>ARCH-001</w:t>
            </w:r>
          </w:p>
        </w:tc>
        <w:tc>
          <w:tcPr>
            <w:tcW w:type="dxa" w:w="2324"/>
            <w:vAlign w:val="top"/>
          </w:tcPr>
          <w:p>
            <w:r/>
            <w:r>
              <w:rPr>
                <w:b w:val="0"/>
                <w:sz w:val="13"/>
              </w:rPr>
              <w:t>Internet Archive</w:t>
            </w:r>
          </w:p>
        </w:tc>
        <w:tc>
          <w:tcPr>
            <w:tcW w:type="dxa" w:w="4819"/>
            <w:vAlign w:val="top"/>
          </w:tcPr>
          <w:p>
            <w:r>
              <w:rPr>
                <w:sz w:val="13"/>
              </w:rPr>
            </w:r>
            <w:hyperlink r:id="rId104">
              <w:r>
                <w:rPr>
                  <w:color w:val="0563C1"/>
                  <w:u w:val="single"/>
                </w:rPr>
                <w:t xml:space="preserve">Wayback Machine</w:t>
              </w:r>
            </w:hyperlink>
          </w:p>
        </w:tc>
        <w:tc>
          <w:tcPr>
            <w:tcW w:type="dxa" w:w="3969"/>
            <w:vAlign w:val="top"/>
          </w:tcPr>
          <w:p>
            <w:r/>
            <w:r>
              <w:rPr>
                <w:b w:val="0"/>
                <w:sz w:val="13"/>
              </w:rPr>
              <w:t>Pages et documents historiques</w:t>
            </w:r>
          </w:p>
        </w:tc>
        <w:tc>
          <w:tcPr>
            <w:tcW w:type="dxa" w:w="1701"/>
            <w:vAlign w:val="top"/>
          </w:tcPr>
          <w:p>
            <w:r/>
            <w:r>
              <w:rPr>
                <w:b w:val="0"/>
                <w:sz w:val="13"/>
              </w:rPr>
              <w:t>À la demande</w:t>
            </w:r>
          </w:p>
        </w:tc>
        <w:tc>
          <w:tcPr>
            <w:tcW w:type="dxa" w:w="964"/>
            <w:vAlign w:val="top"/>
          </w:tcPr>
          <w:p>
            <w:r/>
            <w:r>
              <w:rPr>
                <w:b w:val="0"/>
                <w:sz w:val="13"/>
              </w:rPr>
              <w:t>T4</w:t>
            </w:r>
          </w:p>
        </w:tc>
      </w:tr>
      <w:tr>
        <w:trPr>
          <w:cantSplit/>
        </w:trPr>
        <w:tc>
          <w:tcPr>
            <w:tcW w:type="dxa" w:w="1247"/>
            <w:vAlign w:val="top"/>
          </w:tcPr>
          <w:p>
            <w:r/>
            <w:r>
              <w:rPr>
                <w:b w:val="0"/>
                <w:sz w:val="13"/>
              </w:rPr>
              <w:t>SEARCH-001</w:t>
            </w:r>
          </w:p>
        </w:tc>
        <w:tc>
          <w:tcPr>
            <w:tcW w:type="dxa" w:w="2324"/>
            <w:vAlign w:val="top"/>
          </w:tcPr>
          <w:p>
            <w:r/>
            <w:r>
              <w:rPr>
                <w:b w:val="0"/>
                <w:sz w:val="13"/>
              </w:rPr>
              <w:t>Google</w:t>
            </w:r>
          </w:p>
        </w:tc>
        <w:tc>
          <w:tcPr>
            <w:tcW w:type="dxa" w:w="4819"/>
            <w:vAlign w:val="top"/>
          </w:tcPr>
          <w:p>
            <w:r>
              <w:rPr>
                <w:sz w:val="13"/>
              </w:rPr>
            </w:r>
            <w:hyperlink r:id="rId105">
              <w:r>
                <w:rPr>
                  <w:color w:val="0563C1"/>
                  <w:u w:val="single"/>
                </w:rPr>
                <w:t xml:space="preserve">Google Search</w:t>
              </w:r>
            </w:hyperlink>
          </w:p>
        </w:tc>
        <w:tc>
          <w:tcPr>
            <w:tcW w:type="dxa" w:w="3969"/>
            <w:vAlign w:val="top"/>
          </w:tcPr>
          <w:p>
            <w:r/>
            <w:r>
              <w:rPr>
                <w:b w:val="0"/>
                <w:sz w:val="13"/>
              </w:rPr>
              <w:t>Découverte ciblée de documents</w:t>
            </w:r>
          </w:p>
        </w:tc>
        <w:tc>
          <w:tcPr>
            <w:tcW w:type="dxa" w:w="1701"/>
            <w:vAlign w:val="top"/>
          </w:tcPr>
          <w:p>
            <w:r/>
            <w:r>
              <w:rPr>
                <w:b w:val="0"/>
                <w:sz w:val="13"/>
              </w:rPr>
              <w:t>À la demande</w:t>
            </w:r>
          </w:p>
        </w:tc>
        <w:tc>
          <w:tcPr>
            <w:tcW w:type="dxa" w:w="964"/>
            <w:vAlign w:val="top"/>
          </w:tcPr>
          <w:p>
            <w:r/>
            <w:r>
              <w:rPr>
                <w:b w:val="0"/>
                <w:sz w:val="13"/>
              </w:rPr>
              <w:t>T6</w:t>
            </w:r>
          </w:p>
        </w:tc>
      </w:tr>
      <w:tr>
        <w:trPr>
          <w:cantSplit/>
        </w:trPr>
        <w:tc>
          <w:tcPr>
            <w:tcW w:type="dxa" w:w="1247"/>
            <w:vAlign w:val="top"/>
          </w:tcPr>
          <w:p>
            <w:r/>
            <w:r>
              <w:rPr>
                <w:b w:val="0"/>
                <w:sz w:val="13"/>
              </w:rPr>
              <w:t>MGR-001</w:t>
            </w:r>
          </w:p>
        </w:tc>
        <w:tc>
          <w:tcPr>
            <w:tcW w:type="dxa" w:w="2324"/>
            <w:vAlign w:val="top"/>
          </w:tcPr>
          <w:p>
            <w:r/>
            <w:r>
              <w:rPr>
                <w:b w:val="0"/>
                <w:sz w:val="13"/>
              </w:rPr>
              <w:t>AIICO Capital</w:t>
            </w:r>
          </w:p>
        </w:tc>
        <w:tc>
          <w:tcPr>
            <w:tcW w:type="dxa" w:w="4819"/>
            <w:vAlign w:val="top"/>
          </w:tcPr>
          <w:p>
            <w:r>
              <w:rPr>
                <w:sz w:val="13"/>
              </w:rPr>
            </w:r>
            <w:hyperlink r:id="rId106">
              <w:r>
                <w:rPr>
                  <w:color w:val="0563C1"/>
                  <w:u w:val="single"/>
                </w:rPr>
                <w:t xml:space="preserve">Accueil</w:t>
              </w:r>
            </w:hyperlink>
          </w:p>
        </w:tc>
        <w:tc>
          <w:tcPr>
            <w:tcW w:type="dxa" w:w="3969"/>
            <w:vAlign w:val="top"/>
          </w:tcPr>
          <w:p>
            <w:r/>
            <w:r>
              <w:rPr>
                <w:b w:val="0"/>
                <w:sz w:val="13"/>
              </w:rPr>
              <w:t>Fonds et société</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MGR-002</w:t>
            </w:r>
          </w:p>
        </w:tc>
        <w:tc>
          <w:tcPr>
            <w:tcW w:type="dxa" w:w="2324"/>
            <w:vAlign w:val="top"/>
          </w:tcPr>
          <w:p>
            <w:r/>
            <w:r>
              <w:rPr>
                <w:b w:val="0"/>
                <w:sz w:val="13"/>
              </w:rPr>
              <w:t>AIICO Capital</w:t>
            </w:r>
          </w:p>
        </w:tc>
        <w:tc>
          <w:tcPr>
            <w:tcW w:type="dxa" w:w="4819"/>
            <w:vAlign w:val="top"/>
          </w:tcPr>
          <w:p>
            <w:r>
              <w:rPr>
                <w:sz w:val="13"/>
              </w:rPr>
            </w:r>
            <w:hyperlink r:id="rId107">
              <w:r>
                <w:rPr>
                  <w:color w:val="0563C1"/>
                  <w:u w:val="single"/>
                </w:rPr>
                <w:t xml:space="preserve">Downloads</w:t>
              </w:r>
            </w:hyperlink>
          </w:p>
        </w:tc>
        <w:tc>
          <w:tcPr>
            <w:tcW w:type="dxa" w:w="3969"/>
            <w:vAlign w:val="top"/>
          </w:tcPr>
          <w:p>
            <w:r/>
            <w:r>
              <w:rPr>
                <w:b w:val="0"/>
                <w:sz w:val="13"/>
              </w:rPr>
              <w:t>Prospectus, forms, factsheets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MGR-003</w:t>
            </w:r>
          </w:p>
        </w:tc>
        <w:tc>
          <w:tcPr>
            <w:tcW w:type="dxa" w:w="2324"/>
            <w:vAlign w:val="top"/>
          </w:tcPr>
          <w:p>
            <w:r/>
            <w:r>
              <w:rPr>
                <w:b w:val="0"/>
                <w:sz w:val="13"/>
              </w:rPr>
              <w:t>ARM Investment Managers</w:t>
            </w:r>
          </w:p>
        </w:tc>
        <w:tc>
          <w:tcPr>
            <w:tcW w:type="dxa" w:w="4819"/>
            <w:vAlign w:val="top"/>
          </w:tcPr>
          <w:p>
            <w:r>
              <w:rPr>
                <w:sz w:val="13"/>
              </w:rPr>
            </w:r>
            <w:hyperlink r:id="rId108">
              <w:r>
                <w:rPr>
                  <w:color w:val="0563C1"/>
                  <w:u w:val="single"/>
                </w:rPr>
                <w:t xml:space="preserve">Mutual Funds</w:t>
              </w:r>
            </w:hyperlink>
          </w:p>
        </w:tc>
        <w:tc>
          <w:tcPr>
            <w:tcW w:type="dxa" w:w="3969"/>
            <w:vAlign w:val="top"/>
          </w:tcPr>
          <w:p>
            <w:r/>
            <w:r>
              <w:rPr>
                <w:b w:val="0"/>
                <w:sz w:val="13"/>
              </w:rPr>
              <w:t>Pages fonds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MGR-004</w:t>
            </w:r>
          </w:p>
        </w:tc>
        <w:tc>
          <w:tcPr>
            <w:tcW w:type="dxa" w:w="2324"/>
            <w:vAlign w:val="top"/>
          </w:tcPr>
          <w:p>
            <w:r/>
            <w:r>
              <w:rPr>
                <w:b w:val="0"/>
                <w:sz w:val="13"/>
              </w:rPr>
              <w:t>ARM Investment Managers</w:t>
            </w:r>
          </w:p>
        </w:tc>
        <w:tc>
          <w:tcPr>
            <w:tcW w:type="dxa" w:w="4819"/>
            <w:vAlign w:val="top"/>
          </w:tcPr>
          <w:p>
            <w:r>
              <w:rPr>
                <w:sz w:val="13"/>
              </w:rPr>
            </w:r>
            <w:hyperlink r:id="rId109">
              <w:r>
                <w:rPr>
                  <w:color w:val="0563C1"/>
                  <w:u w:val="single"/>
                </w:rPr>
                <w:t xml:space="preserve">Fund Factsheets</w:t>
              </w:r>
            </w:hyperlink>
          </w:p>
        </w:tc>
        <w:tc>
          <w:tcPr>
            <w:tcW w:type="dxa" w:w="3969"/>
            <w:vAlign w:val="top"/>
          </w:tcPr>
          <w:p>
            <w:r/>
            <w:r>
              <w:rPr>
                <w:b w:val="0"/>
                <w:sz w:val="13"/>
              </w:rPr>
              <w:t>Factsheets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MGR-005</w:t>
            </w:r>
          </w:p>
        </w:tc>
        <w:tc>
          <w:tcPr>
            <w:tcW w:type="dxa" w:w="2324"/>
            <w:vAlign w:val="top"/>
          </w:tcPr>
          <w:p>
            <w:r/>
            <w:r>
              <w:rPr>
                <w:b w:val="0"/>
                <w:sz w:val="13"/>
              </w:rPr>
              <w:t>AVA Capital Group</w:t>
            </w:r>
          </w:p>
        </w:tc>
        <w:tc>
          <w:tcPr>
            <w:tcW w:type="dxa" w:w="4819"/>
            <w:vAlign w:val="top"/>
          </w:tcPr>
          <w:p>
            <w:r>
              <w:rPr>
                <w:sz w:val="13"/>
              </w:rPr>
            </w:r>
            <w:hyperlink r:id="rId110">
              <w:r>
                <w:rPr>
                  <w:color w:val="0563C1"/>
                  <w:u w:val="single"/>
                </w:rPr>
                <w:t xml:space="preserve">Accueil</w:t>
              </w:r>
            </w:hyperlink>
          </w:p>
        </w:tc>
        <w:tc>
          <w:tcPr>
            <w:tcW w:type="dxa" w:w="3969"/>
            <w:vAlign w:val="top"/>
          </w:tcPr>
          <w:p>
            <w:r/>
            <w:r>
              <w:rPr>
                <w:b w:val="0"/>
                <w:sz w:val="13"/>
              </w:rPr>
              <w:t>Découverte entité et fonds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MGR-006</w:t>
            </w:r>
          </w:p>
        </w:tc>
        <w:tc>
          <w:tcPr>
            <w:tcW w:type="dxa" w:w="2324"/>
            <w:vAlign w:val="top"/>
          </w:tcPr>
          <w:p>
            <w:r/>
            <w:r>
              <w:rPr>
                <w:b w:val="0"/>
                <w:sz w:val="13"/>
              </w:rPr>
              <w:t>AXA Mansard Investments</w:t>
            </w:r>
          </w:p>
        </w:tc>
        <w:tc>
          <w:tcPr>
            <w:tcW w:type="dxa" w:w="4819"/>
            <w:vAlign w:val="top"/>
          </w:tcPr>
          <w:p>
            <w:r>
              <w:rPr>
                <w:sz w:val="13"/>
              </w:rPr>
            </w:r>
            <w:hyperlink r:id="rId111">
              <w:r>
                <w:rPr>
                  <w:color w:val="0563C1"/>
                  <w:u w:val="single"/>
                </w:rPr>
                <w:t xml:space="preserve">Investments</w:t>
              </w:r>
            </w:hyperlink>
          </w:p>
        </w:tc>
        <w:tc>
          <w:tcPr>
            <w:tcW w:type="dxa" w:w="3969"/>
            <w:vAlign w:val="top"/>
          </w:tcPr>
          <w:p>
            <w:r/>
            <w:r>
              <w:rPr>
                <w:b w:val="0"/>
                <w:sz w:val="13"/>
              </w:rPr>
              <w:t>Mutual funds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MGR-007</w:t>
            </w:r>
          </w:p>
        </w:tc>
        <w:tc>
          <w:tcPr>
            <w:tcW w:type="dxa" w:w="2324"/>
            <w:vAlign w:val="top"/>
          </w:tcPr>
          <w:p>
            <w:r/>
            <w:r>
              <w:rPr>
                <w:b w:val="0"/>
                <w:sz w:val="13"/>
              </w:rPr>
              <w:t>Afrinvest Asset Management</w:t>
            </w:r>
          </w:p>
        </w:tc>
        <w:tc>
          <w:tcPr>
            <w:tcW w:type="dxa" w:w="4819"/>
            <w:vAlign w:val="top"/>
          </w:tcPr>
          <w:p>
            <w:r>
              <w:rPr>
                <w:sz w:val="13"/>
              </w:rPr>
            </w:r>
            <w:hyperlink r:id="rId112">
              <w:r>
                <w:rPr>
                  <w:color w:val="0563C1"/>
                  <w:u w:val="single"/>
                </w:rPr>
                <w:t xml:space="preserve">Mutual Funds</w:t>
              </w:r>
            </w:hyperlink>
          </w:p>
        </w:tc>
        <w:tc>
          <w:tcPr>
            <w:tcW w:type="dxa" w:w="3969"/>
            <w:vAlign w:val="top"/>
          </w:tcPr>
          <w:p>
            <w:r/>
            <w:r>
              <w:rPr>
                <w:b w:val="0"/>
                <w:sz w:val="13"/>
              </w:rPr>
              <w:t>Pages fonds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MGR-008</w:t>
            </w:r>
          </w:p>
        </w:tc>
        <w:tc>
          <w:tcPr>
            <w:tcW w:type="dxa" w:w="2324"/>
            <w:vAlign w:val="top"/>
          </w:tcPr>
          <w:p>
            <w:r/>
            <w:r>
              <w:rPr>
                <w:b w:val="0"/>
                <w:sz w:val="13"/>
              </w:rPr>
              <w:t>Alpha Morgan Capital Managers</w:t>
            </w:r>
          </w:p>
        </w:tc>
        <w:tc>
          <w:tcPr>
            <w:tcW w:type="dxa" w:w="4819"/>
            <w:vAlign w:val="top"/>
          </w:tcPr>
          <w:p>
            <w:r>
              <w:rPr>
                <w:sz w:val="13"/>
              </w:rPr>
            </w:r>
            <w:hyperlink r:id="rId113">
              <w:r>
                <w:rPr>
                  <w:color w:val="0563C1"/>
                  <w:u w:val="single"/>
                </w:rPr>
                <w:t xml:space="preserve">Accueil</w:t>
              </w:r>
            </w:hyperlink>
          </w:p>
        </w:tc>
        <w:tc>
          <w:tcPr>
            <w:tcW w:type="dxa" w:w="3969"/>
            <w:vAlign w:val="top"/>
          </w:tcPr>
          <w:p>
            <w:r/>
            <w:r>
              <w:rPr>
                <w:b w:val="0"/>
                <w:sz w:val="13"/>
              </w:rPr>
              <w:t>Fonds et publications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MGR-009</w:t>
            </w:r>
          </w:p>
        </w:tc>
        <w:tc>
          <w:tcPr>
            <w:tcW w:type="dxa" w:w="2324"/>
            <w:vAlign w:val="top"/>
          </w:tcPr>
          <w:p>
            <w:r/>
            <w:r>
              <w:rPr>
                <w:b w:val="0"/>
                <w:sz w:val="13"/>
              </w:rPr>
              <w:t>Alpha10 Fund Management</w:t>
            </w:r>
          </w:p>
        </w:tc>
        <w:tc>
          <w:tcPr>
            <w:tcW w:type="dxa" w:w="4819"/>
            <w:vAlign w:val="top"/>
          </w:tcPr>
          <w:p>
            <w:r>
              <w:rPr>
                <w:sz w:val="13"/>
              </w:rPr>
            </w:r>
            <w:hyperlink r:id="rId114">
              <w:r>
                <w:rPr>
                  <w:color w:val="0563C1"/>
                  <w:u w:val="single"/>
                </w:rPr>
                <w:t xml:space="preserve">Asset Management</w:t>
              </w:r>
            </w:hyperlink>
          </w:p>
        </w:tc>
        <w:tc>
          <w:tcPr>
            <w:tcW w:type="dxa" w:w="3969"/>
            <w:vAlign w:val="top"/>
          </w:tcPr>
          <w:p>
            <w:r/>
            <w:r>
              <w:rPr>
                <w:b w:val="0"/>
                <w:sz w:val="13"/>
              </w:rPr>
              <w:t>Pages fonds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MGR-010</w:t>
            </w:r>
          </w:p>
        </w:tc>
        <w:tc>
          <w:tcPr>
            <w:tcW w:type="dxa" w:w="2324"/>
            <w:vAlign w:val="top"/>
          </w:tcPr>
          <w:p>
            <w:r/>
            <w:r>
              <w:rPr>
                <w:b w:val="0"/>
                <w:sz w:val="13"/>
              </w:rPr>
              <w:t>Anchoria Asset Management</w:t>
            </w:r>
          </w:p>
        </w:tc>
        <w:tc>
          <w:tcPr>
            <w:tcW w:type="dxa" w:w="4819"/>
            <w:vAlign w:val="top"/>
          </w:tcPr>
          <w:p>
            <w:r>
              <w:rPr>
                <w:sz w:val="13"/>
              </w:rPr>
            </w:r>
            <w:hyperlink r:id="rId115">
              <w:r>
                <w:rPr>
                  <w:color w:val="0563C1"/>
                  <w:u w:val="single"/>
                </w:rPr>
                <w:t xml:space="preserve">Accueil</w:t>
              </w:r>
            </w:hyperlink>
          </w:p>
        </w:tc>
        <w:tc>
          <w:tcPr>
            <w:tcW w:type="dxa" w:w="3969"/>
            <w:vAlign w:val="top"/>
          </w:tcPr>
          <w:p>
            <w:r/>
            <w:r>
              <w:rPr>
                <w:b w:val="0"/>
                <w:sz w:val="13"/>
              </w:rPr>
              <w:t>Prix et pages fonds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MGR-011</w:t>
            </w:r>
          </w:p>
        </w:tc>
        <w:tc>
          <w:tcPr>
            <w:tcW w:type="dxa" w:w="2324"/>
            <w:vAlign w:val="top"/>
          </w:tcPr>
          <w:p>
            <w:r/>
            <w:r>
              <w:rPr>
                <w:b w:val="0"/>
                <w:sz w:val="13"/>
              </w:rPr>
              <w:t>Apel Wealth Management</w:t>
            </w:r>
          </w:p>
        </w:tc>
        <w:tc>
          <w:tcPr>
            <w:tcW w:type="dxa" w:w="4819"/>
            <w:vAlign w:val="top"/>
          </w:tcPr>
          <w:p>
            <w:r>
              <w:rPr>
                <w:sz w:val="13"/>
              </w:rPr>
            </w:r>
            <w:hyperlink r:id="rId116">
              <w:r>
                <w:rPr>
                  <w:color w:val="0563C1"/>
                  <w:u w:val="single"/>
                </w:rPr>
                <w:t xml:space="preserve">Accueil</w:t>
              </w:r>
            </w:hyperlink>
          </w:p>
        </w:tc>
        <w:tc>
          <w:tcPr>
            <w:tcW w:type="dxa" w:w="3969"/>
            <w:vAlign w:val="top"/>
          </w:tcPr>
          <w:p>
            <w:r/>
            <w:r>
              <w:rPr>
                <w:b w:val="0"/>
                <w:sz w:val="13"/>
              </w:rPr>
              <w:t>Fonds et produits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MGR-012</w:t>
            </w:r>
          </w:p>
        </w:tc>
        <w:tc>
          <w:tcPr>
            <w:tcW w:type="dxa" w:w="2324"/>
            <w:vAlign w:val="top"/>
          </w:tcPr>
          <w:p>
            <w:r/>
            <w:r>
              <w:rPr>
                <w:b w:val="0"/>
                <w:sz w:val="13"/>
              </w:rPr>
              <w:t>CFG Asset Management</w:t>
            </w:r>
          </w:p>
        </w:tc>
        <w:tc>
          <w:tcPr>
            <w:tcW w:type="dxa" w:w="4819"/>
            <w:vAlign w:val="top"/>
          </w:tcPr>
          <w:p>
            <w:r>
              <w:rPr>
                <w:sz w:val="13"/>
              </w:rPr>
            </w:r>
            <w:hyperlink r:id="rId117">
              <w:r>
                <w:rPr>
                  <w:color w:val="0563C1"/>
                  <w:u w:val="single"/>
                </w:rPr>
                <w:t xml:space="preserve">Asset Management</w:t>
              </w:r>
            </w:hyperlink>
          </w:p>
        </w:tc>
        <w:tc>
          <w:tcPr>
            <w:tcW w:type="dxa" w:w="3969"/>
            <w:vAlign w:val="top"/>
          </w:tcPr>
          <w:p>
            <w:r/>
            <w:r>
              <w:rPr>
                <w:b w:val="0"/>
                <w:sz w:val="13"/>
              </w:rPr>
              <w:t>Fonds et société</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MGR-013</w:t>
            </w:r>
          </w:p>
        </w:tc>
        <w:tc>
          <w:tcPr>
            <w:tcW w:type="dxa" w:w="2324"/>
            <w:vAlign w:val="top"/>
          </w:tcPr>
          <w:p>
            <w:r/>
            <w:r>
              <w:rPr>
                <w:b w:val="0"/>
                <w:sz w:val="13"/>
              </w:rPr>
              <w:t>Capital Express Asset &amp; Trust</w:t>
            </w:r>
          </w:p>
        </w:tc>
        <w:tc>
          <w:tcPr>
            <w:tcW w:type="dxa" w:w="4819"/>
            <w:vAlign w:val="top"/>
          </w:tcPr>
          <w:p>
            <w:r>
              <w:rPr>
                <w:sz w:val="13"/>
              </w:rPr>
            </w:r>
            <w:hyperlink r:id="rId118">
              <w:r>
                <w:rPr>
                  <w:color w:val="0563C1"/>
                  <w:u w:val="single"/>
                </w:rPr>
                <w:t xml:space="preserve">Downloads</w:t>
              </w:r>
            </w:hyperlink>
          </w:p>
        </w:tc>
        <w:tc>
          <w:tcPr>
            <w:tcW w:type="dxa" w:w="3969"/>
            <w:vAlign w:val="top"/>
          </w:tcPr>
          <w:p>
            <w:r/>
            <w:r>
              <w:rPr>
                <w:b w:val="0"/>
                <w:sz w:val="13"/>
              </w:rPr>
              <w:t>Documents téléchargeables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MGR-014</w:t>
            </w:r>
          </w:p>
        </w:tc>
        <w:tc>
          <w:tcPr>
            <w:tcW w:type="dxa" w:w="2324"/>
            <w:vAlign w:val="top"/>
          </w:tcPr>
          <w:p>
            <w:r/>
            <w:r>
              <w:rPr>
                <w:b w:val="0"/>
                <w:sz w:val="13"/>
              </w:rPr>
              <w:t>Capital Trust Investments</w:t>
            </w:r>
          </w:p>
        </w:tc>
        <w:tc>
          <w:tcPr>
            <w:tcW w:type="dxa" w:w="4819"/>
            <w:vAlign w:val="top"/>
          </w:tcPr>
          <w:p>
            <w:r>
              <w:rPr>
                <w:sz w:val="13"/>
              </w:rPr>
            </w:r>
            <w:hyperlink r:id="rId119">
              <w:r>
                <w:rPr>
                  <w:color w:val="0563C1"/>
                  <w:u w:val="single"/>
                </w:rPr>
                <w:t xml:space="preserve">Accueil</w:t>
              </w:r>
            </w:hyperlink>
          </w:p>
        </w:tc>
        <w:tc>
          <w:tcPr>
            <w:tcW w:type="dxa" w:w="3969"/>
            <w:vAlign w:val="top"/>
          </w:tcPr>
          <w:p>
            <w:r/>
            <w:r>
              <w:rPr>
                <w:b w:val="0"/>
                <w:sz w:val="13"/>
              </w:rPr>
              <w:t>Fonds et factsheets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MGR-015</w:t>
            </w:r>
          </w:p>
        </w:tc>
        <w:tc>
          <w:tcPr>
            <w:tcW w:type="dxa" w:w="2324"/>
            <w:vAlign w:val="top"/>
          </w:tcPr>
          <w:p>
            <w:r/>
            <w:r>
              <w:rPr>
                <w:b w:val="0"/>
                <w:sz w:val="13"/>
              </w:rPr>
              <w:t>CardinalStone Asset Management</w:t>
            </w:r>
          </w:p>
        </w:tc>
        <w:tc>
          <w:tcPr>
            <w:tcW w:type="dxa" w:w="4819"/>
            <w:vAlign w:val="top"/>
          </w:tcPr>
          <w:p>
            <w:r>
              <w:rPr>
                <w:sz w:val="13"/>
              </w:rPr>
            </w:r>
            <w:hyperlink r:id="rId120">
              <w:r>
                <w:rPr>
                  <w:color w:val="0563C1"/>
                  <w:u w:val="single"/>
                </w:rPr>
                <w:t xml:space="preserve">Mutual Funds</w:t>
              </w:r>
            </w:hyperlink>
          </w:p>
        </w:tc>
        <w:tc>
          <w:tcPr>
            <w:tcW w:type="dxa" w:w="3969"/>
            <w:vAlign w:val="top"/>
          </w:tcPr>
          <w:p>
            <w:r/>
            <w:r>
              <w:rPr>
                <w:b w:val="0"/>
                <w:sz w:val="13"/>
              </w:rPr>
              <w:t>Fonds et documents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MGR-016</w:t>
            </w:r>
          </w:p>
        </w:tc>
        <w:tc>
          <w:tcPr>
            <w:tcW w:type="dxa" w:w="2324"/>
            <w:vAlign w:val="top"/>
          </w:tcPr>
          <w:p>
            <w:r/>
            <w:r>
              <w:rPr>
                <w:b w:val="0"/>
                <w:sz w:val="13"/>
              </w:rPr>
              <w:t>Chapel Hill Denham Management</w:t>
            </w:r>
          </w:p>
        </w:tc>
        <w:tc>
          <w:tcPr>
            <w:tcW w:type="dxa" w:w="4819"/>
            <w:vAlign w:val="top"/>
          </w:tcPr>
          <w:p>
            <w:r>
              <w:rPr>
                <w:sz w:val="13"/>
              </w:rPr>
            </w:r>
            <w:hyperlink r:id="rId121">
              <w:r>
                <w:rPr>
                  <w:color w:val="0563C1"/>
                  <w:u w:val="single"/>
                </w:rPr>
                <w:t xml:space="preserve">Investment Management</w:t>
              </w:r>
            </w:hyperlink>
          </w:p>
        </w:tc>
        <w:tc>
          <w:tcPr>
            <w:tcW w:type="dxa" w:w="3969"/>
            <w:vAlign w:val="top"/>
          </w:tcPr>
          <w:p>
            <w:r/>
            <w:r>
              <w:rPr>
                <w:b w:val="0"/>
                <w:sz w:val="13"/>
              </w:rPr>
              <w:t>Fonds et documents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MGR-017</w:t>
            </w:r>
          </w:p>
        </w:tc>
        <w:tc>
          <w:tcPr>
            <w:tcW w:type="dxa" w:w="2324"/>
            <w:vAlign w:val="top"/>
          </w:tcPr>
          <w:p>
            <w:r/>
            <w:r>
              <w:rPr>
                <w:b w:val="0"/>
                <w:sz w:val="13"/>
              </w:rPr>
              <w:t>Chapel Hill Denham Management</w:t>
            </w:r>
          </w:p>
        </w:tc>
        <w:tc>
          <w:tcPr>
            <w:tcW w:type="dxa" w:w="4819"/>
            <w:vAlign w:val="top"/>
          </w:tcPr>
          <w:p>
            <w:r>
              <w:rPr>
                <w:sz w:val="13"/>
              </w:rPr>
            </w:r>
            <w:hyperlink r:id="rId122">
              <w:r>
                <w:rPr>
                  <w:color w:val="0563C1"/>
                  <w:u w:val="single"/>
                </w:rPr>
                <w:t xml:space="preserve">March 2026 Factsheets</w:t>
              </w:r>
            </w:hyperlink>
          </w:p>
        </w:tc>
        <w:tc>
          <w:tcPr>
            <w:tcW w:type="dxa" w:w="3969"/>
            <w:vAlign w:val="top"/>
          </w:tcPr>
          <w:p>
            <w:r/>
            <w:r>
              <w:rPr>
                <w:b w:val="0"/>
                <w:sz w:val="13"/>
              </w:rPr>
              <w:t>Exemple de factsheet datée</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MGR-018</w:t>
            </w:r>
          </w:p>
        </w:tc>
        <w:tc>
          <w:tcPr>
            <w:tcW w:type="dxa" w:w="2324"/>
            <w:vAlign w:val="top"/>
          </w:tcPr>
          <w:p>
            <w:r/>
            <w:r>
              <w:rPr>
                <w:b w:val="0"/>
                <w:sz w:val="13"/>
              </w:rPr>
              <w:t>Cordros Asset Management</w:t>
            </w:r>
          </w:p>
        </w:tc>
        <w:tc>
          <w:tcPr>
            <w:tcW w:type="dxa" w:w="4819"/>
            <w:vAlign w:val="top"/>
          </w:tcPr>
          <w:p>
            <w:r>
              <w:rPr>
                <w:sz w:val="13"/>
              </w:rPr>
            </w:r>
            <w:hyperlink r:id="rId123">
              <w:r>
                <w:rPr>
                  <w:color w:val="0563C1"/>
                  <w:u w:val="single"/>
                </w:rPr>
                <w:t xml:space="preserve">Mutual Funds</w:t>
              </w:r>
            </w:hyperlink>
          </w:p>
        </w:tc>
        <w:tc>
          <w:tcPr>
            <w:tcW w:type="dxa" w:w="3969"/>
            <w:vAlign w:val="top"/>
          </w:tcPr>
          <w:p>
            <w:r/>
            <w:r>
              <w:rPr>
                <w:b w:val="0"/>
                <w:sz w:val="13"/>
              </w:rPr>
              <w:t>Fonds et prix</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MGR-019</w:t>
            </w:r>
          </w:p>
        </w:tc>
        <w:tc>
          <w:tcPr>
            <w:tcW w:type="dxa" w:w="2324"/>
            <w:vAlign w:val="top"/>
          </w:tcPr>
          <w:p>
            <w:r/>
            <w:r>
              <w:rPr>
                <w:b w:val="0"/>
                <w:sz w:val="13"/>
              </w:rPr>
              <w:t>Coronation Asset Management</w:t>
            </w:r>
          </w:p>
        </w:tc>
        <w:tc>
          <w:tcPr>
            <w:tcW w:type="dxa" w:w="4819"/>
            <w:vAlign w:val="top"/>
          </w:tcPr>
          <w:p>
            <w:r>
              <w:rPr>
                <w:sz w:val="13"/>
              </w:rPr>
            </w:r>
            <w:hyperlink r:id="rId124">
              <w:r>
                <w:rPr>
                  <w:color w:val="0563C1"/>
                  <w:u w:val="single"/>
                </w:rPr>
                <w:t xml:space="preserve">Mutual Funds</w:t>
              </w:r>
            </w:hyperlink>
          </w:p>
        </w:tc>
        <w:tc>
          <w:tcPr>
            <w:tcW w:type="dxa" w:w="3969"/>
            <w:vAlign w:val="top"/>
          </w:tcPr>
          <w:p>
            <w:r/>
            <w:r>
              <w:rPr>
                <w:b w:val="0"/>
                <w:sz w:val="13"/>
              </w:rPr>
              <w:t>Fonds et pages produit</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MGR-020</w:t>
            </w:r>
          </w:p>
        </w:tc>
        <w:tc>
          <w:tcPr>
            <w:tcW w:type="dxa" w:w="2324"/>
            <w:vAlign w:val="top"/>
          </w:tcPr>
          <w:p>
            <w:r/>
            <w:r>
              <w:rPr>
                <w:b w:val="0"/>
                <w:sz w:val="13"/>
              </w:rPr>
              <w:t>FBNQuest Asset Management</w:t>
            </w:r>
          </w:p>
        </w:tc>
        <w:tc>
          <w:tcPr>
            <w:tcW w:type="dxa" w:w="4819"/>
            <w:vAlign w:val="top"/>
          </w:tcPr>
          <w:p>
            <w:r>
              <w:rPr>
                <w:sz w:val="13"/>
              </w:rPr>
            </w:r>
            <w:hyperlink r:id="rId125">
              <w:r>
                <w:rPr>
                  <w:color w:val="0563C1"/>
                  <w:u w:val="single"/>
                </w:rPr>
                <w:t xml:space="preserve">Factsheets Archive</w:t>
              </w:r>
            </w:hyperlink>
          </w:p>
        </w:tc>
        <w:tc>
          <w:tcPr>
            <w:tcW w:type="dxa" w:w="3969"/>
            <w:vAlign w:val="top"/>
          </w:tcPr>
          <w:p>
            <w:r/>
            <w:r>
              <w:rPr>
                <w:b w:val="0"/>
                <w:sz w:val="13"/>
              </w:rPr>
              <w:t>Archives de factsheets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MGR-021</w:t>
            </w:r>
          </w:p>
        </w:tc>
        <w:tc>
          <w:tcPr>
            <w:tcW w:type="dxa" w:w="2324"/>
            <w:vAlign w:val="top"/>
          </w:tcPr>
          <w:p>
            <w:r/>
            <w:r>
              <w:rPr>
                <w:b w:val="0"/>
                <w:sz w:val="13"/>
              </w:rPr>
              <w:t>FCMB Asset Management</w:t>
            </w:r>
          </w:p>
        </w:tc>
        <w:tc>
          <w:tcPr>
            <w:tcW w:type="dxa" w:w="4819"/>
            <w:vAlign w:val="top"/>
          </w:tcPr>
          <w:p>
            <w:r>
              <w:rPr>
                <w:sz w:val="13"/>
              </w:rPr>
            </w:r>
            <w:hyperlink r:id="rId126">
              <w:r>
                <w:rPr>
                  <w:color w:val="0563C1"/>
                  <w:u w:val="single"/>
                </w:rPr>
                <w:t xml:space="preserve">Accueil</w:t>
              </w:r>
            </w:hyperlink>
          </w:p>
        </w:tc>
        <w:tc>
          <w:tcPr>
            <w:tcW w:type="dxa" w:w="3969"/>
            <w:vAlign w:val="top"/>
          </w:tcPr>
          <w:p>
            <w:r/>
            <w:r>
              <w:rPr>
                <w:b w:val="0"/>
                <w:sz w:val="13"/>
              </w:rPr>
              <w:t>Fonds et documents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MGR-022</w:t>
            </w:r>
          </w:p>
        </w:tc>
        <w:tc>
          <w:tcPr>
            <w:tcW w:type="dxa" w:w="2324"/>
            <w:vAlign w:val="top"/>
          </w:tcPr>
          <w:p>
            <w:r/>
            <w:r>
              <w:rPr>
                <w:b w:val="0"/>
                <w:sz w:val="13"/>
              </w:rPr>
              <w:t>FSDH Asset Management</w:t>
            </w:r>
          </w:p>
        </w:tc>
        <w:tc>
          <w:tcPr>
            <w:tcW w:type="dxa" w:w="4819"/>
            <w:vAlign w:val="top"/>
          </w:tcPr>
          <w:p>
            <w:r>
              <w:rPr>
                <w:sz w:val="13"/>
              </w:rPr>
            </w:r>
            <w:hyperlink r:id="rId127">
              <w:r>
                <w:rPr>
                  <w:color w:val="0563C1"/>
                  <w:u w:val="single"/>
                </w:rPr>
                <w:t xml:space="preserve">Accueil</w:t>
              </w:r>
            </w:hyperlink>
          </w:p>
        </w:tc>
        <w:tc>
          <w:tcPr>
            <w:tcW w:type="dxa" w:w="3969"/>
            <w:vAlign w:val="top"/>
          </w:tcPr>
          <w:p>
            <w:r/>
            <w:r>
              <w:rPr>
                <w:b w:val="0"/>
                <w:sz w:val="13"/>
              </w:rPr>
              <w:t>Fonds et documents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MGR-023</w:t>
            </w:r>
          </w:p>
        </w:tc>
        <w:tc>
          <w:tcPr>
            <w:tcW w:type="dxa" w:w="2324"/>
            <w:vAlign w:val="top"/>
          </w:tcPr>
          <w:p>
            <w:r/>
            <w:r>
              <w:rPr>
                <w:b w:val="0"/>
                <w:sz w:val="13"/>
              </w:rPr>
              <w:t>Stanbic IBTC Asset Management</w:t>
            </w:r>
          </w:p>
        </w:tc>
        <w:tc>
          <w:tcPr>
            <w:tcW w:type="dxa" w:w="4819"/>
            <w:vAlign w:val="top"/>
          </w:tcPr>
          <w:p>
            <w:r>
              <w:rPr>
                <w:sz w:val="13"/>
              </w:rPr>
            </w:r>
            <w:hyperlink r:id="rId128">
              <w:r>
                <w:rPr>
                  <w:color w:val="0563C1"/>
                  <w:u w:val="single"/>
                </w:rPr>
                <w:t xml:space="preserve">Mutual Funds</w:t>
              </w:r>
            </w:hyperlink>
          </w:p>
        </w:tc>
        <w:tc>
          <w:tcPr>
            <w:tcW w:type="dxa" w:w="3969"/>
            <w:vAlign w:val="top"/>
          </w:tcPr>
          <w:p>
            <w:r/>
            <w:r>
              <w:rPr>
                <w:b w:val="0"/>
                <w:sz w:val="13"/>
              </w:rPr>
              <w:t>Pages fonds</w:t>
            </w:r>
          </w:p>
        </w:tc>
        <w:tc>
          <w:tcPr>
            <w:tcW w:type="dxa" w:w="1701"/>
            <w:vAlign w:val="top"/>
          </w:tcPr>
          <w:p>
            <w:r/>
            <w:r>
              <w:rPr>
                <w:b w:val="0"/>
                <w:sz w:val="13"/>
              </w:rPr>
              <w:t>Mensuel/à la demande</w:t>
            </w:r>
          </w:p>
        </w:tc>
        <w:tc>
          <w:tcPr>
            <w:tcW w:type="dxa" w:w="964"/>
            <w:vAlign w:val="top"/>
          </w:tcPr>
          <w:p>
            <w:r/>
            <w:r>
              <w:rPr>
                <w:b w:val="0"/>
                <w:sz w:val="13"/>
              </w:rPr>
              <w:t>T2</w:t>
            </w:r>
          </w:p>
        </w:tc>
      </w:tr>
      <w:tr>
        <w:trPr>
          <w:cantSplit/>
        </w:trPr>
        <w:tc>
          <w:tcPr>
            <w:tcW w:type="dxa" w:w="1247"/>
            <w:vAlign w:val="top"/>
          </w:tcPr>
          <w:p>
            <w:r/>
            <w:r>
              <w:rPr>
                <w:b w:val="0"/>
                <w:sz w:val="13"/>
              </w:rPr>
              <w:t>MGR-024</w:t>
            </w:r>
          </w:p>
        </w:tc>
        <w:tc>
          <w:tcPr>
            <w:tcW w:type="dxa" w:w="2324"/>
            <w:vAlign w:val="top"/>
          </w:tcPr>
          <w:p>
            <w:r/>
            <w:r>
              <w:rPr>
                <w:b w:val="0"/>
                <w:sz w:val="13"/>
              </w:rPr>
              <w:t>Stanbic IBTC Asset Management</w:t>
            </w:r>
          </w:p>
        </w:tc>
        <w:tc>
          <w:tcPr>
            <w:tcW w:type="dxa" w:w="4819"/>
            <w:vAlign w:val="top"/>
          </w:tcPr>
          <w:p>
            <w:r>
              <w:rPr>
                <w:sz w:val="13"/>
              </w:rPr>
            </w:r>
            <w:hyperlink r:id="rId129">
              <w:r>
                <w:rPr>
                  <w:color w:val="0563C1"/>
                  <w:u w:val="single"/>
                </w:rPr>
                <w:t xml:space="preserve">Prospectus</w:t>
              </w:r>
            </w:hyperlink>
          </w:p>
        </w:tc>
        <w:tc>
          <w:tcPr>
            <w:tcW w:type="dxa" w:w="3969"/>
            <w:vAlign w:val="top"/>
          </w:tcPr>
          <w:p>
            <w:r/>
            <w:r>
              <w:rPr>
                <w:b w:val="0"/>
                <w:sz w:val="13"/>
              </w:rPr>
              <w:t>Prospectus</w:t>
            </w:r>
          </w:p>
        </w:tc>
        <w:tc>
          <w:tcPr>
            <w:tcW w:type="dxa" w:w="1701"/>
            <w:vAlign w:val="top"/>
          </w:tcPr>
          <w:p>
            <w:r/>
            <w:r>
              <w:rPr>
                <w:b w:val="0"/>
                <w:sz w:val="13"/>
              </w:rPr>
              <w:t>Mensuel/à la demande</w:t>
            </w:r>
          </w:p>
        </w:tc>
        <w:tc>
          <w:tcPr>
            <w:tcW w:type="dxa" w:w="964"/>
            <w:vAlign w:val="top"/>
          </w:tcPr>
          <w:p>
            <w:r/>
            <w:r>
              <w:rPr>
                <w:b w:val="0"/>
                <w:sz w:val="13"/>
              </w:rPr>
              <w:t>T2</w:t>
            </w:r>
          </w:p>
        </w:tc>
      </w:tr>
    </w:tbl>
    <w:p/>
    <w:p>
      <w:pPr>
        <w:sectPr>
          <w:pgSz w:w="15840" w:h="12240" w:orient="landscape"/>
          <w:pgMar w:top="850" w:right="737" w:bottom="850" w:left="737" w:header="397" w:footer="397" w:gutter="0"/>
          <w:cols w:space="720"/>
          <w:docGrid w:linePitch="360"/>
        </w:sectPr>
      </w:pPr>
    </w:p>
    <w:p>
      <w:pPr>
        <w:pStyle w:val="Heading2"/>
      </w:pPr>
      <w:r>
        <w:t>22. Protocole obligatoire de capture d’une URL</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835"/>
            <w:vAlign w:val="top"/>
            <w:shd w:fill="1F4E78"/>
          </w:tcPr>
          <w:p>
            <w:r>
              <w:rPr>
                <w:color w:val="FFFFFF"/>
              </w:rPr>
            </w:r>
            <w:r>
              <w:rPr>
                <w:b/>
                <w:color w:val="FFFFFF"/>
                <w:sz w:val="16"/>
              </w:rPr>
              <w:t>Champ de capture</w:t>
            </w:r>
          </w:p>
        </w:tc>
        <w:tc>
          <w:tcPr>
            <w:tcW w:type="dxa" w:w="7370"/>
            <w:vAlign w:val="top"/>
            <w:shd w:fill="1F4E78"/>
          </w:tcPr>
          <w:p>
            <w:r>
              <w:rPr>
                <w:color w:val="FFFFFF"/>
              </w:rPr>
            </w:r>
            <w:r>
              <w:rPr>
                <w:b/>
                <w:color w:val="FFFFFF"/>
                <w:sz w:val="16"/>
              </w:rPr>
              <w:t>Définition</w:t>
            </w:r>
          </w:p>
        </w:tc>
      </w:tr>
      <w:tr>
        <w:trPr>
          <w:cantSplit/>
        </w:trPr>
        <w:tc>
          <w:tcPr>
            <w:tcW w:type="dxa" w:w="2835"/>
            <w:vAlign w:val="top"/>
          </w:tcPr>
          <w:p>
            <w:r/>
            <w:r>
              <w:rPr>
                <w:b w:val="0"/>
                <w:sz w:val="16"/>
              </w:rPr>
              <w:t>source_url</w:t>
            </w:r>
          </w:p>
        </w:tc>
        <w:tc>
          <w:tcPr>
            <w:tcW w:type="dxa" w:w="7370"/>
            <w:vAlign w:val="top"/>
          </w:tcPr>
          <w:p>
            <w:r/>
            <w:r>
              <w:rPr>
                <w:b w:val="0"/>
                <w:sz w:val="16"/>
              </w:rPr>
              <w:t>URL trouvée dans la page ou le moteur.</w:t>
            </w:r>
          </w:p>
        </w:tc>
      </w:tr>
      <w:tr>
        <w:trPr>
          <w:cantSplit/>
        </w:trPr>
        <w:tc>
          <w:tcPr>
            <w:tcW w:type="dxa" w:w="2835"/>
            <w:vAlign w:val="top"/>
          </w:tcPr>
          <w:p>
            <w:r/>
            <w:r>
              <w:rPr>
                <w:b w:val="0"/>
                <w:sz w:val="16"/>
              </w:rPr>
              <w:t>final_url</w:t>
            </w:r>
          </w:p>
        </w:tc>
        <w:tc>
          <w:tcPr>
            <w:tcW w:type="dxa" w:w="7370"/>
            <w:vAlign w:val="top"/>
          </w:tcPr>
          <w:p>
            <w:r/>
            <w:r>
              <w:rPr>
                <w:b w:val="0"/>
                <w:sz w:val="16"/>
              </w:rPr>
              <w:t>URL après redirections HTTP.</w:t>
            </w:r>
          </w:p>
        </w:tc>
      </w:tr>
      <w:tr>
        <w:trPr>
          <w:cantSplit/>
        </w:trPr>
        <w:tc>
          <w:tcPr>
            <w:tcW w:type="dxa" w:w="2835"/>
            <w:vAlign w:val="top"/>
          </w:tcPr>
          <w:p>
            <w:r/>
            <w:r>
              <w:rPr>
                <w:b w:val="0"/>
                <w:sz w:val="16"/>
              </w:rPr>
              <w:t>parent_page_url</w:t>
            </w:r>
          </w:p>
        </w:tc>
        <w:tc>
          <w:tcPr>
            <w:tcW w:type="dxa" w:w="7370"/>
            <w:vAlign w:val="top"/>
          </w:tcPr>
          <w:p>
            <w:r/>
            <w:r>
              <w:rPr>
                <w:b w:val="0"/>
                <w:sz w:val="16"/>
              </w:rPr>
              <w:t>Page contenant le lien.</w:t>
            </w:r>
          </w:p>
        </w:tc>
      </w:tr>
      <w:tr>
        <w:trPr>
          <w:cantSplit/>
        </w:trPr>
        <w:tc>
          <w:tcPr>
            <w:tcW w:type="dxa" w:w="2835"/>
            <w:vAlign w:val="top"/>
          </w:tcPr>
          <w:p>
            <w:r/>
            <w:r>
              <w:rPr>
                <w:b w:val="0"/>
                <w:sz w:val="16"/>
              </w:rPr>
              <w:t>link_text</w:t>
            </w:r>
          </w:p>
        </w:tc>
        <w:tc>
          <w:tcPr>
            <w:tcW w:type="dxa" w:w="7370"/>
            <w:vAlign w:val="top"/>
          </w:tcPr>
          <w:p>
            <w:r/>
            <w:r>
              <w:rPr>
                <w:b w:val="0"/>
                <w:sz w:val="16"/>
              </w:rPr>
              <w:t>Texte d’ancrage visible.</w:t>
            </w:r>
          </w:p>
        </w:tc>
      </w:tr>
      <w:tr>
        <w:trPr>
          <w:cantSplit/>
        </w:trPr>
        <w:tc>
          <w:tcPr>
            <w:tcW w:type="dxa" w:w="2835"/>
            <w:vAlign w:val="top"/>
          </w:tcPr>
          <w:p>
            <w:r/>
            <w:r>
              <w:rPr>
                <w:b w:val="0"/>
                <w:sz w:val="16"/>
              </w:rPr>
              <w:t>accessed_at</w:t>
            </w:r>
          </w:p>
        </w:tc>
        <w:tc>
          <w:tcPr>
            <w:tcW w:type="dxa" w:w="7370"/>
            <w:vAlign w:val="top"/>
          </w:tcPr>
          <w:p>
            <w:r/>
            <w:r>
              <w:rPr>
                <w:b w:val="0"/>
                <w:sz w:val="16"/>
              </w:rPr>
              <w:t>Horodatage UTC de collecte.</w:t>
            </w:r>
          </w:p>
        </w:tc>
      </w:tr>
      <w:tr>
        <w:trPr>
          <w:cantSplit/>
        </w:trPr>
        <w:tc>
          <w:tcPr>
            <w:tcW w:type="dxa" w:w="2835"/>
            <w:vAlign w:val="top"/>
          </w:tcPr>
          <w:p>
            <w:r/>
            <w:r>
              <w:rPr>
                <w:b w:val="0"/>
                <w:sz w:val="16"/>
              </w:rPr>
              <w:t>http_status</w:t>
            </w:r>
          </w:p>
        </w:tc>
        <w:tc>
          <w:tcPr>
            <w:tcW w:type="dxa" w:w="7370"/>
            <w:vAlign w:val="top"/>
          </w:tcPr>
          <w:p>
            <w:r/>
            <w:r>
              <w:rPr>
                <w:b w:val="0"/>
                <w:sz w:val="16"/>
              </w:rPr>
              <w:t>Statut HTTP final et chaîne de redirection.</w:t>
            </w:r>
          </w:p>
        </w:tc>
      </w:tr>
      <w:tr>
        <w:trPr>
          <w:cantSplit/>
        </w:trPr>
        <w:tc>
          <w:tcPr>
            <w:tcW w:type="dxa" w:w="2835"/>
            <w:vAlign w:val="top"/>
          </w:tcPr>
          <w:p>
            <w:r/>
            <w:r>
              <w:rPr>
                <w:b w:val="0"/>
                <w:sz w:val="16"/>
              </w:rPr>
              <w:t>content_type</w:t>
            </w:r>
          </w:p>
        </w:tc>
        <w:tc>
          <w:tcPr>
            <w:tcW w:type="dxa" w:w="7370"/>
            <w:vAlign w:val="top"/>
          </w:tcPr>
          <w:p>
            <w:r/>
            <w:r>
              <w:rPr>
                <w:b w:val="0"/>
                <w:sz w:val="16"/>
              </w:rPr>
              <w:t>MIME réel, sans se fier uniquement à l’extension.</w:t>
            </w:r>
          </w:p>
        </w:tc>
      </w:tr>
      <w:tr>
        <w:trPr>
          <w:cantSplit/>
        </w:trPr>
        <w:tc>
          <w:tcPr>
            <w:tcW w:type="dxa" w:w="2835"/>
            <w:vAlign w:val="top"/>
          </w:tcPr>
          <w:p>
            <w:r/>
            <w:r>
              <w:rPr>
                <w:b w:val="0"/>
                <w:sz w:val="16"/>
              </w:rPr>
              <w:t>content_length</w:t>
            </w:r>
          </w:p>
        </w:tc>
        <w:tc>
          <w:tcPr>
            <w:tcW w:type="dxa" w:w="7370"/>
            <w:vAlign w:val="top"/>
          </w:tcPr>
          <w:p>
            <w:r/>
            <w:r>
              <w:rPr>
                <w:b w:val="0"/>
                <w:sz w:val="16"/>
              </w:rPr>
              <w:t>Taille reçue.</w:t>
            </w:r>
          </w:p>
        </w:tc>
      </w:tr>
      <w:tr>
        <w:trPr>
          <w:cantSplit/>
        </w:trPr>
        <w:tc>
          <w:tcPr>
            <w:tcW w:type="dxa" w:w="2835"/>
            <w:vAlign w:val="top"/>
          </w:tcPr>
          <w:p>
            <w:r/>
            <w:r>
              <w:rPr>
                <w:b w:val="0"/>
                <w:sz w:val="16"/>
              </w:rPr>
              <w:t>sha256</w:t>
            </w:r>
          </w:p>
        </w:tc>
        <w:tc>
          <w:tcPr>
            <w:tcW w:type="dxa" w:w="7370"/>
            <w:vAlign w:val="top"/>
          </w:tcPr>
          <w:p>
            <w:r/>
            <w:r>
              <w:rPr>
                <w:b w:val="0"/>
                <w:sz w:val="16"/>
              </w:rPr>
              <w:t>Empreinte du fichier brut.</w:t>
            </w:r>
          </w:p>
        </w:tc>
      </w:tr>
      <w:tr>
        <w:trPr>
          <w:cantSplit/>
        </w:trPr>
        <w:tc>
          <w:tcPr>
            <w:tcW w:type="dxa" w:w="2835"/>
            <w:vAlign w:val="top"/>
          </w:tcPr>
          <w:p>
            <w:r/>
            <w:r>
              <w:rPr>
                <w:b w:val="0"/>
                <w:sz w:val="16"/>
              </w:rPr>
              <w:t>etag / last_modified</w:t>
            </w:r>
          </w:p>
        </w:tc>
        <w:tc>
          <w:tcPr>
            <w:tcW w:type="dxa" w:w="7370"/>
            <w:vAlign w:val="top"/>
          </w:tcPr>
          <w:p>
            <w:r/>
            <w:r>
              <w:rPr>
                <w:b w:val="0"/>
                <w:sz w:val="16"/>
              </w:rPr>
              <w:t>Métadonnées HTTP si disponibles.</w:t>
            </w:r>
          </w:p>
        </w:tc>
      </w:tr>
      <w:tr>
        <w:trPr>
          <w:cantSplit/>
        </w:trPr>
        <w:tc>
          <w:tcPr>
            <w:tcW w:type="dxa" w:w="2835"/>
            <w:vAlign w:val="top"/>
          </w:tcPr>
          <w:p>
            <w:r/>
            <w:r>
              <w:rPr>
                <w:b w:val="0"/>
                <w:sz w:val="16"/>
              </w:rPr>
              <w:t>archive_path</w:t>
            </w:r>
          </w:p>
        </w:tc>
        <w:tc>
          <w:tcPr>
            <w:tcW w:type="dxa" w:w="7370"/>
            <w:vAlign w:val="top"/>
          </w:tcPr>
          <w:p>
            <w:r/>
            <w:r>
              <w:rPr>
                <w:b w:val="0"/>
                <w:sz w:val="16"/>
              </w:rPr>
              <w:t>Chemin de stockage immuable.</w:t>
            </w:r>
          </w:p>
        </w:tc>
      </w:tr>
      <w:tr>
        <w:trPr>
          <w:cantSplit/>
        </w:trPr>
        <w:tc>
          <w:tcPr>
            <w:tcW w:type="dxa" w:w="2835"/>
            <w:vAlign w:val="top"/>
          </w:tcPr>
          <w:p>
            <w:r/>
            <w:r>
              <w:rPr>
                <w:b w:val="0"/>
                <w:sz w:val="16"/>
              </w:rPr>
              <w:t>wayback_url</w:t>
            </w:r>
          </w:p>
        </w:tc>
        <w:tc>
          <w:tcPr>
            <w:tcW w:type="dxa" w:w="7370"/>
            <w:vAlign w:val="top"/>
          </w:tcPr>
          <w:p>
            <w:r/>
            <w:r>
              <w:rPr>
                <w:b w:val="0"/>
                <w:sz w:val="16"/>
              </w:rPr>
              <w:t>Capture historique ou requête CDX si disponible.</w:t>
            </w:r>
          </w:p>
        </w:tc>
      </w:tr>
      <w:tr>
        <w:trPr>
          <w:cantSplit/>
        </w:trPr>
        <w:tc>
          <w:tcPr>
            <w:tcW w:type="dxa" w:w="2835"/>
            <w:vAlign w:val="top"/>
          </w:tcPr>
          <w:p>
            <w:r/>
            <w:r>
              <w:rPr>
                <w:b w:val="0"/>
                <w:sz w:val="16"/>
              </w:rPr>
              <w:t>document_date</w:t>
            </w:r>
          </w:p>
        </w:tc>
        <w:tc>
          <w:tcPr>
            <w:tcW w:type="dxa" w:w="7370"/>
            <w:vAlign w:val="top"/>
          </w:tcPr>
          <w:p>
            <w:r/>
            <w:r>
              <w:rPr>
                <w:b w:val="0"/>
                <w:sz w:val="16"/>
              </w:rPr>
              <w:t>Date portée par le document.</w:t>
            </w:r>
          </w:p>
        </w:tc>
      </w:tr>
      <w:tr>
        <w:trPr>
          <w:cantSplit/>
        </w:trPr>
        <w:tc>
          <w:tcPr>
            <w:tcW w:type="dxa" w:w="2835"/>
            <w:vAlign w:val="top"/>
          </w:tcPr>
          <w:p>
            <w:r/>
            <w:r>
              <w:rPr>
                <w:b w:val="0"/>
                <w:sz w:val="16"/>
              </w:rPr>
              <w:t>publication_date</w:t>
            </w:r>
          </w:p>
        </w:tc>
        <w:tc>
          <w:tcPr>
            <w:tcW w:type="dxa" w:w="7370"/>
            <w:vAlign w:val="top"/>
          </w:tcPr>
          <w:p>
            <w:r/>
            <w:r>
              <w:rPr>
                <w:b w:val="0"/>
                <w:sz w:val="16"/>
              </w:rPr>
              <w:t>Date annoncée par la page.</w:t>
            </w:r>
          </w:p>
        </w:tc>
      </w:tr>
      <w:tr>
        <w:trPr>
          <w:cantSplit/>
        </w:trPr>
        <w:tc>
          <w:tcPr>
            <w:tcW w:type="dxa" w:w="2835"/>
            <w:vAlign w:val="top"/>
          </w:tcPr>
          <w:p>
            <w:r/>
            <w:r>
              <w:rPr>
                <w:b w:val="0"/>
                <w:sz w:val="16"/>
              </w:rPr>
              <w:t>effective_date</w:t>
            </w:r>
          </w:p>
        </w:tc>
        <w:tc>
          <w:tcPr>
            <w:tcW w:type="dxa" w:w="7370"/>
            <w:vAlign w:val="top"/>
          </w:tcPr>
          <w:p>
            <w:r/>
            <w:r>
              <w:rPr>
                <w:b w:val="0"/>
                <w:sz w:val="16"/>
              </w:rPr>
              <w:t>Date d’effet juridique, si différente.</w:t>
            </w:r>
          </w:p>
        </w:tc>
      </w:tr>
      <w:tr>
        <w:trPr>
          <w:cantSplit/>
        </w:trPr>
        <w:tc>
          <w:tcPr>
            <w:tcW w:type="dxa" w:w="2835"/>
            <w:vAlign w:val="top"/>
          </w:tcPr>
          <w:p>
            <w:r/>
            <w:r>
              <w:rPr>
                <w:b w:val="0"/>
                <w:sz w:val="16"/>
              </w:rPr>
              <w:t>parser_version</w:t>
            </w:r>
          </w:p>
        </w:tc>
        <w:tc>
          <w:tcPr>
            <w:tcW w:type="dxa" w:w="7370"/>
            <w:vAlign w:val="top"/>
          </w:tcPr>
          <w:p>
            <w:r/>
            <w:r>
              <w:rPr>
                <w:b w:val="0"/>
                <w:sz w:val="16"/>
              </w:rPr>
              <w:t>Version du parseur utilisé.</w:t>
            </w:r>
          </w:p>
        </w:tc>
      </w:tr>
      <w:tr>
        <w:trPr>
          <w:cantSplit/>
        </w:trPr>
        <w:tc>
          <w:tcPr>
            <w:tcW w:type="dxa" w:w="2835"/>
            <w:vAlign w:val="top"/>
          </w:tcPr>
          <w:p>
            <w:r/>
            <w:r>
              <w:rPr>
                <w:b w:val="0"/>
                <w:sz w:val="16"/>
              </w:rPr>
              <w:t>ocr_status</w:t>
            </w:r>
          </w:p>
        </w:tc>
        <w:tc>
          <w:tcPr>
            <w:tcW w:type="dxa" w:w="7370"/>
            <w:vAlign w:val="top"/>
          </w:tcPr>
          <w:p>
            <w:r/>
            <w:r>
              <w:rPr>
                <w:b w:val="0"/>
                <w:sz w:val="16"/>
              </w:rPr>
              <w:t>Non requis / exécuté / échec / à revoir.</w:t>
            </w:r>
          </w:p>
        </w:tc>
      </w:tr>
      <w:tr>
        <w:trPr>
          <w:cantSplit/>
        </w:trPr>
        <w:tc>
          <w:tcPr>
            <w:tcW w:type="dxa" w:w="2835"/>
            <w:vAlign w:val="top"/>
          </w:tcPr>
          <w:p>
            <w:r/>
            <w:r>
              <w:rPr>
                <w:b w:val="0"/>
                <w:sz w:val="16"/>
              </w:rPr>
              <w:t>evidence_scope</w:t>
            </w:r>
          </w:p>
        </w:tc>
        <w:tc>
          <w:tcPr>
            <w:tcW w:type="dxa" w:w="7370"/>
            <w:vAlign w:val="top"/>
          </w:tcPr>
          <w:p>
            <w:r/>
            <w:r>
              <w:rPr>
                <w:b w:val="0"/>
                <w:sz w:val="16"/>
              </w:rPr>
              <w:t>Fonds, gestionnaire, événement ou champs couverts.</w:t>
            </w:r>
          </w:p>
        </w:tc>
      </w:tr>
      <w:tr>
        <w:trPr>
          <w:cantSplit/>
        </w:trPr>
        <w:tc>
          <w:tcPr>
            <w:tcW w:type="dxa" w:w="2835"/>
            <w:vAlign w:val="top"/>
          </w:tcPr>
          <w:p>
            <w:r/>
            <w:r>
              <w:rPr>
                <w:b w:val="0"/>
                <w:sz w:val="16"/>
              </w:rPr>
              <w:t>quality_status</w:t>
            </w:r>
          </w:p>
        </w:tc>
        <w:tc>
          <w:tcPr>
            <w:tcW w:type="dxa" w:w="7370"/>
            <w:vAlign w:val="top"/>
          </w:tcPr>
          <w:p>
            <w:r/>
            <w:r>
              <w:rPr>
                <w:b w:val="0"/>
                <w:sz w:val="16"/>
              </w:rPr>
              <w:t>Accepté, partiel, conflit, illisible, corrompu.</w:t>
            </w:r>
          </w:p>
        </w:tc>
      </w:tr>
      <w:tr>
        <w:trPr>
          <w:cantSplit/>
        </w:trPr>
        <w:tc>
          <w:tcPr>
            <w:tcW w:type="dxa" w:w="2835"/>
            <w:vAlign w:val="top"/>
          </w:tcPr>
          <w:p>
            <w:r/>
            <w:r>
              <w:rPr>
                <w:b w:val="0"/>
                <w:sz w:val="16"/>
              </w:rPr>
              <w:t>notes</w:t>
            </w:r>
          </w:p>
        </w:tc>
        <w:tc>
          <w:tcPr>
            <w:tcW w:type="dxa" w:w="7370"/>
            <w:vAlign w:val="top"/>
          </w:tcPr>
          <w:p>
            <w:r/>
            <w:r>
              <w:rPr>
                <w:b w:val="0"/>
                <w:sz w:val="16"/>
              </w:rPr>
              <w:t>Observations sans perte d’information.</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Pr>
          <w:p>
            <w:r>
              <w:rPr>
                <w:b/>
              </w:rPr>
              <w:t xml:space="preserve">Règle anti-lien cassé — </w:t>
            </w:r>
            <w:r>
              <w:t>Ne jamais considérer une URL comme donnée durable. La donnée durable est le document archivé, son empreinte, sa provenance et la relation entre ce document et l’affirmation qu’il soutient.</w:t>
            </w:r>
          </w:p>
        </w:tc>
      </w:tr>
    </w:tbl>
    <w:p/>
    <w:p>
      <w:pPr>
        <w:sectPr>
          <w:pgSz w:w="12240" w:h="15840"/>
          <w:pgMar w:top="1020" w:right="1020" w:bottom="1020" w:left="1020" w:header="397" w:footer="397" w:gutter="0"/>
          <w:cols w:space="720"/>
          <w:docGrid w:linePitch="360"/>
        </w:sectPr>
      </w:pPr>
    </w:p>
    <w:p>
      <w:pPr>
        <w:pStyle w:val="Heading1"/>
      </w:pPr>
      <w:r>
        <w:t>PARTIE XIX — RECHERCHE GOOGLE ET INVESTIGATION DOCUMENTAIRE</w:t>
      </w:r>
    </w:p>
    <w:p>
      <w:pPr>
        <w:pStyle w:val="Heading2"/>
      </w:pPr>
      <w:r>
        <w:t>23. Ordre obligatoire d’une recherche fonds par fonds</w:t>
      </w:r>
    </w:p>
    <w:p>
      <w:pPr>
        <w:pStyle w:val="ListNumber"/>
      </w:pPr>
      <w:r>
        <w:t>Partir du nom historique exact de la colonne A, entre guillemets, sans le corriger.</w:t>
      </w:r>
    </w:p>
    <w:p>
      <w:pPr>
        <w:pStyle w:val="ListNumber"/>
      </w:pPr>
      <w:r>
        <w:t>Rechercher ce nom seul, puis avec « Nigeria », « fund », « mutual fund », le gestionnaire historique et chaque année pertinente.</w:t>
      </w:r>
    </w:p>
    <w:p>
      <w:pPr>
        <w:pStyle w:val="ListNumber"/>
      </w:pPr>
      <w:r>
        <w:t>Rechercher les fichiers PDF, XLSX, DOC et DOCX par opérateur filetype.</w:t>
      </w:r>
    </w:p>
    <w:p>
      <w:pPr>
        <w:pStyle w:val="ListNumber"/>
      </w:pPr>
      <w:r>
        <w:t>Rechercher sur sec.gov.ng, puis sur le domaine officiel du gestionnaire, puis sur Wayback Machine.</w:t>
      </w:r>
    </w:p>
    <w:p>
      <w:pPr>
        <w:pStyle w:val="ListNumber"/>
      </w:pPr>
      <w:r>
        <w:t>Rechercher les événements : rename, formerly known as, transfer, merger, acquisition, scheme, winding up, liquidation, termination, suspension, additional units, supplemental prospectus.</w:t>
      </w:r>
    </w:p>
    <w:p>
      <w:pPr>
        <w:pStyle w:val="ListNumber"/>
      </w:pPr>
      <w:r>
        <w:t>Télécharger les documents primaires, enregistrer leur empreinte et indexer leur texte.</w:t>
      </w:r>
    </w:p>
    <w:p>
      <w:pPr>
        <w:pStyle w:val="ListNumber"/>
      </w:pPr>
      <w:r>
        <w:t>Construire une chronologie de faits élémentaires avant de rédiger la synthèse narrative.</w:t>
      </w:r>
    </w:p>
    <w:p>
      <w:pPr>
        <w:pStyle w:val="ListNumber"/>
      </w:pPr>
      <w:r>
        <w:t>Vérifier le nom actuel et le gestionnaire actuel seulement après avoir traité l’identité historique.</w:t>
      </w:r>
    </w:p>
    <w:p>
      <w:pPr>
        <w:pStyle w:val="ListNumber"/>
      </w:pPr>
      <w:r>
        <w:t>Croiser les événements juridiques avec les dates de disparition/apparition des séries SEC.</w:t>
      </w:r>
    </w:p>
    <w:p>
      <w:pPr>
        <w:pStyle w:val="ListNumber"/>
      </w:pPr>
      <w:r>
        <w:t>Conserver explicitement les recherches infructueuses et les points ouverts.</w:t>
      </w:r>
    </w:p>
    <w:p>
      <w:pPr>
        <w:pStyle w:val="Heading2"/>
      </w:pPr>
      <w:r>
        <w:t>24. Bibliothèque de requêtes Google</w:t>
      </w:r>
    </w:p>
    <w:tbl>
      <w:tblPr>
        <w:tblStyle w:val="TableGrid"/>
        <w:tblW w:type="auto" w:w="0"/>
        <w:jc w:val="center"/>
        <w:tblLook w:firstColumn="1" w:firstRow="1" w:lastColumn="0" w:lastRow="0" w:noHBand="0" w:noVBand="1" w:val="04A0"/>
      </w:tblPr>
      <w:tblGrid>
        <w:gridCol w:w="4600"/>
        <w:gridCol w:w="4600"/>
        <w:gridCol w:w="4600"/>
      </w:tblGrid>
      <w:tr>
        <w:trPr>
          <w:tblHeader w:val="true"/>
        </w:trPr>
        <w:tc>
          <w:tcPr>
            <w:tcW w:type="dxa" w:w="2551"/>
            <w:vAlign w:val="top"/>
            <w:shd w:fill="1F4E78"/>
          </w:tcPr>
          <w:p>
            <w:r>
              <w:rPr>
                <w:color w:val="FFFFFF"/>
              </w:rPr>
            </w:r>
            <w:r>
              <w:rPr>
                <w:b/>
                <w:color w:val="FFFFFF"/>
                <w:sz w:val="15"/>
              </w:rPr>
              <w:t>Objectif</w:t>
            </w:r>
          </w:p>
        </w:tc>
        <w:tc>
          <w:tcPr>
            <w:tcW w:type="dxa" w:w="5102"/>
            <w:vAlign w:val="top"/>
            <w:shd w:fill="1F4E78"/>
          </w:tcPr>
          <w:p>
            <w:r>
              <w:rPr>
                <w:color w:val="FFFFFF"/>
              </w:rPr>
            </w:r>
            <w:r>
              <w:rPr>
                <w:b/>
                <w:color w:val="FFFFFF"/>
                <w:sz w:val="15"/>
              </w:rPr>
              <w:t>Requête modèle</w:t>
            </w:r>
          </w:p>
        </w:tc>
        <w:tc>
          <w:tcPr>
            <w:tcW w:type="dxa" w:w="3969"/>
            <w:vAlign w:val="top"/>
            <w:shd w:fill="1F4E78"/>
          </w:tcPr>
          <w:p>
            <w:r>
              <w:rPr>
                <w:color w:val="FFFFFF"/>
              </w:rPr>
            </w:r>
            <w:r>
              <w:rPr>
                <w:b/>
                <w:color w:val="FFFFFF"/>
                <w:sz w:val="15"/>
              </w:rPr>
              <w:t>Précaution</w:t>
            </w:r>
          </w:p>
        </w:tc>
      </w:tr>
      <w:tr>
        <w:trPr>
          <w:cantSplit/>
        </w:trPr>
        <w:tc>
          <w:tcPr>
            <w:tcW w:type="dxa" w:w="2551"/>
            <w:vAlign w:val="top"/>
          </w:tcPr>
          <w:p>
            <w:r/>
            <w:r>
              <w:rPr>
                <w:b w:val="0"/>
                <w:sz w:val="15"/>
              </w:rPr>
              <w:t>Identité exacte</w:t>
            </w:r>
          </w:p>
        </w:tc>
        <w:tc>
          <w:tcPr>
            <w:tcW w:type="dxa" w:w="5102"/>
            <w:vAlign w:val="top"/>
          </w:tcPr>
          <w:p>
            <w:r/>
            <w:r>
              <w:rPr>
                <w:b w:val="0"/>
                <w:sz w:val="15"/>
              </w:rPr>
              <w:t>"{historical_name}"</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Identité + pays</w:t>
            </w:r>
          </w:p>
        </w:tc>
        <w:tc>
          <w:tcPr>
            <w:tcW w:type="dxa" w:w="5102"/>
            <w:vAlign w:val="top"/>
          </w:tcPr>
          <w:p>
            <w:r/>
            <w:r>
              <w:rPr>
                <w:b w:val="0"/>
                <w:sz w:val="15"/>
              </w:rPr>
              <w:t>"{historical_name}" Nigeria</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SEC exact</w:t>
            </w:r>
          </w:p>
        </w:tc>
        <w:tc>
          <w:tcPr>
            <w:tcW w:type="dxa" w:w="5102"/>
            <w:vAlign w:val="top"/>
          </w:tcPr>
          <w:p>
            <w:r/>
            <w:r>
              <w:rPr>
                <w:b w:val="0"/>
                <w:sz w:val="15"/>
              </w:rPr>
              <w:t>site:sec.gov.ng "{historical_name}"</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Gestionnaire exact</w:t>
            </w:r>
          </w:p>
        </w:tc>
        <w:tc>
          <w:tcPr>
            <w:tcW w:type="dxa" w:w="5102"/>
            <w:vAlign w:val="top"/>
          </w:tcPr>
          <w:p>
            <w:r/>
            <w:r>
              <w:rPr>
                <w:b w:val="0"/>
                <w:sz w:val="15"/>
              </w:rPr>
              <w:t>site:{manager_domain} "{historical_name}"</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PDF exact</w:t>
            </w:r>
          </w:p>
        </w:tc>
        <w:tc>
          <w:tcPr>
            <w:tcW w:type="dxa" w:w="5102"/>
            <w:vAlign w:val="top"/>
          </w:tcPr>
          <w:p>
            <w:r/>
            <w:r>
              <w:rPr>
                <w:b w:val="0"/>
                <w:sz w:val="15"/>
              </w:rPr>
              <w:t>"{historical_name}" filetype:pdf</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Prospectus</w:t>
            </w:r>
          </w:p>
        </w:tc>
        <w:tc>
          <w:tcPr>
            <w:tcW w:type="dxa" w:w="5102"/>
            <w:vAlign w:val="top"/>
          </w:tcPr>
          <w:p>
            <w:r/>
            <w:r>
              <w:rPr>
                <w:b w:val="0"/>
                <w:sz w:val="15"/>
              </w:rPr>
              <w:t>"{historical_name}" prospectus filetype:pdf</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Supplemental prospectus</w:t>
            </w:r>
          </w:p>
        </w:tc>
        <w:tc>
          <w:tcPr>
            <w:tcW w:type="dxa" w:w="5102"/>
            <w:vAlign w:val="top"/>
          </w:tcPr>
          <w:p>
            <w:r/>
            <w:r>
              <w:rPr>
                <w:b w:val="0"/>
                <w:sz w:val="15"/>
              </w:rPr>
              <w:t>"{historical_name}" "supplemental prospectus"</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Factsheet</w:t>
            </w:r>
          </w:p>
        </w:tc>
        <w:tc>
          <w:tcPr>
            <w:tcW w:type="dxa" w:w="5102"/>
            <w:vAlign w:val="top"/>
          </w:tcPr>
          <w:p>
            <w:r/>
            <w:r>
              <w:rPr>
                <w:b w:val="0"/>
                <w:sz w:val="15"/>
              </w:rPr>
              <w:t>"{historical_name}" (factsheet OR "fact sheet") filetype:pdf</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Rapport annuel</w:t>
            </w:r>
          </w:p>
        </w:tc>
        <w:tc>
          <w:tcPr>
            <w:tcW w:type="dxa" w:w="5102"/>
            <w:vAlign w:val="top"/>
          </w:tcPr>
          <w:p>
            <w:r/>
            <w:r>
              <w:rPr>
                <w:b w:val="0"/>
                <w:sz w:val="15"/>
              </w:rPr>
              <w:t>"{historical_name}" ("annual report" OR "audited financial statements") filetype:pdf</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Trust deed</w:t>
            </w:r>
          </w:p>
        </w:tc>
        <w:tc>
          <w:tcPr>
            <w:tcW w:type="dxa" w:w="5102"/>
            <w:vAlign w:val="top"/>
          </w:tcPr>
          <w:p>
            <w:r/>
            <w:r>
              <w:rPr>
                <w:b w:val="0"/>
                <w:sz w:val="15"/>
              </w:rPr>
              <w:t>"{historical_name}" "trust deed" filetype:pdf</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Offer document</w:t>
            </w:r>
          </w:p>
        </w:tc>
        <w:tc>
          <w:tcPr>
            <w:tcW w:type="dxa" w:w="5102"/>
            <w:vAlign w:val="top"/>
          </w:tcPr>
          <w:p>
            <w:r/>
            <w:r>
              <w:rPr>
                <w:b w:val="0"/>
                <w:sz w:val="15"/>
              </w:rPr>
              <w:t>"{historical_name}" ("offer document" OR "offer circular") filetype:pdf</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Date lancement</w:t>
            </w:r>
          </w:p>
        </w:tc>
        <w:tc>
          <w:tcPr>
            <w:tcW w:type="dxa" w:w="5102"/>
            <w:vAlign w:val="top"/>
          </w:tcPr>
          <w:p>
            <w:r/>
            <w:r>
              <w:rPr>
                <w:b w:val="0"/>
                <w:sz w:val="15"/>
              </w:rPr>
              <w:t>"{historical_name}" (launched OR inception OR commenced OR established)</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Prix initial</w:t>
            </w:r>
          </w:p>
        </w:tc>
        <w:tc>
          <w:tcPr>
            <w:tcW w:type="dxa" w:w="5102"/>
            <w:vAlign w:val="top"/>
          </w:tcPr>
          <w:p>
            <w:r/>
            <w:r>
              <w:rPr>
                <w:b w:val="0"/>
                <w:sz w:val="15"/>
              </w:rPr>
              <w:t>"{historical_name}" ("initial offer price" OR "initial unit price" OR "par value")</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Renommage</w:t>
            </w:r>
          </w:p>
        </w:tc>
        <w:tc>
          <w:tcPr>
            <w:tcW w:type="dxa" w:w="5102"/>
            <w:vAlign w:val="top"/>
          </w:tcPr>
          <w:p>
            <w:r/>
            <w:r>
              <w:rPr>
                <w:b w:val="0"/>
                <w:sz w:val="15"/>
              </w:rPr>
              <w:t>"{historical_name}" (renamed OR "formerly known as" OR rebranded)</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Transfert gestion</w:t>
            </w:r>
          </w:p>
        </w:tc>
        <w:tc>
          <w:tcPr>
            <w:tcW w:type="dxa" w:w="5102"/>
            <w:vAlign w:val="top"/>
          </w:tcPr>
          <w:p>
            <w:r/>
            <w:r>
              <w:rPr>
                <w:b w:val="0"/>
                <w:sz w:val="15"/>
              </w:rPr>
              <w:t>"{historical_name}" ("change of fund manager" OR transferred OR transfer)</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Fusion</w:t>
            </w:r>
          </w:p>
        </w:tc>
        <w:tc>
          <w:tcPr>
            <w:tcW w:type="dxa" w:w="5102"/>
            <w:vAlign w:val="top"/>
          </w:tcPr>
          <w:p>
            <w:r/>
            <w:r>
              <w:rPr>
                <w:b w:val="0"/>
                <w:sz w:val="15"/>
              </w:rPr>
              <w:t>"{historical_name}" (merger OR merged OR amalgamation OR absorption)</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Liquidation</w:t>
            </w:r>
          </w:p>
        </w:tc>
        <w:tc>
          <w:tcPr>
            <w:tcW w:type="dxa" w:w="5102"/>
            <w:vAlign w:val="top"/>
          </w:tcPr>
          <w:p>
            <w:r/>
            <w:r>
              <w:rPr>
                <w:b w:val="0"/>
                <w:sz w:val="15"/>
              </w:rPr>
              <w:t>"{historical_name}" (liquidation OR "winding up" OR termination OR dissolved)</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Suspension</w:t>
            </w:r>
          </w:p>
        </w:tc>
        <w:tc>
          <w:tcPr>
            <w:tcW w:type="dxa" w:w="5102"/>
            <w:vAlign w:val="top"/>
          </w:tcPr>
          <w:p>
            <w:r/>
            <w:r>
              <w:rPr>
                <w:b w:val="0"/>
                <w:sz w:val="15"/>
              </w:rPr>
              <w:t>"{historical_name}" (suspended OR suspension OR frozen)</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Distribution</w:t>
            </w:r>
          </w:p>
        </w:tc>
        <w:tc>
          <w:tcPr>
            <w:tcW w:type="dxa" w:w="5102"/>
            <w:vAlign w:val="top"/>
          </w:tcPr>
          <w:p>
            <w:r/>
            <w:r>
              <w:rPr>
                <w:b w:val="0"/>
                <w:sz w:val="15"/>
              </w:rPr>
              <w:t>"{historical_name}" (dividend OR distribution OR income distribution)</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Benchmark</w:t>
            </w:r>
          </w:p>
        </w:tc>
        <w:tc>
          <w:tcPr>
            <w:tcW w:type="dxa" w:w="5102"/>
            <w:vAlign w:val="top"/>
          </w:tcPr>
          <w:p>
            <w:r/>
            <w:r>
              <w:rPr>
                <w:b w:val="0"/>
                <w:sz w:val="15"/>
              </w:rPr>
              <w:t>"{historical_name}" benchmark</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Minimum</w:t>
            </w:r>
          </w:p>
        </w:tc>
        <w:tc>
          <w:tcPr>
            <w:tcW w:type="dxa" w:w="5102"/>
            <w:vAlign w:val="top"/>
          </w:tcPr>
          <w:p>
            <w:r/>
            <w:r>
              <w:rPr>
                <w:b w:val="0"/>
                <w:sz w:val="15"/>
              </w:rPr>
              <w:t>"{historical_name}" ("minimum subscription" OR "minimum investment")</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Frais</w:t>
            </w:r>
          </w:p>
        </w:tc>
        <w:tc>
          <w:tcPr>
            <w:tcW w:type="dxa" w:w="5102"/>
            <w:vAlign w:val="top"/>
          </w:tcPr>
          <w:p>
            <w:r/>
            <w:r>
              <w:rPr>
                <w:b w:val="0"/>
                <w:sz w:val="15"/>
              </w:rPr>
              <w:t>"{historical_name}" (management fee OR trustee fee OR custodian fee OR expense ratio)</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Gestionnaire + année</w:t>
            </w:r>
          </w:p>
        </w:tc>
        <w:tc>
          <w:tcPr>
            <w:tcW w:type="dxa" w:w="5102"/>
            <w:vAlign w:val="top"/>
          </w:tcPr>
          <w:p>
            <w:r/>
            <w:r>
              <w:rPr>
                <w:b w:val="0"/>
                <w:sz w:val="15"/>
              </w:rPr>
              <w:t>"{historical_name}" "{manager_name}" {year}</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Archives</w:t>
            </w:r>
          </w:p>
        </w:tc>
        <w:tc>
          <w:tcPr>
            <w:tcW w:type="dxa" w:w="5102"/>
            <w:vAlign w:val="top"/>
          </w:tcPr>
          <w:p>
            <w:r/>
            <w:r>
              <w:rPr>
                <w:b w:val="0"/>
                <w:sz w:val="15"/>
              </w:rPr>
              <w:t>site:webcache OR site:web.archive.org "{historical_name}"</w:t>
            </w:r>
          </w:p>
        </w:tc>
        <w:tc>
          <w:tcPr>
            <w:tcW w:type="dxa" w:w="3969"/>
            <w:vAlign w:val="top"/>
          </w:tcPr>
          <w:p>
            <w:r/>
            <w:r>
              <w:rPr>
                <w:b w:val="0"/>
                <w:sz w:val="15"/>
              </w:rPr>
              <w:t>Rechercher aussi variantes d’apostrophes, tirets, Ltd/Limited, Fund/Funds et anciennes marques.</w:t>
            </w:r>
          </w:p>
        </w:tc>
      </w:tr>
      <w:tr>
        <w:trPr>
          <w:cantSplit/>
        </w:trPr>
        <w:tc>
          <w:tcPr>
            <w:tcW w:type="dxa" w:w="2551"/>
            <w:vAlign w:val="top"/>
          </w:tcPr>
          <w:p>
            <w:r/>
            <w:r>
              <w:rPr>
                <w:b w:val="0"/>
                <w:sz w:val="15"/>
              </w:rPr>
              <w:t>OCR anciens PDF</w:t>
            </w:r>
          </w:p>
        </w:tc>
        <w:tc>
          <w:tcPr>
            <w:tcW w:type="dxa" w:w="5102"/>
            <w:vAlign w:val="top"/>
          </w:tcPr>
          <w:p>
            <w:r/>
            <w:r>
              <w:rPr>
                <w:b w:val="0"/>
                <w:sz w:val="15"/>
              </w:rPr>
              <w:t>"{historical_name}" filetype:pdf before:{year_end}-01-01 after:{year_start}-01-01</w:t>
            </w:r>
          </w:p>
        </w:tc>
        <w:tc>
          <w:tcPr>
            <w:tcW w:type="dxa" w:w="3969"/>
            <w:vAlign w:val="top"/>
          </w:tcPr>
          <w:p>
            <w:r/>
            <w:r>
              <w:rPr>
                <w:b w:val="0"/>
                <w:sz w:val="15"/>
              </w:rPr>
              <w:t>Rechercher aussi variantes d’apostrophes, tirets, Ltd/Limited, Fund/Funds et anciennes marques.</w:t>
            </w:r>
          </w:p>
        </w:tc>
      </w:tr>
    </w:tbl>
    <w:p/>
    <w:tbl>
      <w:tblPr>
        <w:tblStyle w:val="TableGrid"/>
        <w:tblW w:type="auto" w:w="0"/>
        <w:jc w:val="center"/>
        <w:tblLook w:firstColumn="1" w:firstRow="1" w:lastColumn="0" w:lastRow="0" w:noHBand="0" w:noVBand="1" w:val="04A0"/>
      </w:tblPr>
      <w:tblGrid>
        <w:gridCol w:w="3450"/>
        <w:gridCol w:w="3450"/>
        <w:gridCol w:w="3450"/>
        <w:gridCol w:w="3450"/>
      </w:tblGrid>
      <w:tr>
        <w:trPr>
          <w:tblHeader w:val="true"/>
        </w:trPr>
        <w:tc>
          <w:tcPr>
            <w:tcW w:type="dxa" w:w="1417"/>
            <w:vAlign w:val="top"/>
            <w:shd w:fill="1F4E78"/>
          </w:tcPr>
          <w:p>
            <w:r>
              <w:rPr>
                <w:color w:val="FFFFFF"/>
              </w:rPr>
            </w:r>
            <w:r>
              <w:rPr>
                <w:b/>
                <w:color w:val="FFFFFF"/>
                <w:sz w:val="14"/>
              </w:rPr>
              <w:t>Code</w:t>
            </w:r>
          </w:p>
        </w:tc>
        <w:tc>
          <w:tcPr>
            <w:tcW w:type="dxa" w:w="2835"/>
            <w:vAlign w:val="top"/>
            <w:shd w:fill="1F4E78"/>
          </w:tcPr>
          <w:p>
            <w:r>
              <w:rPr>
                <w:color w:val="FFFFFF"/>
              </w:rPr>
            </w:r>
            <w:r>
              <w:rPr>
                <w:b/>
                <w:color w:val="FFFFFF"/>
                <w:sz w:val="14"/>
              </w:rPr>
              <w:t>Événement recherché</w:t>
            </w:r>
          </w:p>
        </w:tc>
        <w:tc>
          <w:tcPr>
            <w:tcW w:type="dxa" w:w="4535"/>
            <w:vAlign w:val="top"/>
            <w:shd w:fill="1F4E78"/>
          </w:tcPr>
          <w:p>
            <w:r>
              <w:rPr>
                <w:color w:val="FFFFFF"/>
              </w:rPr>
            </w:r>
            <w:r>
              <w:rPr>
                <w:b/>
                <w:color w:val="FFFFFF"/>
                <w:sz w:val="14"/>
              </w:rPr>
              <w:t>Requête exacte</w:t>
            </w:r>
          </w:p>
        </w:tc>
        <w:tc>
          <w:tcPr>
            <w:tcW w:type="dxa" w:w="3969"/>
            <w:vAlign w:val="top"/>
            <w:shd w:fill="1F4E78"/>
          </w:tcPr>
          <w:p>
            <w:r>
              <w:rPr>
                <w:color w:val="FFFFFF"/>
              </w:rPr>
            </w:r>
            <w:r>
              <w:rPr>
                <w:b/>
                <w:color w:val="FFFFFF"/>
                <w:sz w:val="14"/>
              </w:rPr>
              <w:t>Extension</w:t>
            </w:r>
          </w:p>
        </w:tc>
      </w:tr>
      <w:tr>
        <w:trPr>
          <w:cantSplit/>
        </w:trPr>
        <w:tc>
          <w:tcPr>
            <w:tcW w:type="dxa" w:w="1417"/>
            <w:vAlign w:val="top"/>
          </w:tcPr>
          <w:p>
            <w:r/>
            <w:r>
              <w:rPr>
                <w:b w:val="0"/>
                <w:sz w:val="14"/>
              </w:rPr>
              <w:t>Q-EVT-01</w:t>
            </w:r>
          </w:p>
        </w:tc>
        <w:tc>
          <w:tcPr>
            <w:tcW w:type="dxa" w:w="2835"/>
            <w:vAlign w:val="top"/>
          </w:tcPr>
          <w:p>
            <w:r/>
            <w:r>
              <w:rPr>
                <w:b w:val="0"/>
                <w:sz w:val="14"/>
              </w:rPr>
              <w:t>rename</w:t>
            </w:r>
          </w:p>
        </w:tc>
        <w:tc>
          <w:tcPr>
            <w:tcW w:type="dxa" w:w="4535"/>
            <w:vAlign w:val="top"/>
          </w:tcPr>
          <w:p>
            <w:r/>
            <w:r>
              <w:rPr>
                <w:b w:val="0"/>
                <w:sz w:val="14"/>
              </w:rPr>
              <w:t>"{historical_name}" "rename"</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Q-EVT-02</w:t>
            </w:r>
          </w:p>
        </w:tc>
        <w:tc>
          <w:tcPr>
            <w:tcW w:type="dxa" w:w="2835"/>
            <w:vAlign w:val="top"/>
          </w:tcPr>
          <w:p>
            <w:r/>
            <w:r>
              <w:rPr>
                <w:b w:val="0"/>
                <w:sz w:val="14"/>
              </w:rPr>
              <w:t>formerly known as</w:t>
            </w:r>
          </w:p>
        </w:tc>
        <w:tc>
          <w:tcPr>
            <w:tcW w:type="dxa" w:w="4535"/>
            <w:vAlign w:val="top"/>
          </w:tcPr>
          <w:p>
            <w:r/>
            <w:r>
              <w:rPr>
                <w:b w:val="0"/>
                <w:sz w:val="14"/>
              </w:rPr>
              <w:t>"{historical_name}" "formerly known as"</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Q-EVT-03</w:t>
            </w:r>
          </w:p>
        </w:tc>
        <w:tc>
          <w:tcPr>
            <w:tcW w:type="dxa" w:w="2835"/>
            <w:vAlign w:val="top"/>
          </w:tcPr>
          <w:p>
            <w:r/>
            <w:r>
              <w:rPr>
                <w:b w:val="0"/>
                <w:sz w:val="14"/>
              </w:rPr>
              <w:t>change of name</w:t>
            </w:r>
          </w:p>
        </w:tc>
        <w:tc>
          <w:tcPr>
            <w:tcW w:type="dxa" w:w="4535"/>
            <w:vAlign w:val="top"/>
          </w:tcPr>
          <w:p>
            <w:r/>
            <w:r>
              <w:rPr>
                <w:b w:val="0"/>
                <w:sz w:val="14"/>
              </w:rPr>
              <w:t>"{historical_name}" "change of name"</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Q-EVT-04</w:t>
            </w:r>
          </w:p>
        </w:tc>
        <w:tc>
          <w:tcPr>
            <w:tcW w:type="dxa" w:w="2835"/>
            <w:vAlign w:val="top"/>
          </w:tcPr>
          <w:p>
            <w:r/>
            <w:r>
              <w:rPr>
                <w:b w:val="0"/>
                <w:sz w:val="14"/>
              </w:rPr>
              <w:t>change of fund manager</w:t>
            </w:r>
          </w:p>
        </w:tc>
        <w:tc>
          <w:tcPr>
            <w:tcW w:type="dxa" w:w="4535"/>
            <w:vAlign w:val="top"/>
          </w:tcPr>
          <w:p>
            <w:r/>
            <w:r>
              <w:rPr>
                <w:b w:val="0"/>
                <w:sz w:val="14"/>
              </w:rPr>
              <w:t>"{historical_name}" "change of fund manager"</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Q-EVT-05</w:t>
            </w:r>
          </w:p>
        </w:tc>
        <w:tc>
          <w:tcPr>
            <w:tcW w:type="dxa" w:w="2835"/>
            <w:vAlign w:val="top"/>
          </w:tcPr>
          <w:p>
            <w:r/>
            <w:r>
              <w:rPr>
                <w:b w:val="0"/>
                <w:sz w:val="14"/>
              </w:rPr>
              <w:t>transfer of management</w:t>
            </w:r>
          </w:p>
        </w:tc>
        <w:tc>
          <w:tcPr>
            <w:tcW w:type="dxa" w:w="4535"/>
            <w:vAlign w:val="top"/>
          </w:tcPr>
          <w:p>
            <w:r/>
            <w:r>
              <w:rPr>
                <w:b w:val="0"/>
                <w:sz w:val="14"/>
              </w:rPr>
              <w:t>"{historical_name}" "transfer of management"</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Q-EVT-06</w:t>
            </w:r>
          </w:p>
        </w:tc>
        <w:tc>
          <w:tcPr>
            <w:tcW w:type="dxa" w:w="2835"/>
            <w:vAlign w:val="top"/>
          </w:tcPr>
          <w:p>
            <w:r/>
            <w:r>
              <w:rPr>
                <w:b w:val="0"/>
                <w:sz w:val="14"/>
              </w:rPr>
              <w:t>merger</w:t>
            </w:r>
          </w:p>
        </w:tc>
        <w:tc>
          <w:tcPr>
            <w:tcW w:type="dxa" w:w="4535"/>
            <w:vAlign w:val="top"/>
          </w:tcPr>
          <w:p>
            <w:r/>
            <w:r>
              <w:rPr>
                <w:b w:val="0"/>
                <w:sz w:val="14"/>
              </w:rPr>
              <w:t>"{historical_name}" "merger"</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Q-EVT-07</w:t>
            </w:r>
          </w:p>
        </w:tc>
        <w:tc>
          <w:tcPr>
            <w:tcW w:type="dxa" w:w="2835"/>
            <w:vAlign w:val="top"/>
          </w:tcPr>
          <w:p>
            <w:r/>
            <w:r>
              <w:rPr>
                <w:b w:val="0"/>
                <w:sz w:val="14"/>
              </w:rPr>
              <w:t>scheme of merger</w:t>
            </w:r>
          </w:p>
        </w:tc>
        <w:tc>
          <w:tcPr>
            <w:tcW w:type="dxa" w:w="4535"/>
            <w:vAlign w:val="top"/>
          </w:tcPr>
          <w:p>
            <w:r/>
            <w:r>
              <w:rPr>
                <w:b w:val="0"/>
                <w:sz w:val="14"/>
              </w:rPr>
              <w:t>"{historical_name}" "scheme of merger"</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Q-EVT-08</w:t>
            </w:r>
          </w:p>
        </w:tc>
        <w:tc>
          <w:tcPr>
            <w:tcW w:type="dxa" w:w="2835"/>
            <w:vAlign w:val="top"/>
          </w:tcPr>
          <w:p>
            <w:r/>
            <w:r>
              <w:rPr>
                <w:b w:val="0"/>
                <w:sz w:val="14"/>
              </w:rPr>
              <w:t>amalgamation</w:t>
            </w:r>
          </w:p>
        </w:tc>
        <w:tc>
          <w:tcPr>
            <w:tcW w:type="dxa" w:w="4535"/>
            <w:vAlign w:val="top"/>
          </w:tcPr>
          <w:p>
            <w:r/>
            <w:r>
              <w:rPr>
                <w:b w:val="0"/>
                <w:sz w:val="14"/>
              </w:rPr>
              <w:t>"{historical_name}" "amalgamation"</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Q-EVT-09</w:t>
            </w:r>
          </w:p>
        </w:tc>
        <w:tc>
          <w:tcPr>
            <w:tcW w:type="dxa" w:w="2835"/>
            <w:vAlign w:val="top"/>
          </w:tcPr>
          <w:p>
            <w:r/>
            <w:r>
              <w:rPr>
                <w:b w:val="0"/>
                <w:sz w:val="14"/>
              </w:rPr>
              <w:t>absorption</w:t>
            </w:r>
          </w:p>
        </w:tc>
        <w:tc>
          <w:tcPr>
            <w:tcW w:type="dxa" w:w="4535"/>
            <w:vAlign w:val="top"/>
          </w:tcPr>
          <w:p>
            <w:r/>
            <w:r>
              <w:rPr>
                <w:b w:val="0"/>
                <w:sz w:val="14"/>
              </w:rPr>
              <w:t>"{historical_name}" "absorption"</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Q-EVT-10</w:t>
            </w:r>
          </w:p>
        </w:tc>
        <w:tc>
          <w:tcPr>
            <w:tcW w:type="dxa" w:w="2835"/>
            <w:vAlign w:val="top"/>
          </w:tcPr>
          <w:p>
            <w:r/>
            <w:r>
              <w:rPr>
                <w:b w:val="0"/>
                <w:sz w:val="14"/>
              </w:rPr>
              <w:t>takeover</w:t>
            </w:r>
          </w:p>
        </w:tc>
        <w:tc>
          <w:tcPr>
            <w:tcW w:type="dxa" w:w="4535"/>
            <w:vAlign w:val="top"/>
          </w:tcPr>
          <w:p>
            <w:r/>
            <w:r>
              <w:rPr>
                <w:b w:val="0"/>
                <w:sz w:val="14"/>
              </w:rPr>
              <w:t>"{historical_name}" "takeover"</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Q-EVT-11</w:t>
            </w:r>
          </w:p>
        </w:tc>
        <w:tc>
          <w:tcPr>
            <w:tcW w:type="dxa" w:w="2835"/>
            <w:vAlign w:val="top"/>
          </w:tcPr>
          <w:p>
            <w:r/>
            <w:r>
              <w:rPr>
                <w:b w:val="0"/>
                <w:sz w:val="14"/>
              </w:rPr>
              <w:t>winding up</w:t>
            </w:r>
          </w:p>
        </w:tc>
        <w:tc>
          <w:tcPr>
            <w:tcW w:type="dxa" w:w="4535"/>
            <w:vAlign w:val="top"/>
          </w:tcPr>
          <w:p>
            <w:r/>
            <w:r>
              <w:rPr>
                <w:b w:val="0"/>
                <w:sz w:val="14"/>
              </w:rPr>
              <w:t>"{historical_name}" "winding up"</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Q-EVT-12</w:t>
            </w:r>
          </w:p>
        </w:tc>
        <w:tc>
          <w:tcPr>
            <w:tcW w:type="dxa" w:w="2835"/>
            <w:vAlign w:val="top"/>
          </w:tcPr>
          <w:p>
            <w:r/>
            <w:r>
              <w:rPr>
                <w:b w:val="0"/>
                <w:sz w:val="14"/>
              </w:rPr>
              <w:t>liquidation</w:t>
            </w:r>
          </w:p>
        </w:tc>
        <w:tc>
          <w:tcPr>
            <w:tcW w:type="dxa" w:w="4535"/>
            <w:vAlign w:val="top"/>
          </w:tcPr>
          <w:p>
            <w:r/>
            <w:r>
              <w:rPr>
                <w:b w:val="0"/>
                <w:sz w:val="14"/>
              </w:rPr>
              <w:t>"{historical_name}" "liquidation"</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Q-EVT-13</w:t>
            </w:r>
          </w:p>
        </w:tc>
        <w:tc>
          <w:tcPr>
            <w:tcW w:type="dxa" w:w="2835"/>
            <w:vAlign w:val="top"/>
          </w:tcPr>
          <w:p>
            <w:r/>
            <w:r>
              <w:rPr>
                <w:b w:val="0"/>
                <w:sz w:val="14"/>
              </w:rPr>
              <w:t>termination</w:t>
            </w:r>
          </w:p>
        </w:tc>
        <w:tc>
          <w:tcPr>
            <w:tcW w:type="dxa" w:w="4535"/>
            <w:vAlign w:val="top"/>
          </w:tcPr>
          <w:p>
            <w:r/>
            <w:r>
              <w:rPr>
                <w:b w:val="0"/>
                <w:sz w:val="14"/>
              </w:rPr>
              <w:t>"{historical_name}" "termination"</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Q-EVT-14</w:t>
            </w:r>
          </w:p>
        </w:tc>
        <w:tc>
          <w:tcPr>
            <w:tcW w:type="dxa" w:w="2835"/>
            <w:vAlign w:val="top"/>
          </w:tcPr>
          <w:p>
            <w:r/>
            <w:r>
              <w:rPr>
                <w:b w:val="0"/>
                <w:sz w:val="14"/>
              </w:rPr>
              <w:t>closure</w:t>
            </w:r>
          </w:p>
        </w:tc>
        <w:tc>
          <w:tcPr>
            <w:tcW w:type="dxa" w:w="4535"/>
            <w:vAlign w:val="top"/>
          </w:tcPr>
          <w:p>
            <w:r/>
            <w:r>
              <w:rPr>
                <w:b w:val="0"/>
                <w:sz w:val="14"/>
              </w:rPr>
              <w:t>"{historical_name}" "closure"</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Q-EVT-15</w:t>
            </w:r>
          </w:p>
        </w:tc>
        <w:tc>
          <w:tcPr>
            <w:tcW w:type="dxa" w:w="2835"/>
            <w:vAlign w:val="top"/>
          </w:tcPr>
          <w:p>
            <w:r/>
            <w:r>
              <w:rPr>
                <w:b w:val="0"/>
                <w:sz w:val="14"/>
              </w:rPr>
              <w:t>suspension</w:t>
            </w:r>
          </w:p>
        </w:tc>
        <w:tc>
          <w:tcPr>
            <w:tcW w:type="dxa" w:w="4535"/>
            <w:vAlign w:val="top"/>
          </w:tcPr>
          <w:p>
            <w:r/>
            <w:r>
              <w:rPr>
                <w:b w:val="0"/>
                <w:sz w:val="14"/>
              </w:rPr>
              <w:t>"{historical_name}" "suspension"</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Q-EVT-16</w:t>
            </w:r>
          </w:p>
        </w:tc>
        <w:tc>
          <w:tcPr>
            <w:tcW w:type="dxa" w:w="2835"/>
            <w:vAlign w:val="top"/>
          </w:tcPr>
          <w:p>
            <w:r/>
            <w:r>
              <w:rPr>
                <w:b w:val="0"/>
                <w:sz w:val="14"/>
              </w:rPr>
              <w:t>re-opening</w:t>
            </w:r>
          </w:p>
        </w:tc>
        <w:tc>
          <w:tcPr>
            <w:tcW w:type="dxa" w:w="4535"/>
            <w:vAlign w:val="top"/>
          </w:tcPr>
          <w:p>
            <w:r/>
            <w:r>
              <w:rPr>
                <w:b w:val="0"/>
                <w:sz w:val="14"/>
              </w:rPr>
              <w:t>"{historical_name}" "re-opening"</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Q-EVT-17</w:t>
            </w:r>
          </w:p>
        </w:tc>
        <w:tc>
          <w:tcPr>
            <w:tcW w:type="dxa" w:w="2835"/>
            <w:vAlign w:val="top"/>
          </w:tcPr>
          <w:p>
            <w:r/>
            <w:r>
              <w:rPr>
                <w:b w:val="0"/>
                <w:sz w:val="14"/>
              </w:rPr>
              <w:t>additional units</w:t>
            </w:r>
          </w:p>
        </w:tc>
        <w:tc>
          <w:tcPr>
            <w:tcW w:type="dxa" w:w="4535"/>
            <w:vAlign w:val="top"/>
          </w:tcPr>
          <w:p>
            <w:r/>
            <w:r>
              <w:rPr>
                <w:b w:val="0"/>
                <w:sz w:val="14"/>
              </w:rPr>
              <w:t>"{historical_name}" "additional units"</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Q-EVT-18</w:t>
            </w:r>
          </w:p>
        </w:tc>
        <w:tc>
          <w:tcPr>
            <w:tcW w:type="dxa" w:w="2835"/>
            <w:vAlign w:val="top"/>
          </w:tcPr>
          <w:p>
            <w:r/>
            <w:r>
              <w:rPr>
                <w:b w:val="0"/>
                <w:sz w:val="14"/>
              </w:rPr>
              <w:t>supplemental prospectus</w:t>
            </w:r>
          </w:p>
        </w:tc>
        <w:tc>
          <w:tcPr>
            <w:tcW w:type="dxa" w:w="4535"/>
            <w:vAlign w:val="top"/>
          </w:tcPr>
          <w:p>
            <w:r/>
            <w:r>
              <w:rPr>
                <w:b w:val="0"/>
                <w:sz w:val="14"/>
              </w:rPr>
              <w:t>"{historical_name}" "supplemental prospectus"</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Q-EVT-19</w:t>
            </w:r>
          </w:p>
        </w:tc>
        <w:tc>
          <w:tcPr>
            <w:tcW w:type="dxa" w:w="2835"/>
            <w:vAlign w:val="top"/>
          </w:tcPr>
          <w:p>
            <w:r/>
            <w:r>
              <w:rPr>
                <w:b w:val="0"/>
                <w:sz w:val="14"/>
              </w:rPr>
              <w:t>change of trustee</w:t>
            </w:r>
          </w:p>
        </w:tc>
        <w:tc>
          <w:tcPr>
            <w:tcW w:type="dxa" w:w="4535"/>
            <w:vAlign w:val="top"/>
          </w:tcPr>
          <w:p>
            <w:r/>
            <w:r>
              <w:rPr>
                <w:b w:val="0"/>
                <w:sz w:val="14"/>
              </w:rPr>
              <w:t>"{historical_name}" "change of trustee"</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Q-EVT-20</w:t>
            </w:r>
          </w:p>
        </w:tc>
        <w:tc>
          <w:tcPr>
            <w:tcW w:type="dxa" w:w="2835"/>
            <w:vAlign w:val="top"/>
          </w:tcPr>
          <w:p>
            <w:r/>
            <w:r>
              <w:rPr>
                <w:b w:val="0"/>
                <w:sz w:val="14"/>
              </w:rPr>
              <w:t>change of custodian</w:t>
            </w:r>
          </w:p>
        </w:tc>
        <w:tc>
          <w:tcPr>
            <w:tcW w:type="dxa" w:w="4535"/>
            <w:vAlign w:val="top"/>
          </w:tcPr>
          <w:p>
            <w:r/>
            <w:r>
              <w:rPr>
                <w:b w:val="0"/>
                <w:sz w:val="14"/>
              </w:rPr>
              <w:t>"{historical_name}" "change of custodian"</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Q-EVT-21</w:t>
            </w:r>
          </w:p>
        </w:tc>
        <w:tc>
          <w:tcPr>
            <w:tcW w:type="dxa" w:w="2835"/>
            <w:vAlign w:val="top"/>
          </w:tcPr>
          <w:p>
            <w:r/>
            <w:r>
              <w:rPr>
                <w:b w:val="0"/>
                <w:sz w:val="14"/>
              </w:rPr>
              <w:t>change of benchmark</w:t>
            </w:r>
          </w:p>
        </w:tc>
        <w:tc>
          <w:tcPr>
            <w:tcW w:type="dxa" w:w="4535"/>
            <w:vAlign w:val="top"/>
          </w:tcPr>
          <w:p>
            <w:r/>
            <w:r>
              <w:rPr>
                <w:b w:val="0"/>
                <w:sz w:val="14"/>
              </w:rPr>
              <w:t>"{historical_name}" "change of benchmark"</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Q-EVT-22</w:t>
            </w:r>
          </w:p>
        </w:tc>
        <w:tc>
          <w:tcPr>
            <w:tcW w:type="dxa" w:w="2835"/>
            <w:vAlign w:val="top"/>
          </w:tcPr>
          <w:p>
            <w:r/>
            <w:r>
              <w:rPr>
                <w:b w:val="0"/>
                <w:sz w:val="14"/>
              </w:rPr>
              <w:t>change of investment objective</w:t>
            </w:r>
          </w:p>
        </w:tc>
        <w:tc>
          <w:tcPr>
            <w:tcW w:type="dxa" w:w="4535"/>
            <w:vAlign w:val="top"/>
          </w:tcPr>
          <w:p>
            <w:r/>
            <w:r>
              <w:rPr>
                <w:b w:val="0"/>
                <w:sz w:val="14"/>
              </w:rPr>
              <w:t>"{historical_name}" "change of investment objective"</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Q-EVT-23</w:t>
            </w:r>
          </w:p>
        </w:tc>
        <w:tc>
          <w:tcPr>
            <w:tcW w:type="dxa" w:w="2835"/>
            <w:vAlign w:val="top"/>
          </w:tcPr>
          <w:p>
            <w:r/>
            <w:r>
              <w:rPr>
                <w:b w:val="0"/>
                <w:sz w:val="14"/>
              </w:rPr>
              <w:t>change of base currency</w:t>
            </w:r>
          </w:p>
        </w:tc>
        <w:tc>
          <w:tcPr>
            <w:tcW w:type="dxa" w:w="4535"/>
            <w:vAlign w:val="top"/>
          </w:tcPr>
          <w:p>
            <w:r/>
            <w:r>
              <w:rPr>
                <w:b w:val="0"/>
                <w:sz w:val="14"/>
              </w:rPr>
              <w:t>"{historical_name}" "change of base currency"</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Q-EVT-24</w:t>
            </w:r>
          </w:p>
        </w:tc>
        <w:tc>
          <w:tcPr>
            <w:tcW w:type="dxa" w:w="2835"/>
            <w:vAlign w:val="top"/>
          </w:tcPr>
          <w:p>
            <w:r/>
            <w:r>
              <w:rPr>
                <w:b w:val="0"/>
                <w:sz w:val="14"/>
              </w:rPr>
              <w:t>unit split</w:t>
            </w:r>
          </w:p>
        </w:tc>
        <w:tc>
          <w:tcPr>
            <w:tcW w:type="dxa" w:w="4535"/>
            <w:vAlign w:val="top"/>
          </w:tcPr>
          <w:p>
            <w:r/>
            <w:r>
              <w:rPr>
                <w:b w:val="0"/>
                <w:sz w:val="14"/>
              </w:rPr>
              <w:t>"{historical_name}" "unit split"</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Q-EVT-25</w:t>
            </w:r>
          </w:p>
        </w:tc>
        <w:tc>
          <w:tcPr>
            <w:tcW w:type="dxa" w:w="2835"/>
            <w:vAlign w:val="top"/>
          </w:tcPr>
          <w:p>
            <w:r/>
            <w:r>
              <w:rPr>
                <w:b w:val="0"/>
                <w:sz w:val="14"/>
              </w:rPr>
              <w:t>consolidation of units</w:t>
            </w:r>
          </w:p>
        </w:tc>
        <w:tc>
          <w:tcPr>
            <w:tcW w:type="dxa" w:w="4535"/>
            <w:vAlign w:val="top"/>
          </w:tcPr>
          <w:p>
            <w:r/>
            <w:r>
              <w:rPr>
                <w:b w:val="0"/>
                <w:sz w:val="14"/>
              </w:rPr>
              <w:t>"{historical_name}" "consolidation of units"</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Q-EVT-26</w:t>
            </w:r>
          </w:p>
        </w:tc>
        <w:tc>
          <w:tcPr>
            <w:tcW w:type="dxa" w:w="2835"/>
            <w:vAlign w:val="top"/>
          </w:tcPr>
          <w:p>
            <w:r/>
            <w:r>
              <w:rPr>
                <w:b w:val="0"/>
                <w:sz w:val="14"/>
              </w:rPr>
              <w:t>distribution notice</w:t>
            </w:r>
          </w:p>
        </w:tc>
        <w:tc>
          <w:tcPr>
            <w:tcW w:type="dxa" w:w="4535"/>
            <w:vAlign w:val="top"/>
          </w:tcPr>
          <w:p>
            <w:r/>
            <w:r>
              <w:rPr>
                <w:b w:val="0"/>
                <w:sz w:val="14"/>
              </w:rPr>
              <w:t>"{historical_name}" "distribution notice"</w:t>
            </w:r>
          </w:p>
        </w:tc>
        <w:tc>
          <w:tcPr>
            <w:tcW w:type="dxa" w:w="3969"/>
            <w:vAlign w:val="top"/>
          </w:tcPr>
          <w:p>
            <w:r/>
            <w:r>
              <w:rPr>
                <w:b w:val="0"/>
                <w:sz w:val="14"/>
              </w:rPr>
              <w:t>Ajouter site:sec.gov.ng puis site:{manager_domain}; chercher les années entourant la rupture de série.</w:t>
            </w:r>
          </w:p>
        </w:tc>
      </w:tr>
      <w:tr>
        <w:trPr>
          <w:cantSplit/>
        </w:trPr>
        <w:tc>
          <w:tcPr>
            <w:tcW w:type="dxa" w:w="1417"/>
            <w:vAlign w:val="top"/>
          </w:tcPr>
          <w:p>
            <w:r/>
            <w:r>
              <w:rPr>
                <w:b w:val="0"/>
                <w:sz w:val="14"/>
              </w:rPr>
              <w:t>Q-EVT-27</w:t>
            </w:r>
          </w:p>
        </w:tc>
        <w:tc>
          <w:tcPr>
            <w:tcW w:type="dxa" w:w="2835"/>
            <w:vAlign w:val="top"/>
          </w:tcPr>
          <w:p>
            <w:r/>
            <w:r>
              <w:rPr>
                <w:b w:val="0"/>
                <w:sz w:val="14"/>
              </w:rPr>
              <w:t>dividend announcement</w:t>
            </w:r>
          </w:p>
        </w:tc>
        <w:tc>
          <w:tcPr>
            <w:tcW w:type="dxa" w:w="4535"/>
            <w:vAlign w:val="top"/>
          </w:tcPr>
          <w:p>
            <w:r/>
            <w:r>
              <w:rPr>
                <w:b w:val="0"/>
                <w:sz w:val="14"/>
              </w:rPr>
              <w:t>"{historical_name}" "dividend announcement"</w:t>
            </w:r>
          </w:p>
        </w:tc>
        <w:tc>
          <w:tcPr>
            <w:tcW w:type="dxa" w:w="3969"/>
            <w:vAlign w:val="top"/>
          </w:tcPr>
          <w:p>
            <w:r/>
            <w:r>
              <w:rPr>
                <w:b w:val="0"/>
                <w:sz w:val="14"/>
              </w:rPr>
              <w:t>Ajouter site:sec.gov.ng puis site:{manager_domain}; chercher les années entourant la rupture de série.</w:t>
            </w:r>
          </w:p>
        </w:tc>
      </w:tr>
    </w:tbl>
    <w:p/>
    <w:p>
      <w:pPr>
        <w:pStyle w:val="Heading2"/>
      </w:pPr>
      <w:r>
        <w:t>25. Procédure Wayback Machine</w:t>
      </w:r>
    </w:p>
    <w:p>
      <w:pPr>
        <w:pStyle w:val="ListNumber"/>
      </w:pPr>
      <w:r>
        <w:t>Identifier le domaine actuel et tous les anciens domaines du gestionnaire.</w:t>
      </w:r>
    </w:p>
    <w:p>
      <w:pPr>
        <w:pStyle w:val="ListNumber"/>
      </w:pPr>
      <w:r>
        <w:t>Interroger les captures de la page d’accueil, des répertoires /funds, /downloads, /resources, /factsheets, /prospectus et /uploads.</w:t>
      </w:r>
    </w:p>
    <w:p>
      <w:pPr>
        <w:pStyle w:val="ListNumber"/>
      </w:pPr>
      <w:r>
        <w:t>Chercher les anciens slugs du fonds et les variantes du nom dans les index de captures.</w:t>
      </w:r>
    </w:p>
    <w:p>
      <w:pPr>
        <w:pStyle w:val="ListNumber"/>
      </w:pPr>
      <w:r>
        <w:t>Télécharger la capture HTML et chaque document lié lorsque cela est techniquement possible.</w:t>
      </w:r>
    </w:p>
    <w:p>
      <w:pPr>
        <w:pStyle w:val="ListNumber"/>
      </w:pPr>
      <w:r>
        <w:t>Enregistrer la date de capture Wayback séparément de la date portée par le document.</w:t>
      </w:r>
    </w:p>
    <w:p>
      <w:pPr>
        <w:pStyle w:val="ListNumber"/>
      </w:pPr>
      <w:r>
        <w:t>Ne pas traiter une capture comme preuve de date de lancement si elle ne fait qu’afficher une page plus tardive.</w:t>
      </w:r>
    </w:p>
    <w:p>
      <w:pPr>
        <w:pStyle w:val="ListNumber"/>
      </w:pPr>
      <w:r>
        <w:t>Comparer plusieurs captures pour repérer la première apparition, mais qualifier cette date comme première apparition observée, non comme date juridique.</w:t>
      </w:r>
    </w:p>
    <w:p>
      <w:pPr>
        <w:sectPr>
          <w:pgSz w:w="15840" w:h="12240"/>
          <w:pgMar w:top="1020" w:right="1020" w:bottom="1020" w:left="1020" w:header="397" w:footer="397" w:gutter="0"/>
          <w:cols w:space="720"/>
          <w:docGrid w:linePitch="360"/>
        </w:sectPr>
      </w:pPr>
    </w:p>
    <w:p>
      <w:pPr>
        <w:pStyle w:val="Heading1"/>
      </w:pPr>
      <w:r>
        <w:t>PARTIE XX — ENRICHISSEMENT OPÉRATIONNEL DES 90 CHAMPS</w:t>
      </w:r>
    </w:p>
    <w:p>
      <w:r>
        <w:t>La version 1.0 définissait déjà les 90 champs logiques. La table suivante ajoute, pour chacun, une requête de découverte, la preuve minimale, un contrôle de validation et la conduite à tenir lorsqu’aucune source n’est trouvée.</w:t>
      </w:r>
    </w:p>
    <w:tbl>
      <w:tblPr>
        <w:tblStyle w:val="TableGrid"/>
        <w:tblW w:type="auto" w:w="0"/>
        <w:jc w:val="center"/>
        <w:tblLook w:firstColumn="1" w:firstRow="1" w:lastColumn="0" w:lastRow="0" w:noHBand="0" w:noVBand="1" w:val="04A0"/>
      </w:tblPr>
      <w:tblGrid>
        <w:gridCol w:w="1538"/>
        <w:gridCol w:w="1538"/>
        <w:gridCol w:w="1538"/>
        <w:gridCol w:w="1538"/>
        <w:gridCol w:w="1538"/>
        <w:gridCol w:w="1538"/>
        <w:gridCol w:w="1538"/>
      </w:tblGrid>
      <w:tr>
        <w:trPr>
          <w:tblHeader w:val="true"/>
        </w:trPr>
        <w:tc>
          <w:tcPr>
            <w:tcW w:type="dxa" w:w="567"/>
            <w:vAlign w:val="top"/>
            <w:shd w:fill="1F4E78"/>
          </w:tcPr>
          <w:p>
            <w:r>
              <w:rPr>
                <w:color w:val="FFFFFF"/>
              </w:rPr>
            </w:r>
            <w:r>
              <w:rPr>
                <w:b/>
                <w:color w:val="FFFFFF"/>
                <w:sz w:val="12"/>
              </w:rPr>
              <w:t>#</w:t>
            </w:r>
          </w:p>
        </w:tc>
        <w:tc>
          <w:tcPr>
            <w:tcW w:type="dxa" w:w="1814"/>
            <w:vAlign w:val="top"/>
            <w:shd w:fill="1F4E78"/>
          </w:tcPr>
          <w:p>
            <w:r>
              <w:rPr>
                <w:color w:val="FFFFFF"/>
              </w:rPr>
            </w:r>
            <w:r>
              <w:rPr>
                <w:b/>
                <w:color w:val="FFFFFF"/>
                <w:sz w:val="12"/>
              </w:rPr>
              <w:t>Bloc</w:t>
            </w:r>
          </w:p>
        </w:tc>
        <w:tc>
          <w:tcPr>
            <w:tcW w:type="dxa" w:w="2381"/>
            <w:vAlign w:val="top"/>
            <w:shd w:fill="1F4E78"/>
          </w:tcPr>
          <w:p>
            <w:r>
              <w:rPr>
                <w:color w:val="FFFFFF"/>
              </w:rPr>
            </w:r>
            <w:r>
              <w:rPr>
                <w:b/>
                <w:color w:val="FFFFFF"/>
                <w:sz w:val="12"/>
              </w:rPr>
              <w:t>Champ</w:t>
            </w:r>
          </w:p>
        </w:tc>
        <w:tc>
          <w:tcPr>
            <w:tcW w:type="dxa" w:w="4252"/>
            <w:vAlign w:val="top"/>
            <w:shd w:fill="1F4E78"/>
          </w:tcPr>
          <w:p>
            <w:r>
              <w:rPr>
                <w:color w:val="FFFFFF"/>
              </w:rPr>
            </w:r>
            <w:r>
              <w:rPr>
                <w:b/>
                <w:color w:val="FFFFFF"/>
                <w:sz w:val="12"/>
              </w:rPr>
              <w:t>Requête de départ</w:t>
            </w:r>
          </w:p>
        </w:tc>
        <w:tc>
          <w:tcPr>
            <w:tcW w:type="dxa" w:w="3118"/>
            <w:vAlign w:val="top"/>
            <w:shd w:fill="1F4E78"/>
          </w:tcPr>
          <w:p>
            <w:r>
              <w:rPr>
                <w:color w:val="FFFFFF"/>
              </w:rPr>
            </w:r>
            <w:r>
              <w:rPr>
                <w:b/>
                <w:color w:val="FFFFFF"/>
                <w:sz w:val="12"/>
              </w:rPr>
              <w:t>Preuve prioritaire</w:t>
            </w:r>
          </w:p>
        </w:tc>
        <w:tc>
          <w:tcPr>
            <w:tcW w:type="dxa" w:w="3515"/>
            <w:vAlign w:val="top"/>
            <w:shd w:fill="1F4E78"/>
          </w:tcPr>
          <w:p>
            <w:r>
              <w:rPr>
                <w:color w:val="FFFFFF"/>
              </w:rPr>
            </w:r>
            <w:r>
              <w:rPr>
                <w:b/>
                <w:color w:val="FFFFFF"/>
                <w:sz w:val="12"/>
              </w:rPr>
              <w:t>Validation</w:t>
            </w:r>
          </w:p>
        </w:tc>
        <w:tc>
          <w:tcPr>
            <w:tcW w:type="dxa" w:w="3288"/>
            <w:vAlign w:val="top"/>
            <w:shd w:fill="1F4E78"/>
          </w:tcPr>
          <w:p>
            <w:r>
              <w:rPr>
                <w:color w:val="FFFFFF"/>
              </w:rPr>
            </w:r>
            <w:r>
              <w:rPr>
                <w:b/>
                <w:color w:val="FFFFFF"/>
                <w:sz w:val="12"/>
              </w:rPr>
              <w:t>Si non trouvé</w:t>
            </w:r>
          </w:p>
        </w:tc>
      </w:tr>
      <w:tr>
        <w:trPr>
          <w:cantSplit/>
        </w:trPr>
        <w:tc>
          <w:tcPr>
            <w:tcW w:type="dxa" w:w="567"/>
            <w:vAlign w:val="top"/>
          </w:tcPr>
          <w:p>
            <w:r/>
            <w:r>
              <w:rPr>
                <w:b w:val="0"/>
                <w:sz w:val="12"/>
              </w:rPr>
              <w:t>1</w:t>
            </w:r>
          </w:p>
        </w:tc>
        <w:tc>
          <w:tcPr>
            <w:tcW w:type="dxa" w:w="1814"/>
            <w:vAlign w:val="top"/>
          </w:tcPr>
          <w:p>
            <w:r/>
            <w:r>
              <w:rPr>
                <w:b w:val="0"/>
                <w:sz w:val="12"/>
              </w:rPr>
              <w:t>Identité</w:t>
            </w:r>
          </w:p>
        </w:tc>
        <w:tc>
          <w:tcPr>
            <w:tcW w:type="dxa" w:w="2381"/>
            <w:vAlign w:val="top"/>
          </w:tcPr>
          <w:p>
            <w:r/>
            <w:r>
              <w:rPr>
                <w:b w:val="0"/>
                <w:sz w:val="12"/>
              </w:rPr>
              <w:t>Nom historique brut</w:t>
            </w:r>
          </w:p>
        </w:tc>
        <w:tc>
          <w:tcPr>
            <w:tcW w:type="dxa" w:w="4252"/>
            <w:vAlign w:val="top"/>
          </w:tcPr>
          <w:p>
            <w:r/>
            <w:r>
              <w:rPr>
                <w:b w:val="0"/>
                <w:sz w:val="12"/>
              </w:rPr>
              <w:t>"{historical_name}" (name OR "formerly known as" OR prospectus)</w:t>
            </w:r>
          </w:p>
        </w:tc>
        <w:tc>
          <w:tcPr>
            <w:tcW w:type="dxa" w:w="3118"/>
            <w:vAlign w:val="top"/>
          </w:tcPr>
          <w:p>
            <w:r/>
            <w:r>
              <w:rPr>
                <w:b w:val="0"/>
                <w:sz w:val="12"/>
              </w:rPr>
              <w:t>SEC Weekly / documents historiques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2</w:t>
            </w:r>
          </w:p>
        </w:tc>
        <w:tc>
          <w:tcPr>
            <w:tcW w:type="dxa" w:w="1814"/>
            <w:vAlign w:val="top"/>
          </w:tcPr>
          <w:p>
            <w:r/>
            <w:r>
              <w:rPr>
                <w:b w:val="0"/>
                <w:sz w:val="12"/>
              </w:rPr>
              <w:t>Identité</w:t>
            </w:r>
          </w:p>
        </w:tc>
        <w:tc>
          <w:tcPr>
            <w:tcW w:type="dxa" w:w="2381"/>
            <w:vAlign w:val="top"/>
          </w:tcPr>
          <w:p>
            <w:r/>
            <w:r>
              <w:rPr>
                <w:b w:val="0"/>
                <w:sz w:val="12"/>
              </w:rPr>
              <w:t>Nom historique normalisé</w:t>
            </w:r>
          </w:p>
        </w:tc>
        <w:tc>
          <w:tcPr>
            <w:tcW w:type="dxa" w:w="4252"/>
            <w:vAlign w:val="top"/>
          </w:tcPr>
          <w:p>
            <w:r/>
            <w:r>
              <w:rPr>
                <w:b w:val="0"/>
                <w:sz w:val="12"/>
              </w:rPr>
              <w:t>"{historical_name}" (name OR "formerly known as" OR prospectus)</w:t>
            </w:r>
          </w:p>
        </w:tc>
        <w:tc>
          <w:tcPr>
            <w:tcW w:type="dxa" w:w="3118"/>
            <w:vAlign w:val="top"/>
          </w:tcPr>
          <w:p>
            <w:r/>
            <w:r>
              <w:rPr>
                <w:b w:val="0"/>
                <w:sz w:val="12"/>
              </w:rPr>
              <w:t>Calcul interne</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3</w:t>
            </w:r>
          </w:p>
        </w:tc>
        <w:tc>
          <w:tcPr>
            <w:tcW w:type="dxa" w:w="1814"/>
            <w:vAlign w:val="top"/>
          </w:tcPr>
          <w:p>
            <w:r/>
            <w:r>
              <w:rPr>
                <w:b w:val="0"/>
                <w:sz w:val="12"/>
              </w:rPr>
              <w:t>Identité</w:t>
            </w:r>
          </w:p>
        </w:tc>
        <w:tc>
          <w:tcPr>
            <w:tcW w:type="dxa" w:w="2381"/>
            <w:vAlign w:val="top"/>
          </w:tcPr>
          <w:p>
            <w:r/>
            <w:r>
              <w:rPr>
                <w:b w:val="0"/>
                <w:sz w:val="12"/>
              </w:rPr>
              <w:t>Identifiant canonique</w:t>
            </w:r>
          </w:p>
        </w:tc>
        <w:tc>
          <w:tcPr>
            <w:tcW w:type="dxa" w:w="4252"/>
            <w:vAlign w:val="top"/>
          </w:tcPr>
          <w:p>
            <w:r/>
            <w:r>
              <w:rPr>
                <w:b w:val="0"/>
                <w:sz w:val="12"/>
              </w:rPr>
              <w:t>"{historical_name}" (name OR "formerly known as" OR prospectus)</w:t>
            </w:r>
          </w:p>
        </w:tc>
        <w:tc>
          <w:tcPr>
            <w:tcW w:type="dxa" w:w="3118"/>
            <w:vAlign w:val="top"/>
          </w:tcPr>
          <w:p>
            <w:r/>
            <w:r>
              <w:rPr>
                <w:b w:val="0"/>
                <w:sz w:val="12"/>
              </w:rPr>
              <w:t>Preuves croisées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4</w:t>
            </w:r>
          </w:p>
        </w:tc>
        <w:tc>
          <w:tcPr>
            <w:tcW w:type="dxa" w:w="1814"/>
            <w:vAlign w:val="top"/>
          </w:tcPr>
          <w:p>
            <w:r/>
            <w:r>
              <w:rPr>
                <w:b w:val="0"/>
                <w:sz w:val="12"/>
              </w:rPr>
              <w:t>Identité</w:t>
            </w:r>
          </w:p>
        </w:tc>
        <w:tc>
          <w:tcPr>
            <w:tcW w:type="dxa" w:w="2381"/>
            <w:vAlign w:val="top"/>
          </w:tcPr>
          <w:p>
            <w:r/>
            <w:r>
              <w:rPr>
                <w:b w:val="0"/>
                <w:sz w:val="12"/>
              </w:rPr>
              <w:t>Nom actuel publié</w:t>
            </w:r>
          </w:p>
        </w:tc>
        <w:tc>
          <w:tcPr>
            <w:tcW w:type="dxa" w:w="4252"/>
            <w:vAlign w:val="top"/>
          </w:tcPr>
          <w:p>
            <w:r/>
            <w:r>
              <w:rPr>
                <w:b w:val="0"/>
                <w:sz w:val="12"/>
              </w:rPr>
              <w:t>"{historical_name}" (name OR "formerly known as" OR prospectus)</w:t>
            </w:r>
          </w:p>
        </w:tc>
        <w:tc>
          <w:tcPr>
            <w:tcW w:type="dxa" w:w="3118"/>
            <w:vAlign w:val="top"/>
          </w:tcPr>
          <w:p>
            <w:r/>
            <w:r>
              <w:rPr>
                <w:b w:val="0"/>
                <w:sz w:val="12"/>
              </w:rPr>
              <w:t>SEC Weekly/Monthly + gestionnaire</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5</w:t>
            </w:r>
          </w:p>
        </w:tc>
        <w:tc>
          <w:tcPr>
            <w:tcW w:type="dxa" w:w="1814"/>
            <w:vAlign w:val="top"/>
          </w:tcPr>
          <w:p>
            <w:r/>
            <w:r>
              <w:rPr>
                <w:b w:val="0"/>
                <w:sz w:val="12"/>
              </w:rPr>
              <w:t>Identité</w:t>
            </w:r>
          </w:p>
        </w:tc>
        <w:tc>
          <w:tcPr>
            <w:tcW w:type="dxa" w:w="2381"/>
            <w:vAlign w:val="top"/>
          </w:tcPr>
          <w:p>
            <w:r/>
            <w:r>
              <w:rPr>
                <w:b w:val="0"/>
                <w:sz w:val="12"/>
              </w:rPr>
              <w:t>Nom légal actuel</w:t>
            </w:r>
          </w:p>
        </w:tc>
        <w:tc>
          <w:tcPr>
            <w:tcW w:type="dxa" w:w="4252"/>
            <w:vAlign w:val="top"/>
          </w:tcPr>
          <w:p>
            <w:r/>
            <w:r>
              <w:rPr>
                <w:b w:val="0"/>
                <w:sz w:val="12"/>
              </w:rPr>
              <w:t>"{historical_name}" (name OR "formerly known as" OR prospectus)</w:t>
            </w:r>
          </w:p>
        </w:tc>
        <w:tc>
          <w:tcPr>
            <w:tcW w:type="dxa" w:w="3118"/>
            <w:vAlign w:val="top"/>
          </w:tcPr>
          <w:p>
            <w:r/>
            <w:r>
              <w:rPr>
                <w:b w:val="0"/>
                <w:sz w:val="12"/>
              </w:rPr>
              <w:t>Prospectus/SEC/CAC</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6</w:t>
            </w:r>
          </w:p>
        </w:tc>
        <w:tc>
          <w:tcPr>
            <w:tcW w:type="dxa" w:w="1814"/>
            <w:vAlign w:val="top"/>
          </w:tcPr>
          <w:p>
            <w:r/>
            <w:r>
              <w:rPr>
                <w:b w:val="0"/>
                <w:sz w:val="12"/>
              </w:rPr>
              <w:t>Statut</w:t>
            </w:r>
          </w:p>
        </w:tc>
        <w:tc>
          <w:tcPr>
            <w:tcW w:type="dxa" w:w="2381"/>
            <w:vAlign w:val="top"/>
          </w:tcPr>
          <w:p>
            <w:r/>
            <w:r>
              <w:rPr>
                <w:b w:val="0"/>
                <w:sz w:val="12"/>
              </w:rPr>
              <w:t>Statut actuel</w:t>
            </w:r>
          </w:p>
        </w:tc>
        <w:tc>
          <w:tcPr>
            <w:tcW w:type="dxa" w:w="4252"/>
            <w:vAlign w:val="top"/>
          </w:tcPr>
          <w:p>
            <w:r/>
            <w:r>
              <w:rPr>
                <w:b w:val="0"/>
                <w:sz w:val="12"/>
              </w:rPr>
              <w:t>"{historical_name}" (status OR active OR suspended OR liquidation OR termination)</w:t>
            </w:r>
          </w:p>
        </w:tc>
        <w:tc>
          <w:tcPr>
            <w:tcW w:type="dxa" w:w="3118"/>
            <w:vAlign w:val="top"/>
          </w:tcPr>
          <w:p>
            <w:r/>
            <w:r>
              <w:rPr>
                <w:b w:val="0"/>
                <w:sz w:val="12"/>
              </w:rPr>
              <w:t>SEC + avis + publications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7</w:t>
            </w:r>
          </w:p>
        </w:tc>
        <w:tc>
          <w:tcPr>
            <w:tcW w:type="dxa" w:w="1814"/>
            <w:vAlign w:val="top"/>
          </w:tcPr>
          <w:p>
            <w:r/>
            <w:r>
              <w:rPr>
                <w:b w:val="0"/>
                <w:sz w:val="12"/>
              </w:rPr>
              <w:t>Statut</w:t>
            </w:r>
          </w:p>
        </w:tc>
        <w:tc>
          <w:tcPr>
            <w:tcW w:type="dxa" w:w="2381"/>
            <w:vAlign w:val="top"/>
          </w:tcPr>
          <w:p>
            <w:r/>
            <w:r>
              <w:rPr>
                <w:b w:val="0"/>
                <w:sz w:val="12"/>
              </w:rPr>
              <w:t>Date d’effet du statut actuel</w:t>
            </w:r>
          </w:p>
        </w:tc>
        <w:tc>
          <w:tcPr>
            <w:tcW w:type="dxa" w:w="4252"/>
            <w:vAlign w:val="top"/>
          </w:tcPr>
          <w:p>
            <w:r/>
            <w:r>
              <w:rPr>
                <w:b w:val="0"/>
                <w:sz w:val="12"/>
              </w:rPr>
              <w:t>"{historical_name}" (status OR active OR suspended OR liquidation OR termination)</w:t>
            </w:r>
          </w:p>
        </w:tc>
        <w:tc>
          <w:tcPr>
            <w:tcW w:type="dxa" w:w="3118"/>
            <w:vAlign w:val="top"/>
          </w:tcPr>
          <w:p>
            <w:r/>
            <w:r>
              <w:rPr>
                <w:b w:val="0"/>
                <w:sz w:val="12"/>
              </w:rPr>
              <w:t>Avis SEC, rapport, prospectus ou publication officielle</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8</w:t>
            </w:r>
          </w:p>
        </w:tc>
        <w:tc>
          <w:tcPr>
            <w:tcW w:type="dxa" w:w="1814"/>
            <w:vAlign w:val="top"/>
          </w:tcPr>
          <w:p>
            <w:r/>
            <w:r>
              <w:rPr>
                <w:b w:val="0"/>
                <w:sz w:val="12"/>
              </w:rPr>
              <w:t>Dates</w:t>
            </w:r>
          </w:p>
        </w:tc>
        <w:tc>
          <w:tcPr>
            <w:tcW w:type="dxa" w:w="2381"/>
            <w:vAlign w:val="top"/>
          </w:tcPr>
          <w:p>
            <w:r/>
            <w:r>
              <w:rPr>
                <w:b w:val="0"/>
                <w:sz w:val="12"/>
              </w:rPr>
              <w:t>Date d’inception</w:t>
            </w:r>
          </w:p>
        </w:tc>
        <w:tc>
          <w:tcPr>
            <w:tcW w:type="dxa" w:w="4252"/>
            <w:vAlign w:val="top"/>
          </w:tcPr>
          <w:p>
            <w:r/>
            <w:r>
              <w:rPr>
                <w:b w:val="0"/>
                <w:sz w:val="12"/>
              </w:rPr>
              <w:t>"{historical_name}" (inception OR launched OR registered OR commenced)</w:t>
            </w:r>
          </w:p>
        </w:tc>
        <w:tc>
          <w:tcPr>
            <w:tcW w:type="dxa" w:w="3118"/>
            <w:vAlign w:val="top"/>
          </w:tcPr>
          <w:p>
            <w:r/>
            <w:r>
              <w:rPr>
                <w:b w:val="0"/>
                <w:sz w:val="12"/>
              </w:rPr>
              <w:t>Prospectus/annual report</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9</w:t>
            </w:r>
          </w:p>
        </w:tc>
        <w:tc>
          <w:tcPr>
            <w:tcW w:type="dxa" w:w="1814"/>
            <w:vAlign w:val="top"/>
          </w:tcPr>
          <w:p>
            <w:r/>
            <w:r>
              <w:rPr>
                <w:b w:val="0"/>
                <w:sz w:val="12"/>
              </w:rPr>
              <w:t>Dates</w:t>
            </w:r>
          </w:p>
        </w:tc>
        <w:tc>
          <w:tcPr>
            <w:tcW w:type="dxa" w:w="2381"/>
            <w:vAlign w:val="top"/>
          </w:tcPr>
          <w:p>
            <w:r/>
            <w:r>
              <w:rPr>
                <w:b w:val="0"/>
                <w:sz w:val="12"/>
              </w:rPr>
              <w:t>Date approbation SEC</w:t>
            </w:r>
          </w:p>
        </w:tc>
        <w:tc>
          <w:tcPr>
            <w:tcW w:type="dxa" w:w="4252"/>
            <w:vAlign w:val="top"/>
          </w:tcPr>
          <w:p>
            <w:r/>
            <w:r>
              <w:rPr>
                <w:b w:val="0"/>
                <w:sz w:val="12"/>
              </w:rPr>
              <w:t>"{historical_name}" (inception OR launched OR registered OR commenced)</w:t>
            </w:r>
          </w:p>
        </w:tc>
        <w:tc>
          <w:tcPr>
            <w:tcW w:type="dxa" w:w="3118"/>
            <w:vAlign w:val="top"/>
          </w:tcPr>
          <w:p>
            <w:r/>
            <w:r>
              <w:rPr>
                <w:b w:val="0"/>
                <w:sz w:val="12"/>
              </w:rPr>
              <w:t>SEC/prospectus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10</w:t>
            </w:r>
          </w:p>
        </w:tc>
        <w:tc>
          <w:tcPr>
            <w:tcW w:type="dxa" w:w="1814"/>
            <w:vAlign w:val="top"/>
          </w:tcPr>
          <w:p>
            <w:r/>
            <w:r>
              <w:rPr>
                <w:b w:val="0"/>
                <w:sz w:val="12"/>
              </w:rPr>
              <w:t>Dates</w:t>
            </w:r>
          </w:p>
        </w:tc>
        <w:tc>
          <w:tcPr>
            <w:tcW w:type="dxa" w:w="2381"/>
            <w:vAlign w:val="top"/>
          </w:tcPr>
          <w:p>
            <w:r/>
            <w:r>
              <w:rPr>
                <w:b w:val="0"/>
                <w:sz w:val="12"/>
              </w:rPr>
              <w:t>Première valorisation SEC</w:t>
            </w:r>
          </w:p>
        </w:tc>
        <w:tc>
          <w:tcPr>
            <w:tcW w:type="dxa" w:w="4252"/>
            <w:vAlign w:val="top"/>
          </w:tcPr>
          <w:p>
            <w:r/>
            <w:r>
              <w:rPr>
                <w:b w:val="0"/>
                <w:sz w:val="12"/>
              </w:rPr>
              <w:t>"{historical_name}" (inception OR launched OR registered OR commenced)</w:t>
            </w:r>
          </w:p>
        </w:tc>
        <w:tc>
          <w:tcPr>
            <w:tcW w:type="dxa" w:w="3118"/>
            <w:vAlign w:val="top"/>
          </w:tcPr>
          <w:p>
            <w:r/>
            <w:r>
              <w:rPr>
                <w:b w:val="0"/>
                <w:sz w:val="12"/>
              </w:rPr>
              <w:t>Archive SEC</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11</w:t>
            </w:r>
          </w:p>
        </w:tc>
        <w:tc>
          <w:tcPr>
            <w:tcW w:type="dxa" w:w="1814"/>
            <w:vAlign w:val="top"/>
          </w:tcPr>
          <w:p>
            <w:r/>
            <w:r>
              <w:rPr>
                <w:b w:val="0"/>
                <w:sz w:val="12"/>
              </w:rPr>
              <w:t>Prix initial</w:t>
            </w:r>
          </w:p>
        </w:tc>
        <w:tc>
          <w:tcPr>
            <w:tcW w:type="dxa" w:w="2381"/>
            <w:vAlign w:val="top"/>
          </w:tcPr>
          <w:p>
            <w:r/>
            <w:r>
              <w:rPr>
                <w:b w:val="0"/>
                <w:sz w:val="12"/>
              </w:rPr>
              <w:t>VL / prix initial</w:t>
            </w:r>
          </w:p>
        </w:tc>
        <w:tc>
          <w:tcPr>
            <w:tcW w:type="dxa" w:w="4252"/>
            <w:vAlign w:val="top"/>
          </w:tcPr>
          <w:p>
            <w:r/>
            <w:r>
              <w:rPr>
                <w:b w:val="0"/>
                <w:sz w:val="12"/>
              </w:rPr>
              <w:t>"{historical_name}" ("initial offer price" OR "initial unit price")</w:t>
            </w:r>
          </w:p>
        </w:tc>
        <w:tc>
          <w:tcPr>
            <w:tcW w:type="dxa" w:w="3118"/>
            <w:vAlign w:val="top"/>
          </w:tcPr>
          <w:p>
            <w:r/>
            <w:r>
              <w:rPr>
                <w:b w:val="0"/>
                <w:sz w:val="12"/>
              </w:rPr>
              <w:t>Prospectus/offer circular</w:t>
            </w:r>
          </w:p>
        </w:tc>
        <w:tc>
          <w:tcPr>
            <w:tcW w:type="dxa" w:w="3515"/>
            <w:vAlign w:val="top"/>
          </w:tcPr>
          <w:p>
            <w:r/>
            <w:r>
              <w:rPr>
                <w:b w:val="0"/>
                <w:sz w:val="12"/>
              </w:rPr>
              <w:t>Contrôler date, devise, unité, mesure et cohérence avec les observations adjacentes.</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12</w:t>
            </w:r>
          </w:p>
        </w:tc>
        <w:tc>
          <w:tcPr>
            <w:tcW w:type="dxa" w:w="1814"/>
            <w:vAlign w:val="top"/>
          </w:tcPr>
          <w:p>
            <w:r/>
            <w:r>
              <w:rPr>
                <w:b w:val="0"/>
                <w:sz w:val="12"/>
              </w:rPr>
              <w:t>Devise</w:t>
            </w:r>
          </w:p>
        </w:tc>
        <w:tc>
          <w:tcPr>
            <w:tcW w:type="dxa" w:w="2381"/>
            <w:vAlign w:val="top"/>
          </w:tcPr>
          <w:p>
            <w:r/>
            <w:r>
              <w:rPr>
                <w:b w:val="0"/>
                <w:sz w:val="12"/>
              </w:rPr>
              <w:t>Devise de base / classe</w:t>
            </w:r>
          </w:p>
        </w:tc>
        <w:tc>
          <w:tcPr>
            <w:tcW w:type="dxa" w:w="4252"/>
            <w:vAlign w:val="top"/>
          </w:tcPr>
          <w:p>
            <w:r/>
            <w:r>
              <w:rPr>
                <w:b w:val="0"/>
                <w:sz w:val="12"/>
              </w:rPr>
              <w:t>"{historical_name}" (currency OR denominated)</w:t>
            </w:r>
          </w:p>
        </w:tc>
        <w:tc>
          <w:tcPr>
            <w:tcW w:type="dxa" w:w="3118"/>
            <w:vAlign w:val="top"/>
          </w:tcPr>
          <w:p>
            <w:r/>
            <w:r>
              <w:rPr>
                <w:b w:val="0"/>
                <w:sz w:val="12"/>
              </w:rPr>
              <w:t>Prospectus/factsheet</w:t>
            </w:r>
          </w:p>
        </w:tc>
        <w:tc>
          <w:tcPr>
            <w:tcW w:type="dxa" w:w="3515"/>
            <w:vAlign w:val="top"/>
          </w:tcPr>
          <w:p>
            <w:r/>
            <w:r>
              <w:rPr>
                <w:b w:val="0"/>
                <w:sz w:val="12"/>
              </w:rPr>
              <w:t>Contrôler date, devise, unité, mesure et cohérence avec les observations adjacentes.</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13</w:t>
            </w:r>
          </w:p>
        </w:tc>
        <w:tc>
          <w:tcPr>
            <w:tcW w:type="dxa" w:w="1814"/>
            <w:vAlign w:val="top"/>
          </w:tcPr>
          <w:p>
            <w:r/>
            <w:r>
              <w:rPr>
                <w:b w:val="0"/>
                <w:sz w:val="12"/>
              </w:rPr>
              <w:t>Gestion</w:t>
            </w:r>
          </w:p>
        </w:tc>
        <w:tc>
          <w:tcPr>
            <w:tcW w:type="dxa" w:w="2381"/>
            <w:vAlign w:val="top"/>
          </w:tcPr>
          <w:p>
            <w:r/>
            <w:r>
              <w:rPr>
                <w:b w:val="0"/>
                <w:sz w:val="12"/>
              </w:rPr>
              <w:t>Gestionnaire actuel</w:t>
            </w:r>
          </w:p>
        </w:tc>
        <w:tc>
          <w:tcPr>
            <w:tcW w:type="dxa" w:w="4252"/>
            <w:vAlign w:val="top"/>
          </w:tcPr>
          <w:p>
            <w:r/>
            <w:r>
              <w:rPr>
                <w:b w:val="0"/>
                <w:sz w:val="12"/>
              </w:rPr>
              <w:t>"{historical_name}" ("fund manager" OR managed by OR transferred)</w:t>
            </w:r>
          </w:p>
        </w:tc>
        <w:tc>
          <w:tcPr>
            <w:tcW w:type="dxa" w:w="3118"/>
            <w:vAlign w:val="top"/>
          </w:tcPr>
          <w:p>
            <w:r/>
            <w:r>
              <w:rPr>
                <w:b w:val="0"/>
                <w:sz w:val="12"/>
              </w:rPr>
              <w:t>SEC register + documents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14</w:t>
            </w:r>
          </w:p>
        </w:tc>
        <w:tc>
          <w:tcPr>
            <w:tcW w:type="dxa" w:w="1814"/>
            <w:vAlign w:val="top"/>
          </w:tcPr>
          <w:p>
            <w:r/>
            <w:r>
              <w:rPr>
                <w:b w:val="0"/>
                <w:sz w:val="12"/>
              </w:rPr>
              <w:t>Gestion</w:t>
            </w:r>
          </w:p>
        </w:tc>
        <w:tc>
          <w:tcPr>
            <w:tcW w:type="dxa" w:w="2381"/>
            <w:vAlign w:val="top"/>
          </w:tcPr>
          <w:p>
            <w:r/>
            <w:r>
              <w:rPr>
                <w:b w:val="0"/>
                <w:sz w:val="12"/>
              </w:rPr>
              <w:t>Gestionnaire initial</w:t>
            </w:r>
          </w:p>
        </w:tc>
        <w:tc>
          <w:tcPr>
            <w:tcW w:type="dxa" w:w="4252"/>
            <w:vAlign w:val="top"/>
          </w:tcPr>
          <w:p>
            <w:r/>
            <w:r>
              <w:rPr>
                <w:b w:val="0"/>
                <w:sz w:val="12"/>
              </w:rPr>
              <w:t>"{historical_name}" ("fund manager" OR managed by OR transferred)</w:t>
            </w:r>
          </w:p>
        </w:tc>
        <w:tc>
          <w:tcPr>
            <w:tcW w:type="dxa" w:w="3118"/>
            <w:vAlign w:val="top"/>
          </w:tcPr>
          <w:p>
            <w:r/>
            <w:r>
              <w:rPr>
                <w:b w:val="0"/>
                <w:sz w:val="12"/>
              </w:rPr>
              <w:t>Prospectus ancien/rapport</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15</w:t>
            </w:r>
          </w:p>
        </w:tc>
        <w:tc>
          <w:tcPr>
            <w:tcW w:type="dxa" w:w="1814"/>
            <w:vAlign w:val="top"/>
          </w:tcPr>
          <w:p>
            <w:r/>
            <w:r>
              <w:rPr>
                <w:b w:val="0"/>
                <w:sz w:val="12"/>
              </w:rPr>
              <w:t>Classification</w:t>
            </w:r>
          </w:p>
        </w:tc>
        <w:tc>
          <w:tcPr>
            <w:tcW w:type="dxa" w:w="2381"/>
            <w:vAlign w:val="top"/>
          </w:tcPr>
          <w:p>
            <w:r/>
            <w:r>
              <w:rPr>
                <w:b w:val="0"/>
                <w:sz w:val="12"/>
              </w:rPr>
              <w:t>Classe d’actifs normalisée</w:t>
            </w:r>
          </w:p>
        </w:tc>
        <w:tc>
          <w:tcPr>
            <w:tcW w:type="dxa" w:w="4252"/>
            <w:vAlign w:val="top"/>
          </w:tcPr>
          <w:p>
            <w:r/>
            <w:r>
              <w:rPr>
                <w:b w:val="0"/>
                <w:sz w:val="12"/>
              </w:rPr>
              <w:t>"{historical_name}" (objective OR asset allocation OR category)</w:t>
            </w:r>
          </w:p>
        </w:tc>
        <w:tc>
          <w:tcPr>
            <w:tcW w:type="dxa" w:w="3118"/>
            <w:vAlign w:val="top"/>
          </w:tcPr>
          <w:p>
            <w:r/>
            <w:r>
              <w:rPr>
                <w:b w:val="0"/>
                <w:sz w:val="12"/>
              </w:rPr>
              <w:t>Prospectus + SEC</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16</w:t>
            </w:r>
          </w:p>
        </w:tc>
        <w:tc>
          <w:tcPr>
            <w:tcW w:type="dxa" w:w="1814"/>
            <w:vAlign w:val="top"/>
          </w:tcPr>
          <w:p>
            <w:r/>
            <w:r>
              <w:rPr>
                <w:b w:val="0"/>
                <w:sz w:val="12"/>
              </w:rPr>
              <w:t>Narration</w:t>
            </w:r>
          </w:p>
        </w:tc>
        <w:tc>
          <w:tcPr>
            <w:tcW w:type="dxa" w:w="2381"/>
            <w:vAlign w:val="top"/>
          </w:tcPr>
          <w:p>
            <w:r/>
            <w:r>
              <w:rPr>
                <w:b w:val="0"/>
                <w:sz w:val="12"/>
              </w:rPr>
              <w:t>Ce qui s’est passé</w:t>
            </w:r>
          </w:p>
        </w:tc>
        <w:tc>
          <w:tcPr>
            <w:tcW w:type="dxa" w:w="4252"/>
            <w:vAlign w:val="top"/>
          </w:tcPr>
          <w:p>
            <w:r/>
            <w:r>
              <w:rPr>
                <w:b w:val="0"/>
                <w:sz w:val="12"/>
              </w:rPr>
              <w:t>"{historical_name}" (prospectus OR factsheet)</w:t>
            </w:r>
          </w:p>
        </w:tc>
        <w:tc>
          <w:tcPr>
            <w:tcW w:type="dxa" w:w="3118"/>
            <w:vAlign w:val="top"/>
          </w:tcPr>
          <w:p>
            <w:r/>
            <w:r>
              <w:rPr>
                <w:b w:val="0"/>
                <w:sz w:val="12"/>
              </w:rPr>
              <w:t>Tous documents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17</w:t>
            </w:r>
          </w:p>
        </w:tc>
        <w:tc>
          <w:tcPr>
            <w:tcW w:type="dxa" w:w="1814"/>
            <w:vAlign w:val="top"/>
          </w:tcPr>
          <w:p>
            <w:r/>
            <w:r>
              <w:rPr>
                <w:b w:val="0"/>
                <w:sz w:val="12"/>
              </w:rPr>
              <w:t>Structure</w:t>
            </w:r>
          </w:p>
        </w:tc>
        <w:tc>
          <w:tcPr>
            <w:tcW w:type="dxa" w:w="2381"/>
            <w:vAlign w:val="top"/>
          </w:tcPr>
          <w:p>
            <w:r/>
            <w:r>
              <w:rPr>
                <w:b w:val="0"/>
                <w:sz w:val="12"/>
              </w:rPr>
              <w:t>Forme juridique</w:t>
            </w:r>
          </w:p>
        </w:tc>
        <w:tc>
          <w:tcPr>
            <w:tcW w:type="dxa" w:w="4252"/>
            <w:vAlign w:val="top"/>
          </w:tcPr>
          <w:p>
            <w:r/>
            <w:r>
              <w:rPr>
                <w:b w:val="0"/>
                <w:sz w:val="12"/>
              </w:rPr>
              <w:t>"{historical_name}" (prospectus OR factsheet)</w:t>
            </w:r>
          </w:p>
        </w:tc>
        <w:tc>
          <w:tcPr>
            <w:tcW w:type="dxa" w:w="3118"/>
            <w:vAlign w:val="top"/>
          </w:tcPr>
          <w:p>
            <w:r/>
            <w:r>
              <w:rPr>
                <w:b w:val="0"/>
                <w:sz w:val="12"/>
              </w:rPr>
              <w:t>Prospectus/SEC rules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18</w:t>
            </w:r>
          </w:p>
        </w:tc>
        <w:tc>
          <w:tcPr>
            <w:tcW w:type="dxa" w:w="1814"/>
            <w:vAlign w:val="top"/>
          </w:tcPr>
          <w:p>
            <w:r/>
            <w:r>
              <w:rPr>
                <w:b w:val="0"/>
                <w:sz w:val="12"/>
              </w:rPr>
              <w:t>Structure</w:t>
            </w:r>
          </w:p>
        </w:tc>
        <w:tc>
          <w:tcPr>
            <w:tcW w:type="dxa" w:w="2381"/>
            <w:vAlign w:val="top"/>
          </w:tcPr>
          <w:p>
            <w:r/>
            <w:r>
              <w:rPr>
                <w:b w:val="0"/>
                <w:sz w:val="12"/>
              </w:rPr>
              <w:t>Structure ouverte/fermée</w:t>
            </w:r>
          </w:p>
        </w:tc>
        <w:tc>
          <w:tcPr>
            <w:tcW w:type="dxa" w:w="4252"/>
            <w:vAlign w:val="top"/>
          </w:tcPr>
          <w:p>
            <w:r/>
            <w:r>
              <w:rPr>
                <w:b w:val="0"/>
                <w:sz w:val="12"/>
              </w:rPr>
              <w:t>"{historical_name}" (prospectus OR factsheet)</w:t>
            </w:r>
          </w:p>
        </w:tc>
        <w:tc>
          <w:tcPr>
            <w:tcW w:type="dxa" w:w="3118"/>
            <w:vAlign w:val="top"/>
          </w:tcPr>
          <w:p>
            <w:r/>
            <w:r>
              <w:rPr>
                <w:b w:val="0"/>
                <w:sz w:val="12"/>
              </w:rPr>
              <w:t>Prospectus/NGX</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19</w:t>
            </w:r>
          </w:p>
        </w:tc>
        <w:tc>
          <w:tcPr>
            <w:tcW w:type="dxa" w:w="1814"/>
            <w:vAlign w:val="top"/>
          </w:tcPr>
          <w:p>
            <w:r/>
            <w:r>
              <w:rPr>
                <w:b w:val="0"/>
                <w:sz w:val="12"/>
              </w:rPr>
              <w:t>Structure</w:t>
            </w:r>
          </w:p>
        </w:tc>
        <w:tc>
          <w:tcPr>
            <w:tcW w:type="dxa" w:w="2381"/>
            <w:vAlign w:val="top"/>
          </w:tcPr>
          <w:p>
            <w:r/>
            <w:r>
              <w:rPr>
                <w:b w:val="0"/>
                <w:sz w:val="12"/>
              </w:rPr>
              <w:t>Fonds ou classe</w:t>
            </w:r>
          </w:p>
        </w:tc>
        <w:tc>
          <w:tcPr>
            <w:tcW w:type="dxa" w:w="4252"/>
            <w:vAlign w:val="top"/>
          </w:tcPr>
          <w:p>
            <w:r/>
            <w:r>
              <w:rPr>
                <w:b w:val="0"/>
                <w:sz w:val="12"/>
              </w:rPr>
              <w:t>"{historical_name}" (prospectus OR factsheet)</w:t>
            </w:r>
          </w:p>
        </w:tc>
        <w:tc>
          <w:tcPr>
            <w:tcW w:type="dxa" w:w="3118"/>
            <w:vAlign w:val="top"/>
          </w:tcPr>
          <w:p>
            <w:r/>
            <w:r>
              <w:rPr>
                <w:b w:val="0"/>
                <w:sz w:val="12"/>
              </w:rPr>
              <w:t>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20</w:t>
            </w:r>
          </w:p>
        </w:tc>
        <w:tc>
          <w:tcPr>
            <w:tcW w:type="dxa" w:w="1814"/>
            <w:vAlign w:val="top"/>
          </w:tcPr>
          <w:p>
            <w:r/>
            <w:r>
              <w:rPr>
                <w:b w:val="0"/>
                <w:sz w:val="12"/>
              </w:rPr>
              <w:t>Prestataires</w:t>
            </w:r>
          </w:p>
        </w:tc>
        <w:tc>
          <w:tcPr>
            <w:tcW w:type="dxa" w:w="2381"/>
            <w:vAlign w:val="top"/>
          </w:tcPr>
          <w:p>
            <w:r/>
            <w:r>
              <w:rPr>
                <w:b w:val="0"/>
                <w:sz w:val="12"/>
              </w:rPr>
              <w:t>Trustee actuel</w:t>
            </w:r>
          </w:p>
        </w:tc>
        <w:tc>
          <w:tcPr>
            <w:tcW w:type="dxa" w:w="4252"/>
            <w:vAlign w:val="top"/>
          </w:tcPr>
          <w:p>
            <w:r/>
            <w:r>
              <w:rPr>
                <w:b w:val="0"/>
                <w:sz w:val="12"/>
              </w:rPr>
              <w:t>"{historical_name}" trustee filetype:pdf</w:t>
            </w:r>
          </w:p>
        </w:tc>
        <w:tc>
          <w:tcPr>
            <w:tcW w:type="dxa" w:w="3118"/>
            <w:vAlign w:val="top"/>
          </w:tcPr>
          <w:p>
            <w:r/>
            <w:r>
              <w:rPr>
                <w:b w:val="0"/>
                <w:sz w:val="12"/>
              </w:rPr>
              <w:t>Prospectus/annual report</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21</w:t>
            </w:r>
          </w:p>
        </w:tc>
        <w:tc>
          <w:tcPr>
            <w:tcW w:type="dxa" w:w="1814"/>
            <w:vAlign w:val="top"/>
          </w:tcPr>
          <w:p>
            <w:r/>
            <w:r>
              <w:rPr>
                <w:b w:val="0"/>
                <w:sz w:val="12"/>
              </w:rPr>
              <w:t>Prestataires</w:t>
            </w:r>
          </w:p>
        </w:tc>
        <w:tc>
          <w:tcPr>
            <w:tcW w:type="dxa" w:w="2381"/>
            <w:vAlign w:val="top"/>
          </w:tcPr>
          <w:p>
            <w:r/>
            <w:r>
              <w:rPr>
                <w:b w:val="0"/>
                <w:sz w:val="12"/>
              </w:rPr>
              <w:t>Custodian actuel</w:t>
            </w:r>
          </w:p>
        </w:tc>
        <w:tc>
          <w:tcPr>
            <w:tcW w:type="dxa" w:w="4252"/>
            <w:vAlign w:val="top"/>
          </w:tcPr>
          <w:p>
            <w:r/>
            <w:r>
              <w:rPr>
                <w:b w:val="0"/>
                <w:sz w:val="12"/>
              </w:rPr>
              <w:t>"{historical_name}" custodian filetype:pdf</w:t>
            </w:r>
          </w:p>
        </w:tc>
        <w:tc>
          <w:tcPr>
            <w:tcW w:type="dxa" w:w="3118"/>
            <w:vAlign w:val="top"/>
          </w:tcPr>
          <w:p>
            <w:r/>
            <w:r>
              <w:rPr>
                <w:b w:val="0"/>
                <w:sz w:val="12"/>
              </w:rPr>
              <w:t>Prospectus/annual report</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22</w:t>
            </w:r>
          </w:p>
        </w:tc>
        <w:tc>
          <w:tcPr>
            <w:tcW w:type="dxa" w:w="1814"/>
            <w:vAlign w:val="top"/>
          </w:tcPr>
          <w:p>
            <w:r/>
            <w:r>
              <w:rPr>
                <w:b w:val="0"/>
                <w:sz w:val="12"/>
              </w:rPr>
              <w:t>Prestataires</w:t>
            </w:r>
          </w:p>
        </w:tc>
        <w:tc>
          <w:tcPr>
            <w:tcW w:type="dxa" w:w="2381"/>
            <w:vAlign w:val="top"/>
          </w:tcPr>
          <w:p>
            <w:r/>
            <w:r>
              <w:rPr>
                <w:b w:val="0"/>
                <w:sz w:val="12"/>
              </w:rPr>
              <w:t>Registrar / transfer agent</w:t>
            </w:r>
          </w:p>
        </w:tc>
        <w:tc>
          <w:tcPr>
            <w:tcW w:type="dxa" w:w="4252"/>
            <w:vAlign w:val="top"/>
          </w:tcPr>
          <w:p>
            <w:r/>
            <w:r>
              <w:rPr>
                <w:b w:val="0"/>
                <w:sz w:val="12"/>
              </w:rPr>
              <w:t>"{historical_name}" (trustee OR custodian OR registrar OR auditor)</w:t>
            </w:r>
          </w:p>
        </w:tc>
        <w:tc>
          <w:tcPr>
            <w:tcW w:type="dxa" w:w="3118"/>
            <w:vAlign w:val="top"/>
          </w:tcPr>
          <w:p>
            <w:r/>
            <w:r>
              <w:rPr>
                <w:b w:val="0"/>
                <w:sz w:val="12"/>
              </w:rPr>
              <w:t>Prospectus/annual report</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23</w:t>
            </w:r>
          </w:p>
        </w:tc>
        <w:tc>
          <w:tcPr>
            <w:tcW w:type="dxa" w:w="1814"/>
            <w:vAlign w:val="top"/>
          </w:tcPr>
          <w:p>
            <w:r/>
            <w:r>
              <w:rPr>
                <w:b w:val="0"/>
                <w:sz w:val="12"/>
              </w:rPr>
              <w:t>Prestataires</w:t>
            </w:r>
          </w:p>
        </w:tc>
        <w:tc>
          <w:tcPr>
            <w:tcW w:type="dxa" w:w="2381"/>
            <w:vAlign w:val="top"/>
          </w:tcPr>
          <w:p>
            <w:r/>
            <w:r>
              <w:rPr>
                <w:b w:val="0"/>
                <w:sz w:val="12"/>
              </w:rPr>
              <w:t>Auditeur</w:t>
            </w:r>
          </w:p>
        </w:tc>
        <w:tc>
          <w:tcPr>
            <w:tcW w:type="dxa" w:w="4252"/>
            <w:vAlign w:val="top"/>
          </w:tcPr>
          <w:p>
            <w:r/>
            <w:r>
              <w:rPr>
                <w:b w:val="0"/>
                <w:sz w:val="12"/>
              </w:rPr>
              <w:t>"{historical_name}" (auditor OR "audited financial statements")</w:t>
            </w:r>
          </w:p>
        </w:tc>
        <w:tc>
          <w:tcPr>
            <w:tcW w:type="dxa" w:w="3118"/>
            <w:vAlign w:val="top"/>
          </w:tcPr>
          <w:p>
            <w:r/>
            <w:r>
              <w:rPr>
                <w:b w:val="0"/>
                <w:sz w:val="12"/>
              </w:rPr>
              <w:t>Comptes audités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24</w:t>
            </w:r>
          </w:p>
        </w:tc>
        <w:tc>
          <w:tcPr>
            <w:tcW w:type="dxa" w:w="1814"/>
            <w:vAlign w:val="top"/>
          </w:tcPr>
          <w:p>
            <w:r/>
            <w:r>
              <w:rPr>
                <w:b w:val="0"/>
                <w:sz w:val="12"/>
              </w:rPr>
              <w:t>Prestataires</w:t>
            </w:r>
          </w:p>
        </w:tc>
        <w:tc>
          <w:tcPr>
            <w:tcW w:type="dxa" w:w="2381"/>
            <w:vAlign w:val="top"/>
          </w:tcPr>
          <w:p>
            <w:r/>
            <w:r>
              <w:rPr>
                <w:b w:val="0"/>
                <w:sz w:val="12"/>
              </w:rPr>
              <w:t>Sponsor / promoter</w:t>
            </w:r>
          </w:p>
        </w:tc>
        <w:tc>
          <w:tcPr>
            <w:tcW w:type="dxa" w:w="4252"/>
            <w:vAlign w:val="top"/>
          </w:tcPr>
          <w:p>
            <w:r/>
            <w:r>
              <w:rPr>
                <w:b w:val="0"/>
                <w:sz w:val="12"/>
              </w:rPr>
              <w:t>"{historical_name}" (trustee OR custodian OR registrar OR auditor)</w:t>
            </w:r>
          </w:p>
        </w:tc>
        <w:tc>
          <w:tcPr>
            <w:tcW w:type="dxa" w:w="3118"/>
            <w:vAlign w:val="top"/>
          </w:tcPr>
          <w:p>
            <w:r/>
            <w:r>
              <w:rPr>
                <w:b w:val="0"/>
                <w:sz w:val="12"/>
              </w:rPr>
              <w:t>Offer circular/prospectus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25</w:t>
            </w:r>
          </w:p>
        </w:tc>
        <w:tc>
          <w:tcPr>
            <w:tcW w:type="dxa" w:w="1814"/>
            <w:vAlign w:val="top"/>
          </w:tcPr>
          <w:p>
            <w:r/>
            <w:r>
              <w:rPr>
                <w:b w:val="0"/>
                <w:sz w:val="12"/>
              </w:rPr>
              <w:t>Opérations</w:t>
            </w:r>
          </w:p>
        </w:tc>
        <w:tc>
          <w:tcPr>
            <w:tcW w:type="dxa" w:w="2381"/>
            <w:vAlign w:val="top"/>
          </w:tcPr>
          <w:p>
            <w:r/>
            <w:r>
              <w:rPr>
                <w:b w:val="0"/>
                <w:sz w:val="12"/>
              </w:rPr>
              <w:t>Fréquence de valorisation</w:t>
            </w:r>
          </w:p>
        </w:tc>
        <w:tc>
          <w:tcPr>
            <w:tcW w:type="dxa" w:w="4252"/>
            <w:vAlign w:val="top"/>
          </w:tcPr>
          <w:p>
            <w:r/>
            <w:r>
              <w:rPr>
                <w:b w:val="0"/>
                <w:sz w:val="12"/>
              </w:rPr>
              <w:t>"{historical_name}" (subscription OR redemption OR valuation)</w:t>
            </w:r>
          </w:p>
        </w:tc>
        <w:tc>
          <w:tcPr>
            <w:tcW w:type="dxa" w:w="3118"/>
            <w:vAlign w:val="top"/>
          </w:tcPr>
          <w:p>
            <w:r/>
            <w:r>
              <w:rPr>
                <w:b w:val="0"/>
                <w:sz w:val="12"/>
              </w:rPr>
              <w:t>Prospectus/factsheet</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26</w:t>
            </w:r>
          </w:p>
        </w:tc>
        <w:tc>
          <w:tcPr>
            <w:tcW w:type="dxa" w:w="1814"/>
            <w:vAlign w:val="top"/>
          </w:tcPr>
          <w:p>
            <w:r/>
            <w:r>
              <w:rPr>
                <w:b w:val="0"/>
                <w:sz w:val="12"/>
              </w:rPr>
              <w:t>Opérations</w:t>
            </w:r>
          </w:p>
        </w:tc>
        <w:tc>
          <w:tcPr>
            <w:tcW w:type="dxa" w:w="2381"/>
            <w:vAlign w:val="top"/>
          </w:tcPr>
          <w:p>
            <w:r/>
            <w:r>
              <w:rPr>
                <w:b w:val="0"/>
                <w:sz w:val="12"/>
              </w:rPr>
              <w:t>Fréquence de dealing</w:t>
            </w:r>
          </w:p>
        </w:tc>
        <w:tc>
          <w:tcPr>
            <w:tcW w:type="dxa" w:w="4252"/>
            <w:vAlign w:val="top"/>
          </w:tcPr>
          <w:p>
            <w:r/>
            <w:r>
              <w:rPr>
                <w:b w:val="0"/>
                <w:sz w:val="12"/>
              </w:rPr>
              <w:t>"{historical_name}" (subscription OR redemption OR valuation)</w:t>
            </w:r>
          </w:p>
        </w:tc>
        <w:tc>
          <w:tcPr>
            <w:tcW w:type="dxa" w:w="3118"/>
            <w:vAlign w:val="top"/>
          </w:tcPr>
          <w:p>
            <w:r/>
            <w:r>
              <w:rPr>
                <w:b w:val="0"/>
                <w:sz w:val="12"/>
              </w:rPr>
              <w:t>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27</w:t>
            </w:r>
          </w:p>
        </w:tc>
        <w:tc>
          <w:tcPr>
            <w:tcW w:type="dxa" w:w="1814"/>
            <w:vAlign w:val="top"/>
          </w:tcPr>
          <w:p>
            <w:r/>
            <w:r>
              <w:rPr>
                <w:b w:val="0"/>
                <w:sz w:val="12"/>
              </w:rPr>
              <w:t>Opérations</w:t>
            </w:r>
          </w:p>
        </w:tc>
        <w:tc>
          <w:tcPr>
            <w:tcW w:type="dxa" w:w="2381"/>
            <w:vAlign w:val="top"/>
          </w:tcPr>
          <w:p>
            <w:r/>
            <w:r>
              <w:rPr>
                <w:b w:val="0"/>
                <w:sz w:val="12"/>
              </w:rPr>
              <w:t>Investissement minimum</w:t>
            </w:r>
          </w:p>
        </w:tc>
        <w:tc>
          <w:tcPr>
            <w:tcW w:type="dxa" w:w="4252"/>
            <w:vAlign w:val="top"/>
          </w:tcPr>
          <w:p>
            <w:r/>
            <w:r>
              <w:rPr>
                <w:b w:val="0"/>
                <w:sz w:val="12"/>
              </w:rPr>
              <w:t>"{historical_name}" (subscription OR redemption OR valuation)</w:t>
            </w:r>
          </w:p>
        </w:tc>
        <w:tc>
          <w:tcPr>
            <w:tcW w:type="dxa" w:w="3118"/>
            <w:vAlign w:val="top"/>
          </w:tcPr>
          <w:p>
            <w:r/>
            <w:r>
              <w:rPr>
                <w:b w:val="0"/>
                <w:sz w:val="12"/>
              </w:rPr>
              <w:t>Prospectus/page fonds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28</w:t>
            </w:r>
          </w:p>
        </w:tc>
        <w:tc>
          <w:tcPr>
            <w:tcW w:type="dxa" w:w="1814"/>
            <w:vAlign w:val="top"/>
          </w:tcPr>
          <w:p>
            <w:r/>
            <w:r>
              <w:rPr>
                <w:b w:val="0"/>
                <w:sz w:val="12"/>
              </w:rPr>
              <w:t>Opérations</w:t>
            </w:r>
          </w:p>
        </w:tc>
        <w:tc>
          <w:tcPr>
            <w:tcW w:type="dxa" w:w="2381"/>
            <w:vAlign w:val="top"/>
          </w:tcPr>
          <w:p>
            <w:r/>
            <w:r>
              <w:rPr>
                <w:b w:val="0"/>
                <w:sz w:val="12"/>
              </w:rPr>
              <w:t>Exercice fiscal</w:t>
            </w:r>
          </w:p>
        </w:tc>
        <w:tc>
          <w:tcPr>
            <w:tcW w:type="dxa" w:w="4252"/>
            <w:vAlign w:val="top"/>
          </w:tcPr>
          <w:p>
            <w:r/>
            <w:r>
              <w:rPr>
                <w:b w:val="0"/>
                <w:sz w:val="12"/>
              </w:rPr>
              <w:t>"{historical_name}" (subscription OR redemption OR valuation)</w:t>
            </w:r>
          </w:p>
        </w:tc>
        <w:tc>
          <w:tcPr>
            <w:tcW w:type="dxa" w:w="3118"/>
            <w:vAlign w:val="top"/>
          </w:tcPr>
          <w:p>
            <w:r/>
            <w:r>
              <w:rPr>
                <w:b w:val="0"/>
                <w:sz w:val="12"/>
              </w:rPr>
              <w:t>Annual report</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29</w:t>
            </w:r>
          </w:p>
        </w:tc>
        <w:tc>
          <w:tcPr>
            <w:tcW w:type="dxa" w:w="1814"/>
            <w:vAlign w:val="top"/>
          </w:tcPr>
          <w:p>
            <w:r/>
            <w:r>
              <w:rPr>
                <w:b w:val="0"/>
                <w:sz w:val="12"/>
              </w:rPr>
              <w:t>Distribution</w:t>
            </w:r>
          </w:p>
        </w:tc>
        <w:tc>
          <w:tcPr>
            <w:tcW w:type="dxa" w:w="2381"/>
            <w:vAlign w:val="top"/>
          </w:tcPr>
          <w:p>
            <w:r/>
            <w:r>
              <w:rPr>
                <w:b w:val="0"/>
                <w:sz w:val="12"/>
              </w:rPr>
              <w:t>Politique de distribution</w:t>
            </w:r>
          </w:p>
        </w:tc>
        <w:tc>
          <w:tcPr>
            <w:tcW w:type="dxa" w:w="4252"/>
            <w:vAlign w:val="top"/>
          </w:tcPr>
          <w:p>
            <w:r/>
            <w:r>
              <w:rPr>
                <w:b w:val="0"/>
                <w:sz w:val="12"/>
              </w:rPr>
              <w:t>"{historical_name}" (dividend OR distribution)</w:t>
            </w:r>
          </w:p>
        </w:tc>
        <w:tc>
          <w:tcPr>
            <w:tcW w:type="dxa" w:w="3118"/>
            <w:vAlign w:val="top"/>
          </w:tcPr>
          <w:p>
            <w:r/>
            <w:r>
              <w:rPr>
                <w:b w:val="0"/>
                <w:sz w:val="12"/>
              </w:rPr>
              <w:t>Prospectus/factsheet</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30</w:t>
            </w:r>
          </w:p>
        </w:tc>
        <w:tc>
          <w:tcPr>
            <w:tcW w:type="dxa" w:w="1814"/>
            <w:vAlign w:val="top"/>
          </w:tcPr>
          <w:p>
            <w:r/>
            <w:r>
              <w:rPr>
                <w:b w:val="0"/>
                <w:sz w:val="12"/>
              </w:rPr>
              <w:t>Frais</w:t>
            </w:r>
          </w:p>
        </w:tc>
        <w:tc>
          <w:tcPr>
            <w:tcW w:type="dxa" w:w="2381"/>
            <w:vAlign w:val="top"/>
          </w:tcPr>
          <w:p>
            <w:r/>
            <w:r>
              <w:rPr>
                <w:b w:val="0"/>
                <w:sz w:val="12"/>
              </w:rPr>
              <w:t>Management fee</w:t>
            </w:r>
          </w:p>
        </w:tc>
        <w:tc>
          <w:tcPr>
            <w:tcW w:type="dxa" w:w="4252"/>
            <w:vAlign w:val="top"/>
          </w:tcPr>
          <w:p>
            <w:r/>
            <w:r>
              <w:rPr>
                <w:b w:val="0"/>
                <w:sz w:val="12"/>
              </w:rPr>
              <w:t>"{historical_name}" (fee OR charge OR expense)</w:t>
            </w:r>
          </w:p>
        </w:tc>
        <w:tc>
          <w:tcPr>
            <w:tcW w:type="dxa" w:w="3118"/>
            <w:vAlign w:val="top"/>
          </w:tcPr>
          <w:p>
            <w:r/>
            <w:r>
              <w:rPr>
                <w:b w:val="0"/>
                <w:sz w:val="12"/>
              </w:rPr>
              <w:t>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31</w:t>
            </w:r>
          </w:p>
        </w:tc>
        <w:tc>
          <w:tcPr>
            <w:tcW w:type="dxa" w:w="1814"/>
            <w:vAlign w:val="top"/>
          </w:tcPr>
          <w:p>
            <w:r/>
            <w:r>
              <w:rPr>
                <w:b w:val="0"/>
                <w:sz w:val="12"/>
              </w:rPr>
              <w:t>Frais</w:t>
            </w:r>
          </w:p>
        </w:tc>
        <w:tc>
          <w:tcPr>
            <w:tcW w:type="dxa" w:w="2381"/>
            <w:vAlign w:val="top"/>
          </w:tcPr>
          <w:p>
            <w:r/>
            <w:r>
              <w:rPr>
                <w:b w:val="0"/>
                <w:sz w:val="12"/>
              </w:rPr>
              <w:t>Total expense ratio</w:t>
            </w:r>
          </w:p>
        </w:tc>
        <w:tc>
          <w:tcPr>
            <w:tcW w:type="dxa" w:w="4252"/>
            <w:vAlign w:val="top"/>
          </w:tcPr>
          <w:p>
            <w:r/>
            <w:r>
              <w:rPr>
                <w:b w:val="0"/>
                <w:sz w:val="12"/>
              </w:rPr>
              <w:t>"{historical_name}" (fee OR charge OR expense)</w:t>
            </w:r>
          </w:p>
        </w:tc>
        <w:tc>
          <w:tcPr>
            <w:tcW w:type="dxa" w:w="3118"/>
            <w:vAlign w:val="top"/>
          </w:tcPr>
          <w:p>
            <w:r/>
            <w:r>
              <w:rPr>
                <w:b w:val="0"/>
                <w:sz w:val="12"/>
              </w:rPr>
              <w:t>Rapport/SEC</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32</w:t>
            </w:r>
          </w:p>
        </w:tc>
        <w:tc>
          <w:tcPr>
            <w:tcW w:type="dxa" w:w="1814"/>
            <w:vAlign w:val="top"/>
          </w:tcPr>
          <w:p>
            <w:r/>
            <w:r>
              <w:rPr>
                <w:b w:val="0"/>
                <w:sz w:val="12"/>
              </w:rPr>
              <w:t>Politique</w:t>
            </w:r>
          </w:p>
        </w:tc>
        <w:tc>
          <w:tcPr>
            <w:tcW w:type="dxa" w:w="2381"/>
            <w:vAlign w:val="top"/>
          </w:tcPr>
          <w:p>
            <w:r/>
            <w:r>
              <w:rPr>
                <w:b w:val="0"/>
                <w:sz w:val="12"/>
              </w:rPr>
              <w:t>Objectif d’investissement</w:t>
            </w:r>
          </w:p>
        </w:tc>
        <w:tc>
          <w:tcPr>
            <w:tcW w:type="dxa" w:w="4252"/>
            <w:vAlign w:val="top"/>
          </w:tcPr>
          <w:p>
            <w:r/>
            <w:r>
              <w:rPr>
                <w:b w:val="0"/>
                <w:sz w:val="12"/>
              </w:rPr>
              <w:t>"{historical_name}" (investment objective OR investment policy)</w:t>
            </w:r>
          </w:p>
        </w:tc>
        <w:tc>
          <w:tcPr>
            <w:tcW w:type="dxa" w:w="3118"/>
            <w:vAlign w:val="top"/>
          </w:tcPr>
          <w:p>
            <w:r/>
            <w:r>
              <w:rPr>
                <w:b w:val="0"/>
                <w:sz w:val="12"/>
              </w:rPr>
              <w:t>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33</w:t>
            </w:r>
          </w:p>
        </w:tc>
        <w:tc>
          <w:tcPr>
            <w:tcW w:type="dxa" w:w="1814"/>
            <w:vAlign w:val="top"/>
          </w:tcPr>
          <w:p>
            <w:r/>
            <w:r>
              <w:rPr>
                <w:b w:val="0"/>
                <w:sz w:val="12"/>
              </w:rPr>
              <w:t>Politique</w:t>
            </w:r>
          </w:p>
        </w:tc>
        <w:tc>
          <w:tcPr>
            <w:tcW w:type="dxa" w:w="2381"/>
            <w:vAlign w:val="top"/>
          </w:tcPr>
          <w:p>
            <w:r/>
            <w:r>
              <w:rPr>
                <w:b w:val="0"/>
                <w:sz w:val="12"/>
              </w:rPr>
              <w:t>Stratégie d’investissement</w:t>
            </w:r>
          </w:p>
        </w:tc>
        <w:tc>
          <w:tcPr>
            <w:tcW w:type="dxa" w:w="4252"/>
            <w:vAlign w:val="top"/>
          </w:tcPr>
          <w:p>
            <w:r/>
            <w:r>
              <w:rPr>
                <w:b w:val="0"/>
                <w:sz w:val="12"/>
              </w:rPr>
              <w:t>"{historical_name}" (investment objective OR investment policy)</w:t>
            </w:r>
          </w:p>
        </w:tc>
        <w:tc>
          <w:tcPr>
            <w:tcW w:type="dxa" w:w="3118"/>
            <w:vAlign w:val="top"/>
          </w:tcPr>
          <w:p>
            <w:r/>
            <w:r>
              <w:rPr>
                <w:b w:val="0"/>
                <w:sz w:val="12"/>
              </w:rPr>
              <w:t>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34</w:t>
            </w:r>
          </w:p>
        </w:tc>
        <w:tc>
          <w:tcPr>
            <w:tcW w:type="dxa" w:w="1814"/>
            <w:vAlign w:val="top"/>
          </w:tcPr>
          <w:p>
            <w:r/>
            <w:r>
              <w:rPr>
                <w:b w:val="0"/>
                <w:sz w:val="12"/>
              </w:rPr>
              <w:t>Politique</w:t>
            </w:r>
          </w:p>
        </w:tc>
        <w:tc>
          <w:tcPr>
            <w:tcW w:type="dxa" w:w="2381"/>
            <w:vAlign w:val="top"/>
          </w:tcPr>
          <w:p>
            <w:r/>
            <w:r>
              <w:rPr>
                <w:b w:val="0"/>
                <w:sz w:val="12"/>
              </w:rPr>
              <w:t>Univers d’investissement</w:t>
            </w:r>
          </w:p>
        </w:tc>
        <w:tc>
          <w:tcPr>
            <w:tcW w:type="dxa" w:w="4252"/>
            <w:vAlign w:val="top"/>
          </w:tcPr>
          <w:p>
            <w:r/>
            <w:r>
              <w:rPr>
                <w:b w:val="0"/>
                <w:sz w:val="12"/>
              </w:rPr>
              <w:t>"{historical_name}" (investment objective OR investment policy)</w:t>
            </w:r>
          </w:p>
        </w:tc>
        <w:tc>
          <w:tcPr>
            <w:tcW w:type="dxa" w:w="3118"/>
            <w:vAlign w:val="top"/>
          </w:tcPr>
          <w:p>
            <w:r/>
            <w:r>
              <w:rPr>
                <w:b w:val="0"/>
                <w:sz w:val="12"/>
              </w:rPr>
              <w:t>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35</w:t>
            </w:r>
          </w:p>
        </w:tc>
        <w:tc>
          <w:tcPr>
            <w:tcW w:type="dxa" w:w="1814"/>
            <w:vAlign w:val="top"/>
          </w:tcPr>
          <w:p>
            <w:r/>
            <w:r>
              <w:rPr>
                <w:b w:val="0"/>
                <w:sz w:val="12"/>
              </w:rPr>
              <w:t>Politique</w:t>
            </w:r>
          </w:p>
        </w:tc>
        <w:tc>
          <w:tcPr>
            <w:tcW w:type="dxa" w:w="2381"/>
            <w:vAlign w:val="top"/>
          </w:tcPr>
          <w:p>
            <w:r/>
            <w:r>
              <w:rPr>
                <w:b w:val="0"/>
                <w:sz w:val="12"/>
              </w:rPr>
              <w:t>Allocation stratégique</w:t>
            </w:r>
          </w:p>
        </w:tc>
        <w:tc>
          <w:tcPr>
            <w:tcW w:type="dxa" w:w="4252"/>
            <w:vAlign w:val="top"/>
          </w:tcPr>
          <w:p>
            <w:r/>
            <w:r>
              <w:rPr>
                <w:b w:val="0"/>
                <w:sz w:val="12"/>
              </w:rPr>
              <w:t>"{historical_name}" (investment objective OR investment policy)</w:t>
            </w:r>
          </w:p>
        </w:tc>
        <w:tc>
          <w:tcPr>
            <w:tcW w:type="dxa" w:w="3118"/>
            <w:vAlign w:val="top"/>
          </w:tcPr>
          <w:p>
            <w:r/>
            <w:r>
              <w:rPr>
                <w:b w:val="0"/>
                <w:sz w:val="12"/>
              </w:rPr>
              <w:t>Prospectus/factsheet</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36</w:t>
            </w:r>
          </w:p>
        </w:tc>
        <w:tc>
          <w:tcPr>
            <w:tcW w:type="dxa" w:w="1814"/>
            <w:vAlign w:val="top"/>
          </w:tcPr>
          <w:p>
            <w:r/>
            <w:r>
              <w:rPr>
                <w:b w:val="0"/>
                <w:sz w:val="12"/>
              </w:rPr>
              <w:t>Benchmark</w:t>
            </w:r>
          </w:p>
        </w:tc>
        <w:tc>
          <w:tcPr>
            <w:tcW w:type="dxa" w:w="2381"/>
            <w:vAlign w:val="top"/>
          </w:tcPr>
          <w:p>
            <w:r/>
            <w:r>
              <w:rPr>
                <w:b w:val="0"/>
                <w:sz w:val="12"/>
              </w:rPr>
              <w:t>Benchmark principal</w:t>
            </w:r>
          </w:p>
        </w:tc>
        <w:tc>
          <w:tcPr>
            <w:tcW w:type="dxa" w:w="4252"/>
            <w:vAlign w:val="top"/>
          </w:tcPr>
          <w:p>
            <w:r/>
            <w:r>
              <w:rPr>
                <w:b w:val="0"/>
                <w:sz w:val="12"/>
              </w:rPr>
              <w:t>"{historical_name}" (benchmark OR index)</w:t>
            </w:r>
          </w:p>
        </w:tc>
        <w:tc>
          <w:tcPr>
            <w:tcW w:type="dxa" w:w="3118"/>
            <w:vAlign w:val="top"/>
          </w:tcPr>
          <w:p>
            <w:r/>
            <w:r>
              <w:rPr>
                <w:b w:val="0"/>
                <w:sz w:val="12"/>
              </w:rPr>
              <w:t>Prospectus/factsheet</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37</w:t>
            </w:r>
          </w:p>
        </w:tc>
        <w:tc>
          <w:tcPr>
            <w:tcW w:type="dxa" w:w="1814"/>
            <w:vAlign w:val="top"/>
          </w:tcPr>
          <w:p>
            <w:r/>
            <w:r>
              <w:rPr>
                <w:b w:val="0"/>
                <w:sz w:val="12"/>
              </w:rPr>
              <w:t>Risque</w:t>
            </w:r>
          </w:p>
        </w:tc>
        <w:tc>
          <w:tcPr>
            <w:tcW w:type="dxa" w:w="2381"/>
            <w:vAlign w:val="top"/>
          </w:tcPr>
          <w:p>
            <w:r/>
            <w:r>
              <w:rPr>
                <w:b w:val="0"/>
                <w:sz w:val="12"/>
              </w:rPr>
              <w:t>Profil de risque</w:t>
            </w:r>
          </w:p>
        </w:tc>
        <w:tc>
          <w:tcPr>
            <w:tcW w:type="dxa" w:w="4252"/>
            <w:vAlign w:val="top"/>
          </w:tcPr>
          <w:p>
            <w:r/>
            <w:r>
              <w:rPr>
                <w:b w:val="0"/>
                <w:sz w:val="12"/>
              </w:rPr>
              <w:t>"{historical_name}" (prospectus OR factsheet)</w:t>
            </w:r>
          </w:p>
        </w:tc>
        <w:tc>
          <w:tcPr>
            <w:tcW w:type="dxa" w:w="3118"/>
            <w:vAlign w:val="top"/>
          </w:tcPr>
          <w:p>
            <w:r/>
            <w:r>
              <w:rPr>
                <w:b w:val="0"/>
                <w:sz w:val="12"/>
              </w:rPr>
              <w:t>KID/factsheet</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38</w:t>
            </w:r>
          </w:p>
        </w:tc>
        <w:tc>
          <w:tcPr>
            <w:tcW w:type="dxa" w:w="1814"/>
            <w:vAlign w:val="top"/>
          </w:tcPr>
          <w:p>
            <w:r/>
            <w:r>
              <w:rPr>
                <w:b w:val="0"/>
                <w:sz w:val="12"/>
              </w:rPr>
              <w:t>Conformité</w:t>
            </w:r>
          </w:p>
        </w:tc>
        <w:tc>
          <w:tcPr>
            <w:tcW w:type="dxa" w:w="2381"/>
            <w:vAlign w:val="top"/>
          </w:tcPr>
          <w:p>
            <w:r/>
            <w:r>
              <w:rPr>
                <w:b w:val="0"/>
                <w:sz w:val="12"/>
              </w:rPr>
              <w:t>Sharia / éthique</w:t>
            </w:r>
          </w:p>
        </w:tc>
        <w:tc>
          <w:tcPr>
            <w:tcW w:type="dxa" w:w="4252"/>
            <w:vAlign w:val="top"/>
          </w:tcPr>
          <w:p>
            <w:r/>
            <w:r>
              <w:rPr>
                <w:b w:val="0"/>
                <w:sz w:val="12"/>
              </w:rPr>
              <w:t>"{historical_name}" (prospectus OR factsheet)</w:t>
            </w:r>
          </w:p>
        </w:tc>
        <w:tc>
          <w:tcPr>
            <w:tcW w:type="dxa" w:w="3118"/>
            <w:vAlign w:val="top"/>
          </w:tcPr>
          <w:p>
            <w:r/>
            <w:r>
              <w:rPr>
                <w:b w:val="0"/>
                <w:sz w:val="12"/>
              </w:rPr>
              <w:t>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39</w:t>
            </w:r>
          </w:p>
        </w:tc>
        <w:tc>
          <w:tcPr>
            <w:tcW w:type="dxa" w:w="1814"/>
            <w:vAlign w:val="top"/>
          </w:tcPr>
          <w:p>
            <w:r/>
            <w:r>
              <w:rPr>
                <w:b w:val="0"/>
                <w:sz w:val="12"/>
              </w:rPr>
              <w:t>Conformité</w:t>
            </w:r>
          </w:p>
        </w:tc>
        <w:tc>
          <w:tcPr>
            <w:tcW w:type="dxa" w:w="2381"/>
            <w:vAlign w:val="top"/>
          </w:tcPr>
          <w:p>
            <w:r/>
            <w:r>
              <w:rPr>
                <w:b w:val="0"/>
                <w:sz w:val="12"/>
              </w:rPr>
              <w:t>ESG / exclusions</w:t>
            </w:r>
          </w:p>
        </w:tc>
        <w:tc>
          <w:tcPr>
            <w:tcW w:type="dxa" w:w="4252"/>
            <w:vAlign w:val="top"/>
          </w:tcPr>
          <w:p>
            <w:r/>
            <w:r>
              <w:rPr>
                <w:b w:val="0"/>
                <w:sz w:val="12"/>
              </w:rPr>
              <w:t>"{historical_name}" (prospectus OR factsheet)</w:t>
            </w:r>
          </w:p>
        </w:tc>
        <w:tc>
          <w:tcPr>
            <w:tcW w:type="dxa" w:w="3118"/>
            <w:vAlign w:val="top"/>
          </w:tcPr>
          <w:p>
            <w:r/>
            <w:r>
              <w:rPr>
                <w:b w:val="0"/>
                <w:sz w:val="12"/>
              </w:rPr>
              <w:t>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40</w:t>
            </w:r>
          </w:p>
        </w:tc>
        <w:tc>
          <w:tcPr>
            <w:tcW w:type="dxa" w:w="1814"/>
            <w:vAlign w:val="top"/>
          </w:tcPr>
          <w:p>
            <w:r/>
            <w:r>
              <w:rPr>
                <w:b w:val="0"/>
                <w:sz w:val="12"/>
              </w:rPr>
              <w:t>Exposition</w:t>
            </w:r>
          </w:p>
        </w:tc>
        <w:tc>
          <w:tcPr>
            <w:tcW w:type="dxa" w:w="2381"/>
            <w:vAlign w:val="top"/>
          </w:tcPr>
          <w:p>
            <w:r/>
            <w:r>
              <w:rPr>
                <w:b w:val="0"/>
                <w:sz w:val="12"/>
              </w:rPr>
              <w:t>Maturité / duration cible</w:t>
            </w:r>
          </w:p>
        </w:tc>
        <w:tc>
          <w:tcPr>
            <w:tcW w:type="dxa" w:w="4252"/>
            <w:vAlign w:val="top"/>
          </w:tcPr>
          <w:p>
            <w:r/>
            <w:r>
              <w:rPr>
                <w:b w:val="0"/>
                <w:sz w:val="12"/>
              </w:rPr>
              <w:t>"{historical_name}" (prospectus OR factsheet)</w:t>
            </w:r>
          </w:p>
        </w:tc>
        <w:tc>
          <w:tcPr>
            <w:tcW w:type="dxa" w:w="3118"/>
            <w:vAlign w:val="top"/>
          </w:tcPr>
          <w:p>
            <w:r/>
            <w:r>
              <w:rPr>
                <w:b w:val="0"/>
                <w:sz w:val="12"/>
              </w:rPr>
              <w:t>Factsheet/prospectus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41</w:t>
            </w:r>
          </w:p>
        </w:tc>
        <w:tc>
          <w:tcPr>
            <w:tcW w:type="dxa" w:w="1814"/>
            <w:vAlign w:val="top"/>
          </w:tcPr>
          <w:p>
            <w:r/>
            <w:r>
              <w:rPr>
                <w:b w:val="0"/>
                <w:sz w:val="12"/>
              </w:rPr>
              <w:t>Exposition</w:t>
            </w:r>
          </w:p>
        </w:tc>
        <w:tc>
          <w:tcPr>
            <w:tcW w:type="dxa" w:w="2381"/>
            <w:vAlign w:val="top"/>
          </w:tcPr>
          <w:p>
            <w:r/>
            <w:r>
              <w:rPr>
                <w:b w:val="0"/>
                <w:sz w:val="12"/>
              </w:rPr>
              <w:t>Zone géographique</w:t>
            </w:r>
          </w:p>
        </w:tc>
        <w:tc>
          <w:tcPr>
            <w:tcW w:type="dxa" w:w="4252"/>
            <w:vAlign w:val="top"/>
          </w:tcPr>
          <w:p>
            <w:r/>
            <w:r>
              <w:rPr>
                <w:b w:val="0"/>
                <w:sz w:val="12"/>
              </w:rPr>
              <w:t>"{historical_name}" (prospectus OR factsheet)</w:t>
            </w:r>
          </w:p>
        </w:tc>
        <w:tc>
          <w:tcPr>
            <w:tcW w:type="dxa" w:w="3118"/>
            <w:vAlign w:val="top"/>
          </w:tcPr>
          <w:p>
            <w:r/>
            <w:r>
              <w:rPr>
                <w:b w:val="0"/>
                <w:sz w:val="12"/>
              </w:rPr>
              <w:t>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42</w:t>
            </w:r>
          </w:p>
        </w:tc>
        <w:tc>
          <w:tcPr>
            <w:tcW w:type="dxa" w:w="1814"/>
            <w:vAlign w:val="top"/>
          </w:tcPr>
          <w:p>
            <w:r/>
            <w:r>
              <w:rPr>
                <w:b w:val="0"/>
                <w:sz w:val="12"/>
              </w:rPr>
              <w:t>Exposition</w:t>
            </w:r>
          </w:p>
        </w:tc>
        <w:tc>
          <w:tcPr>
            <w:tcW w:type="dxa" w:w="2381"/>
            <w:vAlign w:val="top"/>
          </w:tcPr>
          <w:p>
            <w:r/>
            <w:r>
              <w:rPr>
                <w:b w:val="0"/>
                <w:sz w:val="12"/>
              </w:rPr>
              <w:t>Secteurs ciblés</w:t>
            </w:r>
          </w:p>
        </w:tc>
        <w:tc>
          <w:tcPr>
            <w:tcW w:type="dxa" w:w="4252"/>
            <w:vAlign w:val="top"/>
          </w:tcPr>
          <w:p>
            <w:r/>
            <w:r>
              <w:rPr>
                <w:b w:val="0"/>
                <w:sz w:val="12"/>
              </w:rPr>
              <w:t>"{historical_name}" (prospectus OR factsheet)</w:t>
            </w:r>
          </w:p>
        </w:tc>
        <w:tc>
          <w:tcPr>
            <w:tcW w:type="dxa" w:w="3118"/>
            <w:vAlign w:val="top"/>
          </w:tcPr>
          <w:p>
            <w:r/>
            <w:r>
              <w:rPr>
                <w:b w:val="0"/>
                <w:sz w:val="12"/>
              </w:rPr>
              <w:t>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43</w:t>
            </w:r>
          </w:p>
        </w:tc>
        <w:tc>
          <w:tcPr>
            <w:tcW w:type="dxa" w:w="1814"/>
            <w:vAlign w:val="top"/>
          </w:tcPr>
          <w:p>
            <w:r/>
            <w:r>
              <w:rPr>
                <w:b w:val="0"/>
                <w:sz w:val="12"/>
              </w:rPr>
              <w:t>Exposition</w:t>
            </w:r>
          </w:p>
        </w:tc>
        <w:tc>
          <w:tcPr>
            <w:tcW w:type="dxa" w:w="2381"/>
            <w:vAlign w:val="top"/>
          </w:tcPr>
          <w:p>
            <w:r/>
            <w:r>
              <w:rPr>
                <w:b w:val="0"/>
                <w:sz w:val="12"/>
              </w:rPr>
              <w:t>Limite de cash</w:t>
            </w:r>
          </w:p>
        </w:tc>
        <w:tc>
          <w:tcPr>
            <w:tcW w:type="dxa" w:w="4252"/>
            <w:vAlign w:val="top"/>
          </w:tcPr>
          <w:p>
            <w:r/>
            <w:r>
              <w:rPr>
                <w:b w:val="0"/>
                <w:sz w:val="12"/>
              </w:rPr>
              <w:t>"{historical_name}" (prospectus OR factsheet)</w:t>
            </w:r>
          </w:p>
        </w:tc>
        <w:tc>
          <w:tcPr>
            <w:tcW w:type="dxa" w:w="3118"/>
            <w:vAlign w:val="top"/>
          </w:tcPr>
          <w:p>
            <w:r/>
            <w:r>
              <w:rPr>
                <w:b w:val="0"/>
                <w:sz w:val="12"/>
              </w:rPr>
              <w:t>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44</w:t>
            </w:r>
          </w:p>
        </w:tc>
        <w:tc>
          <w:tcPr>
            <w:tcW w:type="dxa" w:w="1814"/>
            <w:vAlign w:val="top"/>
          </w:tcPr>
          <w:p>
            <w:r/>
            <w:r>
              <w:rPr>
                <w:b w:val="0"/>
                <w:sz w:val="12"/>
              </w:rPr>
              <w:t>Exposition</w:t>
            </w:r>
          </w:p>
        </w:tc>
        <w:tc>
          <w:tcPr>
            <w:tcW w:type="dxa" w:w="2381"/>
            <w:vAlign w:val="top"/>
          </w:tcPr>
          <w:p>
            <w:r/>
            <w:r>
              <w:rPr>
                <w:b w:val="0"/>
                <w:sz w:val="12"/>
              </w:rPr>
              <w:t>Dérivés autorisés</w:t>
            </w:r>
          </w:p>
        </w:tc>
        <w:tc>
          <w:tcPr>
            <w:tcW w:type="dxa" w:w="4252"/>
            <w:vAlign w:val="top"/>
          </w:tcPr>
          <w:p>
            <w:r/>
            <w:r>
              <w:rPr>
                <w:b w:val="0"/>
                <w:sz w:val="12"/>
              </w:rPr>
              <w:t>"{historical_name}" (prospectus OR factsheet)</w:t>
            </w:r>
          </w:p>
        </w:tc>
        <w:tc>
          <w:tcPr>
            <w:tcW w:type="dxa" w:w="3118"/>
            <w:vAlign w:val="top"/>
          </w:tcPr>
          <w:p>
            <w:r/>
            <w:r>
              <w:rPr>
                <w:b w:val="0"/>
                <w:sz w:val="12"/>
              </w:rPr>
              <w:t>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45</w:t>
            </w:r>
          </w:p>
        </w:tc>
        <w:tc>
          <w:tcPr>
            <w:tcW w:type="dxa" w:w="1814"/>
            <w:vAlign w:val="top"/>
          </w:tcPr>
          <w:p>
            <w:r/>
            <w:r>
              <w:rPr>
                <w:b w:val="0"/>
                <w:sz w:val="12"/>
              </w:rPr>
              <w:t>Exposition</w:t>
            </w:r>
          </w:p>
        </w:tc>
        <w:tc>
          <w:tcPr>
            <w:tcW w:type="dxa" w:w="2381"/>
            <w:vAlign w:val="top"/>
          </w:tcPr>
          <w:p>
            <w:r/>
            <w:r>
              <w:rPr>
                <w:b w:val="0"/>
                <w:sz w:val="12"/>
              </w:rPr>
              <w:t>Emprunt / leverage</w:t>
            </w:r>
          </w:p>
        </w:tc>
        <w:tc>
          <w:tcPr>
            <w:tcW w:type="dxa" w:w="4252"/>
            <w:vAlign w:val="top"/>
          </w:tcPr>
          <w:p>
            <w:r/>
            <w:r>
              <w:rPr>
                <w:b w:val="0"/>
                <w:sz w:val="12"/>
              </w:rPr>
              <w:t>"{historical_name}" (prospectus OR factsheet)</w:t>
            </w:r>
          </w:p>
        </w:tc>
        <w:tc>
          <w:tcPr>
            <w:tcW w:type="dxa" w:w="3118"/>
            <w:vAlign w:val="top"/>
          </w:tcPr>
          <w:p>
            <w:r/>
            <w:r>
              <w:rPr>
                <w:b w:val="0"/>
                <w:sz w:val="12"/>
              </w:rPr>
              <w:t>Prospectus/rules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46</w:t>
            </w:r>
          </w:p>
        </w:tc>
        <w:tc>
          <w:tcPr>
            <w:tcW w:type="dxa" w:w="1814"/>
            <w:vAlign w:val="top"/>
          </w:tcPr>
          <w:p>
            <w:r/>
            <w:r>
              <w:rPr>
                <w:b w:val="0"/>
                <w:sz w:val="12"/>
              </w:rPr>
              <w:t>Marché cible</w:t>
            </w:r>
          </w:p>
        </w:tc>
        <w:tc>
          <w:tcPr>
            <w:tcW w:type="dxa" w:w="2381"/>
            <w:vAlign w:val="top"/>
          </w:tcPr>
          <w:p>
            <w:r/>
            <w:r>
              <w:rPr>
                <w:b w:val="0"/>
                <w:sz w:val="12"/>
              </w:rPr>
              <w:t>Investisseurs éligibles</w:t>
            </w:r>
          </w:p>
        </w:tc>
        <w:tc>
          <w:tcPr>
            <w:tcW w:type="dxa" w:w="4252"/>
            <w:vAlign w:val="top"/>
          </w:tcPr>
          <w:p>
            <w:r/>
            <w:r>
              <w:rPr>
                <w:b w:val="0"/>
                <w:sz w:val="12"/>
              </w:rPr>
              <w:t>"{historical_name}" (prospectus OR factsheet)</w:t>
            </w:r>
          </w:p>
        </w:tc>
        <w:tc>
          <w:tcPr>
            <w:tcW w:type="dxa" w:w="3118"/>
            <w:vAlign w:val="top"/>
          </w:tcPr>
          <w:p>
            <w:r/>
            <w:r>
              <w:rPr>
                <w:b w:val="0"/>
                <w:sz w:val="12"/>
              </w:rPr>
              <w:t>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47</w:t>
            </w:r>
          </w:p>
        </w:tc>
        <w:tc>
          <w:tcPr>
            <w:tcW w:type="dxa" w:w="1814"/>
            <w:vAlign w:val="top"/>
          </w:tcPr>
          <w:p>
            <w:r/>
            <w:r>
              <w:rPr>
                <w:b w:val="0"/>
                <w:sz w:val="12"/>
              </w:rPr>
              <w:t>Fiscalité</w:t>
            </w:r>
          </w:p>
        </w:tc>
        <w:tc>
          <w:tcPr>
            <w:tcW w:type="dxa" w:w="2381"/>
            <w:vAlign w:val="top"/>
          </w:tcPr>
          <w:p>
            <w:r/>
            <w:r>
              <w:rPr>
                <w:b w:val="0"/>
                <w:sz w:val="12"/>
              </w:rPr>
              <w:t>Traitement fiscal décrit</w:t>
            </w:r>
          </w:p>
        </w:tc>
        <w:tc>
          <w:tcPr>
            <w:tcW w:type="dxa" w:w="4252"/>
            <w:vAlign w:val="top"/>
          </w:tcPr>
          <w:p>
            <w:r/>
            <w:r>
              <w:rPr>
                <w:b w:val="0"/>
                <w:sz w:val="12"/>
              </w:rPr>
              <w:t>"{historical_name}" (prospectus OR factsheet)</w:t>
            </w:r>
          </w:p>
        </w:tc>
        <w:tc>
          <w:tcPr>
            <w:tcW w:type="dxa" w:w="3118"/>
            <w:vAlign w:val="top"/>
          </w:tcPr>
          <w:p>
            <w:r/>
            <w:r>
              <w:rPr>
                <w:b w:val="0"/>
                <w:sz w:val="12"/>
              </w:rPr>
              <w:t>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48</w:t>
            </w:r>
          </w:p>
        </w:tc>
        <w:tc>
          <w:tcPr>
            <w:tcW w:type="dxa" w:w="1814"/>
            <w:vAlign w:val="top"/>
          </w:tcPr>
          <w:p>
            <w:r/>
            <w:r>
              <w:rPr>
                <w:b w:val="0"/>
                <w:sz w:val="12"/>
              </w:rPr>
              <w:t>URLs</w:t>
            </w:r>
          </w:p>
        </w:tc>
        <w:tc>
          <w:tcPr>
            <w:tcW w:type="dxa" w:w="2381"/>
            <w:vAlign w:val="top"/>
          </w:tcPr>
          <w:p>
            <w:r/>
            <w:r>
              <w:rPr>
                <w:b w:val="0"/>
                <w:sz w:val="12"/>
              </w:rPr>
              <w:t>Site du gestionnaire</w:t>
            </w:r>
          </w:p>
        </w:tc>
        <w:tc>
          <w:tcPr>
            <w:tcW w:type="dxa" w:w="4252"/>
            <w:vAlign w:val="top"/>
          </w:tcPr>
          <w:p>
            <w:r/>
            <w:r>
              <w:rPr>
                <w:b w:val="0"/>
                <w:sz w:val="12"/>
              </w:rPr>
              <w:t>"{historical_name}" ("fund manager" OR managed by OR transferred)</w:t>
            </w:r>
          </w:p>
        </w:tc>
        <w:tc>
          <w:tcPr>
            <w:tcW w:type="dxa" w:w="3118"/>
            <w:vAlign w:val="top"/>
          </w:tcPr>
          <w:p>
            <w:r/>
            <w:r>
              <w:rPr>
                <w:b w:val="0"/>
                <w:sz w:val="12"/>
              </w:rPr>
              <w:t>SEC register/site</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49</w:t>
            </w:r>
          </w:p>
        </w:tc>
        <w:tc>
          <w:tcPr>
            <w:tcW w:type="dxa" w:w="1814"/>
            <w:vAlign w:val="top"/>
          </w:tcPr>
          <w:p>
            <w:r/>
            <w:r>
              <w:rPr>
                <w:b w:val="0"/>
                <w:sz w:val="12"/>
              </w:rPr>
              <w:t>URLs</w:t>
            </w:r>
          </w:p>
        </w:tc>
        <w:tc>
          <w:tcPr>
            <w:tcW w:type="dxa" w:w="2381"/>
            <w:vAlign w:val="top"/>
          </w:tcPr>
          <w:p>
            <w:r/>
            <w:r>
              <w:rPr>
                <w:b w:val="0"/>
                <w:sz w:val="12"/>
              </w:rPr>
              <w:t>Page officielle du fonds</w:t>
            </w:r>
          </w:p>
        </w:tc>
        <w:tc>
          <w:tcPr>
            <w:tcW w:type="dxa" w:w="4252"/>
            <w:vAlign w:val="top"/>
          </w:tcPr>
          <w:p>
            <w:r/>
            <w:r>
              <w:rPr>
                <w:b w:val="0"/>
                <w:sz w:val="12"/>
              </w:rPr>
              <w:t>"{historical_name}" (prospectus OR factsheet)</w:t>
            </w:r>
          </w:p>
        </w:tc>
        <w:tc>
          <w:tcPr>
            <w:tcW w:type="dxa" w:w="3118"/>
            <w:vAlign w:val="top"/>
          </w:tcPr>
          <w:p>
            <w:r/>
            <w:r>
              <w:rPr>
                <w:b w:val="0"/>
                <w:sz w:val="12"/>
              </w:rPr>
              <w:t>Gestionnaire</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50</w:t>
            </w:r>
          </w:p>
        </w:tc>
        <w:tc>
          <w:tcPr>
            <w:tcW w:type="dxa" w:w="1814"/>
            <w:vAlign w:val="top"/>
          </w:tcPr>
          <w:p>
            <w:r/>
            <w:r>
              <w:rPr>
                <w:b w:val="0"/>
                <w:sz w:val="12"/>
              </w:rPr>
              <w:t>Documents</w:t>
            </w:r>
          </w:p>
        </w:tc>
        <w:tc>
          <w:tcPr>
            <w:tcW w:type="dxa" w:w="2381"/>
            <w:vAlign w:val="top"/>
          </w:tcPr>
          <w:p>
            <w:r/>
            <w:r>
              <w:rPr>
                <w:b w:val="0"/>
                <w:sz w:val="12"/>
              </w:rPr>
              <w:t>URL prospectus</w:t>
            </w:r>
          </w:p>
        </w:tc>
        <w:tc>
          <w:tcPr>
            <w:tcW w:type="dxa" w:w="4252"/>
            <w:vAlign w:val="top"/>
          </w:tcPr>
          <w:p>
            <w:r/>
            <w:r>
              <w:rPr>
                <w:b w:val="0"/>
                <w:sz w:val="12"/>
              </w:rPr>
              <w:t>"{historical_name}" prospectus filetype:pdf</w:t>
            </w:r>
          </w:p>
        </w:tc>
        <w:tc>
          <w:tcPr>
            <w:tcW w:type="dxa" w:w="3118"/>
            <w:vAlign w:val="top"/>
          </w:tcPr>
          <w:p>
            <w:r/>
            <w:r>
              <w:rPr>
                <w:b w:val="0"/>
                <w:sz w:val="12"/>
              </w:rPr>
              <w:t>Gestionnaire/SEC</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51</w:t>
            </w:r>
          </w:p>
        </w:tc>
        <w:tc>
          <w:tcPr>
            <w:tcW w:type="dxa" w:w="1814"/>
            <w:vAlign w:val="top"/>
          </w:tcPr>
          <w:p>
            <w:r/>
            <w:r>
              <w:rPr>
                <w:b w:val="0"/>
                <w:sz w:val="12"/>
              </w:rPr>
              <w:t>Documents</w:t>
            </w:r>
          </w:p>
        </w:tc>
        <w:tc>
          <w:tcPr>
            <w:tcW w:type="dxa" w:w="2381"/>
            <w:vAlign w:val="top"/>
          </w:tcPr>
          <w:p>
            <w:r/>
            <w:r>
              <w:rPr>
                <w:b w:val="0"/>
                <w:sz w:val="12"/>
              </w:rPr>
              <w:t>URL supplemental prospectus</w:t>
            </w:r>
          </w:p>
        </w:tc>
        <w:tc>
          <w:tcPr>
            <w:tcW w:type="dxa" w:w="4252"/>
            <w:vAlign w:val="top"/>
          </w:tcPr>
          <w:p>
            <w:r/>
            <w:r>
              <w:rPr>
                <w:b w:val="0"/>
                <w:sz w:val="12"/>
              </w:rPr>
              <w:t>"{historical_name}" prospectus filetype:pdf</w:t>
            </w:r>
          </w:p>
        </w:tc>
        <w:tc>
          <w:tcPr>
            <w:tcW w:type="dxa" w:w="3118"/>
            <w:vAlign w:val="top"/>
          </w:tcPr>
          <w:p>
            <w:r/>
            <w:r>
              <w:rPr>
                <w:b w:val="0"/>
                <w:sz w:val="12"/>
              </w:rPr>
              <w:t>Gestionnaire/SEC</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52</w:t>
            </w:r>
          </w:p>
        </w:tc>
        <w:tc>
          <w:tcPr>
            <w:tcW w:type="dxa" w:w="1814"/>
            <w:vAlign w:val="top"/>
          </w:tcPr>
          <w:p>
            <w:r/>
            <w:r>
              <w:rPr>
                <w:b w:val="0"/>
                <w:sz w:val="12"/>
              </w:rPr>
              <w:t>Documents</w:t>
            </w:r>
          </w:p>
        </w:tc>
        <w:tc>
          <w:tcPr>
            <w:tcW w:type="dxa" w:w="2381"/>
            <w:vAlign w:val="top"/>
          </w:tcPr>
          <w:p>
            <w:r/>
            <w:r>
              <w:rPr>
                <w:b w:val="0"/>
                <w:sz w:val="12"/>
              </w:rPr>
              <w:t>URL SID / KID</w:t>
            </w:r>
          </w:p>
        </w:tc>
        <w:tc>
          <w:tcPr>
            <w:tcW w:type="dxa" w:w="4252"/>
            <w:vAlign w:val="top"/>
          </w:tcPr>
          <w:p>
            <w:r/>
            <w:r>
              <w:rPr>
                <w:b w:val="0"/>
                <w:sz w:val="12"/>
              </w:rPr>
              <w:t>"{historical_name}" (prospectus OR factsheet OR annual report)</w:t>
            </w:r>
          </w:p>
        </w:tc>
        <w:tc>
          <w:tcPr>
            <w:tcW w:type="dxa" w:w="3118"/>
            <w:vAlign w:val="top"/>
          </w:tcPr>
          <w:p>
            <w:r/>
            <w:r>
              <w:rPr>
                <w:b w:val="0"/>
                <w:sz w:val="12"/>
              </w:rPr>
              <w:t>Gestionnaire</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53</w:t>
            </w:r>
          </w:p>
        </w:tc>
        <w:tc>
          <w:tcPr>
            <w:tcW w:type="dxa" w:w="1814"/>
            <w:vAlign w:val="top"/>
          </w:tcPr>
          <w:p>
            <w:r/>
            <w:r>
              <w:rPr>
                <w:b w:val="0"/>
                <w:sz w:val="12"/>
              </w:rPr>
              <w:t>Documents</w:t>
            </w:r>
          </w:p>
        </w:tc>
        <w:tc>
          <w:tcPr>
            <w:tcW w:type="dxa" w:w="2381"/>
            <w:vAlign w:val="top"/>
          </w:tcPr>
          <w:p>
            <w:r/>
            <w:r>
              <w:rPr>
                <w:b w:val="0"/>
                <w:sz w:val="12"/>
              </w:rPr>
              <w:t>URL fact sheet</w:t>
            </w:r>
          </w:p>
        </w:tc>
        <w:tc>
          <w:tcPr>
            <w:tcW w:type="dxa" w:w="4252"/>
            <w:vAlign w:val="top"/>
          </w:tcPr>
          <w:p>
            <w:r/>
            <w:r>
              <w:rPr>
                <w:b w:val="0"/>
                <w:sz w:val="12"/>
              </w:rPr>
              <w:t>"{historical_name}" (prospectus OR factsheet OR annual report)</w:t>
            </w:r>
          </w:p>
        </w:tc>
        <w:tc>
          <w:tcPr>
            <w:tcW w:type="dxa" w:w="3118"/>
            <w:vAlign w:val="top"/>
          </w:tcPr>
          <w:p>
            <w:r/>
            <w:r>
              <w:rPr>
                <w:b w:val="0"/>
                <w:sz w:val="12"/>
              </w:rPr>
              <w:t>Gestionnaire</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54</w:t>
            </w:r>
          </w:p>
        </w:tc>
        <w:tc>
          <w:tcPr>
            <w:tcW w:type="dxa" w:w="1814"/>
            <w:vAlign w:val="top"/>
          </w:tcPr>
          <w:p>
            <w:r/>
            <w:r>
              <w:rPr>
                <w:b w:val="0"/>
                <w:sz w:val="12"/>
              </w:rPr>
              <w:t>Documents</w:t>
            </w:r>
          </w:p>
        </w:tc>
        <w:tc>
          <w:tcPr>
            <w:tcW w:type="dxa" w:w="2381"/>
            <w:vAlign w:val="top"/>
          </w:tcPr>
          <w:p>
            <w:r/>
            <w:r>
              <w:rPr>
                <w:b w:val="0"/>
                <w:sz w:val="12"/>
              </w:rPr>
              <w:t>URL annual report</w:t>
            </w:r>
          </w:p>
        </w:tc>
        <w:tc>
          <w:tcPr>
            <w:tcW w:type="dxa" w:w="4252"/>
            <w:vAlign w:val="top"/>
          </w:tcPr>
          <w:p>
            <w:r/>
            <w:r>
              <w:rPr>
                <w:b w:val="0"/>
                <w:sz w:val="12"/>
              </w:rPr>
              <w:t>"{historical_name}" (prospectus OR factsheet OR annual report)</w:t>
            </w:r>
          </w:p>
        </w:tc>
        <w:tc>
          <w:tcPr>
            <w:tcW w:type="dxa" w:w="3118"/>
            <w:vAlign w:val="top"/>
          </w:tcPr>
          <w:p>
            <w:r/>
            <w:r>
              <w:rPr>
                <w:b w:val="0"/>
                <w:sz w:val="12"/>
              </w:rPr>
              <w:t>Gestionnaire/SEC</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55</w:t>
            </w:r>
          </w:p>
        </w:tc>
        <w:tc>
          <w:tcPr>
            <w:tcW w:type="dxa" w:w="1814"/>
            <w:vAlign w:val="top"/>
          </w:tcPr>
          <w:p>
            <w:r/>
            <w:r>
              <w:rPr>
                <w:b w:val="0"/>
                <w:sz w:val="12"/>
              </w:rPr>
              <w:t>Documents</w:t>
            </w:r>
          </w:p>
        </w:tc>
        <w:tc>
          <w:tcPr>
            <w:tcW w:type="dxa" w:w="2381"/>
            <w:vAlign w:val="top"/>
          </w:tcPr>
          <w:p>
            <w:r/>
            <w:r>
              <w:rPr>
                <w:b w:val="0"/>
                <w:sz w:val="12"/>
              </w:rPr>
              <w:t>URL audited statements</w:t>
            </w:r>
          </w:p>
        </w:tc>
        <w:tc>
          <w:tcPr>
            <w:tcW w:type="dxa" w:w="4252"/>
            <w:vAlign w:val="top"/>
          </w:tcPr>
          <w:p>
            <w:r/>
            <w:r>
              <w:rPr>
                <w:b w:val="0"/>
                <w:sz w:val="12"/>
              </w:rPr>
              <w:t>"{historical_name}" (prospectus OR factsheet OR annual report)</w:t>
            </w:r>
          </w:p>
        </w:tc>
        <w:tc>
          <w:tcPr>
            <w:tcW w:type="dxa" w:w="3118"/>
            <w:vAlign w:val="top"/>
          </w:tcPr>
          <w:p>
            <w:r/>
            <w:r>
              <w:rPr>
                <w:b w:val="0"/>
                <w:sz w:val="12"/>
              </w:rPr>
              <w:t>Gestionnaire/SEC</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56</w:t>
            </w:r>
          </w:p>
        </w:tc>
        <w:tc>
          <w:tcPr>
            <w:tcW w:type="dxa" w:w="1814"/>
            <w:vAlign w:val="top"/>
          </w:tcPr>
          <w:p>
            <w:r/>
            <w:r>
              <w:rPr>
                <w:b w:val="0"/>
                <w:sz w:val="12"/>
              </w:rPr>
              <w:t>Documents</w:t>
            </w:r>
          </w:p>
        </w:tc>
        <w:tc>
          <w:tcPr>
            <w:tcW w:type="dxa" w:w="2381"/>
            <w:vAlign w:val="top"/>
          </w:tcPr>
          <w:p>
            <w:r/>
            <w:r>
              <w:rPr>
                <w:b w:val="0"/>
                <w:sz w:val="12"/>
              </w:rPr>
              <w:t>URL avis SEC</w:t>
            </w:r>
          </w:p>
        </w:tc>
        <w:tc>
          <w:tcPr>
            <w:tcW w:type="dxa" w:w="4252"/>
            <w:vAlign w:val="top"/>
          </w:tcPr>
          <w:p>
            <w:r/>
            <w:r>
              <w:rPr>
                <w:b w:val="0"/>
                <w:sz w:val="12"/>
              </w:rPr>
              <w:t>"{historical_name}" (prospectus OR factsheet OR annual report)</w:t>
            </w:r>
          </w:p>
        </w:tc>
        <w:tc>
          <w:tcPr>
            <w:tcW w:type="dxa" w:w="3118"/>
            <w:vAlign w:val="top"/>
          </w:tcPr>
          <w:p>
            <w:r/>
            <w:r>
              <w:rPr>
                <w:b w:val="0"/>
                <w:sz w:val="12"/>
              </w:rPr>
              <w:t>SEC</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57</w:t>
            </w:r>
          </w:p>
        </w:tc>
        <w:tc>
          <w:tcPr>
            <w:tcW w:type="dxa" w:w="1814"/>
            <w:vAlign w:val="top"/>
          </w:tcPr>
          <w:p>
            <w:r/>
            <w:r>
              <w:rPr>
                <w:b w:val="0"/>
                <w:sz w:val="12"/>
              </w:rPr>
              <w:t>Documents</w:t>
            </w:r>
          </w:p>
        </w:tc>
        <w:tc>
          <w:tcPr>
            <w:tcW w:type="dxa" w:w="2381"/>
            <w:vAlign w:val="top"/>
          </w:tcPr>
          <w:p>
            <w:r/>
            <w:r>
              <w:rPr>
                <w:b w:val="0"/>
                <w:sz w:val="12"/>
              </w:rPr>
              <w:t>URL offer circular</w:t>
            </w:r>
          </w:p>
        </w:tc>
        <w:tc>
          <w:tcPr>
            <w:tcW w:type="dxa" w:w="4252"/>
            <w:vAlign w:val="top"/>
          </w:tcPr>
          <w:p>
            <w:r/>
            <w:r>
              <w:rPr>
                <w:b w:val="0"/>
                <w:sz w:val="12"/>
              </w:rPr>
              <w:t>"{historical_name}" (prospectus OR factsheet OR annual report)</w:t>
            </w:r>
          </w:p>
        </w:tc>
        <w:tc>
          <w:tcPr>
            <w:tcW w:type="dxa" w:w="3118"/>
            <w:vAlign w:val="top"/>
          </w:tcPr>
          <w:p>
            <w:r/>
            <w:r>
              <w:rPr>
                <w:b w:val="0"/>
                <w:sz w:val="12"/>
              </w:rPr>
              <w:t>Gestionnaire/SEC/NGX</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58</w:t>
            </w:r>
          </w:p>
        </w:tc>
        <w:tc>
          <w:tcPr>
            <w:tcW w:type="dxa" w:w="1814"/>
            <w:vAlign w:val="top"/>
          </w:tcPr>
          <w:p>
            <w:r/>
            <w:r>
              <w:rPr>
                <w:b w:val="0"/>
                <w:sz w:val="12"/>
              </w:rPr>
              <w:t>Documents</w:t>
            </w:r>
          </w:p>
        </w:tc>
        <w:tc>
          <w:tcPr>
            <w:tcW w:type="dxa" w:w="2381"/>
            <w:vAlign w:val="top"/>
          </w:tcPr>
          <w:p>
            <w:r/>
            <w:r>
              <w:rPr>
                <w:b w:val="0"/>
                <w:sz w:val="12"/>
              </w:rPr>
              <w:t>URL trust deed</w:t>
            </w:r>
          </w:p>
        </w:tc>
        <w:tc>
          <w:tcPr>
            <w:tcW w:type="dxa" w:w="4252"/>
            <w:vAlign w:val="top"/>
          </w:tcPr>
          <w:p>
            <w:r/>
            <w:r>
              <w:rPr>
                <w:b w:val="0"/>
                <w:sz w:val="12"/>
              </w:rPr>
              <w:t>"{historical_name}" (prospectus OR factsheet OR annual report)</w:t>
            </w:r>
          </w:p>
        </w:tc>
        <w:tc>
          <w:tcPr>
            <w:tcW w:type="dxa" w:w="3118"/>
            <w:vAlign w:val="top"/>
          </w:tcPr>
          <w:p>
            <w:r/>
            <w:r>
              <w:rPr>
                <w:b w:val="0"/>
                <w:sz w:val="12"/>
              </w:rPr>
              <w:t>Gestionnaire/SEC</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59</w:t>
            </w:r>
          </w:p>
        </w:tc>
        <w:tc>
          <w:tcPr>
            <w:tcW w:type="dxa" w:w="1814"/>
            <w:vAlign w:val="top"/>
          </w:tcPr>
          <w:p>
            <w:r/>
            <w:r>
              <w:rPr>
                <w:b w:val="0"/>
                <w:sz w:val="12"/>
              </w:rPr>
              <w:t>Documents</w:t>
            </w:r>
          </w:p>
        </w:tc>
        <w:tc>
          <w:tcPr>
            <w:tcW w:type="dxa" w:w="2381"/>
            <w:vAlign w:val="top"/>
          </w:tcPr>
          <w:p>
            <w:r/>
            <w:r>
              <w:rPr>
                <w:b w:val="0"/>
                <w:sz w:val="12"/>
              </w:rPr>
              <w:t>URL page archivée</w:t>
            </w:r>
          </w:p>
        </w:tc>
        <w:tc>
          <w:tcPr>
            <w:tcW w:type="dxa" w:w="4252"/>
            <w:vAlign w:val="top"/>
          </w:tcPr>
          <w:p>
            <w:r/>
            <w:r>
              <w:rPr>
                <w:b w:val="0"/>
                <w:sz w:val="12"/>
              </w:rPr>
              <w:t>"{historical_name}" (prospectus OR factsheet OR annual report)</w:t>
            </w:r>
          </w:p>
        </w:tc>
        <w:tc>
          <w:tcPr>
            <w:tcW w:type="dxa" w:w="3118"/>
            <w:vAlign w:val="top"/>
          </w:tcPr>
          <w:p>
            <w:r/>
            <w:r>
              <w:rPr>
                <w:b w:val="0"/>
                <w:sz w:val="12"/>
              </w:rPr>
              <w:t>Archive</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60</w:t>
            </w:r>
          </w:p>
        </w:tc>
        <w:tc>
          <w:tcPr>
            <w:tcW w:type="dxa" w:w="1814"/>
            <w:vAlign w:val="top"/>
          </w:tcPr>
          <w:p>
            <w:r/>
            <w:r>
              <w:rPr>
                <w:b w:val="0"/>
                <w:sz w:val="12"/>
              </w:rPr>
              <w:t>Preuve</w:t>
            </w:r>
          </w:p>
        </w:tc>
        <w:tc>
          <w:tcPr>
            <w:tcW w:type="dxa" w:w="2381"/>
            <w:vAlign w:val="top"/>
          </w:tcPr>
          <w:p>
            <w:r/>
            <w:r>
              <w:rPr>
                <w:b w:val="0"/>
                <w:sz w:val="12"/>
              </w:rPr>
              <w:t>Liste des sources vérifiées</w:t>
            </w:r>
          </w:p>
        </w:tc>
        <w:tc>
          <w:tcPr>
            <w:tcW w:type="dxa" w:w="4252"/>
            <w:vAlign w:val="top"/>
          </w:tcPr>
          <w:p>
            <w:r/>
            <w:r>
              <w:rPr>
                <w:b w:val="0"/>
                <w:sz w:val="12"/>
              </w:rPr>
              <w:t>"{historical_name}" (prospectus OR factsheet)</w:t>
            </w:r>
          </w:p>
        </w:tc>
        <w:tc>
          <w:tcPr>
            <w:tcW w:type="dxa" w:w="3118"/>
            <w:vAlign w:val="top"/>
          </w:tcPr>
          <w:p>
            <w:r/>
            <w:r>
              <w:rPr>
                <w:b w:val="0"/>
                <w:sz w:val="12"/>
              </w:rPr>
              <w:t>Journal de preuve</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61</w:t>
            </w:r>
          </w:p>
        </w:tc>
        <w:tc>
          <w:tcPr>
            <w:tcW w:type="dxa" w:w="1814"/>
            <w:vAlign w:val="top"/>
          </w:tcPr>
          <w:p>
            <w:r/>
            <w:r>
              <w:rPr>
                <w:b w:val="0"/>
                <w:sz w:val="12"/>
              </w:rPr>
              <w:t>Preuve</w:t>
            </w:r>
          </w:p>
        </w:tc>
        <w:tc>
          <w:tcPr>
            <w:tcW w:type="dxa" w:w="2381"/>
            <w:vAlign w:val="top"/>
          </w:tcPr>
          <w:p>
            <w:r/>
            <w:r>
              <w:rPr>
                <w:b w:val="0"/>
                <w:sz w:val="12"/>
              </w:rPr>
              <w:t>Niveau de confiance global</w:t>
            </w:r>
          </w:p>
        </w:tc>
        <w:tc>
          <w:tcPr>
            <w:tcW w:type="dxa" w:w="4252"/>
            <w:vAlign w:val="top"/>
          </w:tcPr>
          <w:p>
            <w:r/>
            <w:r>
              <w:rPr>
                <w:b w:val="0"/>
                <w:sz w:val="12"/>
              </w:rPr>
              <w:t>"{historical_name}" (prospectus OR factsheet)</w:t>
            </w:r>
          </w:p>
        </w:tc>
        <w:tc>
          <w:tcPr>
            <w:tcW w:type="dxa" w:w="3118"/>
            <w:vAlign w:val="top"/>
          </w:tcPr>
          <w:p>
            <w:r/>
            <w:r>
              <w:rPr>
                <w:b w:val="0"/>
                <w:sz w:val="12"/>
              </w:rPr>
              <w:t>Calcul/revue</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62</w:t>
            </w:r>
          </w:p>
        </w:tc>
        <w:tc>
          <w:tcPr>
            <w:tcW w:type="dxa" w:w="1814"/>
            <w:vAlign w:val="top"/>
          </w:tcPr>
          <w:p>
            <w:r/>
            <w:r>
              <w:rPr>
                <w:b w:val="0"/>
                <w:sz w:val="12"/>
              </w:rPr>
              <w:t>Preuve</w:t>
            </w:r>
          </w:p>
        </w:tc>
        <w:tc>
          <w:tcPr>
            <w:tcW w:type="dxa" w:w="2381"/>
            <w:vAlign w:val="top"/>
          </w:tcPr>
          <w:p>
            <w:r/>
            <w:r>
              <w:rPr>
                <w:b w:val="0"/>
                <w:sz w:val="12"/>
              </w:rPr>
              <w:t>Date de dernière vérification</w:t>
            </w:r>
          </w:p>
        </w:tc>
        <w:tc>
          <w:tcPr>
            <w:tcW w:type="dxa" w:w="4252"/>
            <w:vAlign w:val="top"/>
          </w:tcPr>
          <w:p>
            <w:r/>
            <w:r>
              <w:rPr>
                <w:b w:val="0"/>
                <w:sz w:val="12"/>
              </w:rPr>
              <w:t>"{historical_name}" (prospectus OR factsheet)</w:t>
            </w:r>
          </w:p>
        </w:tc>
        <w:tc>
          <w:tcPr>
            <w:tcW w:type="dxa" w:w="3118"/>
            <w:vAlign w:val="top"/>
          </w:tcPr>
          <w:p>
            <w:r/>
            <w:r>
              <w:rPr>
                <w:b w:val="0"/>
                <w:sz w:val="12"/>
              </w:rPr>
              <w:t>Système</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63</w:t>
            </w:r>
          </w:p>
        </w:tc>
        <w:tc>
          <w:tcPr>
            <w:tcW w:type="dxa" w:w="1814"/>
            <w:vAlign w:val="top"/>
          </w:tcPr>
          <w:p>
            <w:r/>
            <w:r>
              <w:rPr>
                <w:b w:val="0"/>
                <w:sz w:val="12"/>
              </w:rPr>
              <w:t>Événement</w:t>
            </w:r>
          </w:p>
        </w:tc>
        <w:tc>
          <w:tcPr>
            <w:tcW w:type="dxa" w:w="2381"/>
            <w:vAlign w:val="top"/>
          </w:tcPr>
          <w:p>
            <w:r/>
            <w:r>
              <w:rPr>
                <w:b w:val="0"/>
                <w:sz w:val="12"/>
              </w:rPr>
              <w:t>Changements de nom</w:t>
            </w:r>
          </w:p>
        </w:tc>
        <w:tc>
          <w:tcPr>
            <w:tcW w:type="dxa" w:w="4252"/>
            <w:vAlign w:val="top"/>
          </w:tcPr>
          <w:p>
            <w:r/>
            <w:r>
              <w:rPr>
                <w:b w:val="0"/>
                <w:sz w:val="12"/>
              </w:rPr>
              <w:t>"{historical_name}" (prospectus OR factsheet)</w:t>
            </w:r>
          </w:p>
        </w:tc>
        <w:tc>
          <w:tcPr>
            <w:tcW w:type="dxa" w:w="3118"/>
            <w:vAlign w:val="top"/>
          </w:tcPr>
          <w:p>
            <w:r/>
            <w:r>
              <w:rPr>
                <w:b w:val="0"/>
                <w:sz w:val="12"/>
              </w:rPr>
              <w:t>Avis/prospectus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64</w:t>
            </w:r>
          </w:p>
        </w:tc>
        <w:tc>
          <w:tcPr>
            <w:tcW w:type="dxa" w:w="1814"/>
            <w:vAlign w:val="top"/>
          </w:tcPr>
          <w:p>
            <w:r/>
            <w:r>
              <w:rPr>
                <w:b w:val="0"/>
                <w:sz w:val="12"/>
              </w:rPr>
              <w:t>Événement</w:t>
            </w:r>
          </w:p>
        </w:tc>
        <w:tc>
          <w:tcPr>
            <w:tcW w:type="dxa" w:w="2381"/>
            <w:vAlign w:val="top"/>
          </w:tcPr>
          <w:p>
            <w:r/>
            <w:r>
              <w:rPr>
                <w:b w:val="0"/>
                <w:sz w:val="12"/>
              </w:rPr>
              <w:t>Changements de gestionnaire</w:t>
            </w:r>
          </w:p>
        </w:tc>
        <w:tc>
          <w:tcPr>
            <w:tcW w:type="dxa" w:w="4252"/>
            <w:vAlign w:val="top"/>
          </w:tcPr>
          <w:p>
            <w:r/>
            <w:r>
              <w:rPr>
                <w:b w:val="0"/>
                <w:sz w:val="12"/>
              </w:rPr>
              <w:t>"{historical_name}" ("fund manager" OR managed by OR transferred)</w:t>
            </w:r>
          </w:p>
        </w:tc>
        <w:tc>
          <w:tcPr>
            <w:tcW w:type="dxa" w:w="3118"/>
            <w:vAlign w:val="top"/>
          </w:tcPr>
          <w:p>
            <w:r/>
            <w:r>
              <w:rPr>
                <w:b w:val="0"/>
                <w:sz w:val="12"/>
              </w:rPr>
              <w:t>SEC/rapports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65</w:t>
            </w:r>
          </w:p>
        </w:tc>
        <w:tc>
          <w:tcPr>
            <w:tcW w:type="dxa" w:w="1814"/>
            <w:vAlign w:val="top"/>
          </w:tcPr>
          <w:p>
            <w:r/>
            <w:r>
              <w:rPr>
                <w:b w:val="0"/>
                <w:sz w:val="12"/>
              </w:rPr>
              <w:t>Événement</w:t>
            </w:r>
          </w:p>
        </w:tc>
        <w:tc>
          <w:tcPr>
            <w:tcW w:type="dxa" w:w="2381"/>
            <w:vAlign w:val="top"/>
          </w:tcPr>
          <w:p>
            <w:r/>
            <w:r>
              <w:rPr>
                <w:b w:val="0"/>
                <w:sz w:val="12"/>
              </w:rPr>
              <w:t>Fusion</w:t>
            </w:r>
          </w:p>
        </w:tc>
        <w:tc>
          <w:tcPr>
            <w:tcW w:type="dxa" w:w="4252"/>
            <w:vAlign w:val="top"/>
          </w:tcPr>
          <w:p>
            <w:r/>
            <w:r>
              <w:rPr>
                <w:b w:val="0"/>
                <w:sz w:val="12"/>
              </w:rPr>
              <w:t>"{historical_name}" (prospectus OR factsheet)</w:t>
            </w:r>
          </w:p>
        </w:tc>
        <w:tc>
          <w:tcPr>
            <w:tcW w:type="dxa" w:w="3118"/>
            <w:vAlign w:val="top"/>
          </w:tcPr>
          <w:p>
            <w:r/>
            <w:r>
              <w:rPr>
                <w:b w:val="0"/>
                <w:sz w:val="12"/>
              </w:rPr>
              <w:t>Avis officiel</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66</w:t>
            </w:r>
          </w:p>
        </w:tc>
        <w:tc>
          <w:tcPr>
            <w:tcW w:type="dxa" w:w="1814"/>
            <w:vAlign w:val="top"/>
          </w:tcPr>
          <w:p>
            <w:r/>
            <w:r>
              <w:rPr>
                <w:b w:val="0"/>
                <w:sz w:val="12"/>
              </w:rPr>
              <w:t>Événement</w:t>
            </w:r>
          </w:p>
        </w:tc>
        <w:tc>
          <w:tcPr>
            <w:tcW w:type="dxa" w:w="2381"/>
            <w:vAlign w:val="top"/>
          </w:tcPr>
          <w:p>
            <w:r/>
            <w:r>
              <w:rPr>
                <w:b w:val="0"/>
                <w:sz w:val="12"/>
              </w:rPr>
              <w:t>Absorption</w:t>
            </w:r>
          </w:p>
        </w:tc>
        <w:tc>
          <w:tcPr>
            <w:tcW w:type="dxa" w:w="4252"/>
            <w:vAlign w:val="top"/>
          </w:tcPr>
          <w:p>
            <w:r/>
            <w:r>
              <w:rPr>
                <w:b w:val="0"/>
                <w:sz w:val="12"/>
              </w:rPr>
              <w:t>"{historical_name}" (prospectus OR factsheet)</w:t>
            </w:r>
          </w:p>
        </w:tc>
        <w:tc>
          <w:tcPr>
            <w:tcW w:type="dxa" w:w="3118"/>
            <w:vAlign w:val="top"/>
          </w:tcPr>
          <w:p>
            <w:r/>
            <w:r>
              <w:rPr>
                <w:b w:val="0"/>
                <w:sz w:val="12"/>
              </w:rPr>
              <w:t>Avis officiel</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67</w:t>
            </w:r>
          </w:p>
        </w:tc>
        <w:tc>
          <w:tcPr>
            <w:tcW w:type="dxa" w:w="1814"/>
            <w:vAlign w:val="top"/>
          </w:tcPr>
          <w:p>
            <w:r/>
            <w:r>
              <w:rPr>
                <w:b w:val="0"/>
                <w:sz w:val="12"/>
              </w:rPr>
              <w:t>Événement</w:t>
            </w:r>
          </w:p>
        </w:tc>
        <w:tc>
          <w:tcPr>
            <w:tcW w:type="dxa" w:w="2381"/>
            <w:vAlign w:val="top"/>
          </w:tcPr>
          <w:p>
            <w:r/>
            <w:r>
              <w:rPr>
                <w:b w:val="0"/>
                <w:sz w:val="12"/>
              </w:rPr>
              <w:t>Transfert</w:t>
            </w:r>
          </w:p>
        </w:tc>
        <w:tc>
          <w:tcPr>
            <w:tcW w:type="dxa" w:w="4252"/>
            <w:vAlign w:val="top"/>
          </w:tcPr>
          <w:p>
            <w:r/>
            <w:r>
              <w:rPr>
                <w:b w:val="0"/>
                <w:sz w:val="12"/>
              </w:rPr>
              <w:t>"{historical_name}" (prospectus OR factsheet)</w:t>
            </w:r>
          </w:p>
        </w:tc>
        <w:tc>
          <w:tcPr>
            <w:tcW w:type="dxa" w:w="3118"/>
            <w:vAlign w:val="top"/>
          </w:tcPr>
          <w:p>
            <w:r/>
            <w:r>
              <w:rPr>
                <w:b w:val="0"/>
                <w:sz w:val="12"/>
              </w:rPr>
              <w:t>Avis/rapport</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68</w:t>
            </w:r>
          </w:p>
        </w:tc>
        <w:tc>
          <w:tcPr>
            <w:tcW w:type="dxa" w:w="1814"/>
            <w:vAlign w:val="top"/>
          </w:tcPr>
          <w:p>
            <w:r/>
            <w:r>
              <w:rPr>
                <w:b w:val="0"/>
                <w:sz w:val="12"/>
              </w:rPr>
              <w:t>Événement</w:t>
            </w:r>
          </w:p>
        </w:tc>
        <w:tc>
          <w:tcPr>
            <w:tcW w:type="dxa" w:w="2381"/>
            <w:vAlign w:val="top"/>
          </w:tcPr>
          <w:p>
            <w:r/>
            <w:r>
              <w:rPr>
                <w:b w:val="0"/>
                <w:sz w:val="12"/>
              </w:rPr>
              <w:t>Split / consolidation</w:t>
            </w:r>
          </w:p>
        </w:tc>
        <w:tc>
          <w:tcPr>
            <w:tcW w:type="dxa" w:w="4252"/>
            <w:vAlign w:val="top"/>
          </w:tcPr>
          <w:p>
            <w:r/>
            <w:r>
              <w:rPr>
                <w:b w:val="0"/>
                <w:sz w:val="12"/>
              </w:rPr>
              <w:t>"{historical_name}" (prospectus OR factsheet)</w:t>
            </w:r>
          </w:p>
        </w:tc>
        <w:tc>
          <w:tcPr>
            <w:tcW w:type="dxa" w:w="3118"/>
            <w:vAlign w:val="top"/>
          </w:tcPr>
          <w:p>
            <w:r/>
            <w:r>
              <w:rPr>
                <w:b w:val="0"/>
                <w:sz w:val="12"/>
              </w:rPr>
              <w:t>Avis/rapport</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69</w:t>
            </w:r>
          </w:p>
        </w:tc>
        <w:tc>
          <w:tcPr>
            <w:tcW w:type="dxa" w:w="1814"/>
            <w:vAlign w:val="top"/>
          </w:tcPr>
          <w:p>
            <w:r/>
            <w:r>
              <w:rPr>
                <w:b w:val="0"/>
                <w:sz w:val="12"/>
              </w:rPr>
              <w:t>Événement</w:t>
            </w:r>
          </w:p>
        </w:tc>
        <w:tc>
          <w:tcPr>
            <w:tcW w:type="dxa" w:w="2381"/>
            <w:vAlign w:val="top"/>
          </w:tcPr>
          <w:p>
            <w:r/>
            <w:r>
              <w:rPr>
                <w:b w:val="0"/>
                <w:sz w:val="12"/>
              </w:rPr>
              <w:t>Suspension / réouverture</w:t>
            </w:r>
          </w:p>
        </w:tc>
        <w:tc>
          <w:tcPr>
            <w:tcW w:type="dxa" w:w="4252"/>
            <w:vAlign w:val="top"/>
          </w:tcPr>
          <w:p>
            <w:r/>
            <w:r>
              <w:rPr>
                <w:b w:val="0"/>
                <w:sz w:val="12"/>
              </w:rPr>
              <w:t>"{historical_name}" (prospectus OR factsheet)</w:t>
            </w:r>
          </w:p>
        </w:tc>
        <w:tc>
          <w:tcPr>
            <w:tcW w:type="dxa" w:w="3118"/>
            <w:vAlign w:val="top"/>
          </w:tcPr>
          <w:p>
            <w:r/>
            <w:r>
              <w:rPr>
                <w:b w:val="0"/>
                <w:sz w:val="12"/>
              </w:rPr>
              <w:t>SEC/gestionnaire/NGX</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70</w:t>
            </w:r>
          </w:p>
        </w:tc>
        <w:tc>
          <w:tcPr>
            <w:tcW w:type="dxa" w:w="1814"/>
            <w:vAlign w:val="top"/>
          </w:tcPr>
          <w:p>
            <w:r/>
            <w:r>
              <w:rPr>
                <w:b w:val="0"/>
                <w:sz w:val="12"/>
              </w:rPr>
              <w:t>Événement</w:t>
            </w:r>
          </w:p>
        </w:tc>
        <w:tc>
          <w:tcPr>
            <w:tcW w:type="dxa" w:w="2381"/>
            <w:vAlign w:val="top"/>
          </w:tcPr>
          <w:p>
            <w:r/>
            <w:r>
              <w:rPr>
                <w:b w:val="0"/>
                <w:sz w:val="12"/>
              </w:rPr>
              <w:t>Liquidation / termination</w:t>
            </w:r>
          </w:p>
        </w:tc>
        <w:tc>
          <w:tcPr>
            <w:tcW w:type="dxa" w:w="4252"/>
            <w:vAlign w:val="top"/>
          </w:tcPr>
          <w:p>
            <w:r/>
            <w:r>
              <w:rPr>
                <w:b w:val="0"/>
                <w:sz w:val="12"/>
              </w:rPr>
              <w:t>"{historical_name}" (prospectus OR factsheet)</w:t>
            </w:r>
          </w:p>
        </w:tc>
        <w:tc>
          <w:tcPr>
            <w:tcW w:type="dxa" w:w="3118"/>
            <w:vAlign w:val="top"/>
          </w:tcPr>
          <w:p>
            <w:r/>
            <w:r>
              <w:rPr>
                <w:b w:val="0"/>
                <w:sz w:val="12"/>
              </w:rPr>
              <w:t>SEC/rapport</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71</w:t>
            </w:r>
          </w:p>
        </w:tc>
        <w:tc>
          <w:tcPr>
            <w:tcW w:type="dxa" w:w="1814"/>
            <w:vAlign w:val="top"/>
          </w:tcPr>
          <w:p>
            <w:r/>
            <w:r>
              <w:rPr>
                <w:b w:val="0"/>
                <w:sz w:val="12"/>
              </w:rPr>
              <w:t>Événement</w:t>
            </w:r>
          </w:p>
        </w:tc>
        <w:tc>
          <w:tcPr>
            <w:tcW w:type="dxa" w:w="2381"/>
            <w:vAlign w:val="top"/>
          </w:tcPr>
          <w:p>
            <w:r/>
            <w:r>
              <w:rPr>
                <w:b w:val="0"/>
                <w:sz w:val="12"/>
              </w:rPr>
              <w:t>Changement de catégorie</w:t>
            </w:r>
          </w:p>
        </w:tc>
        <w:tc>
          <w:tcPr>
            <w:tcW w:type="dxa" w:w="4252"/>
            <w:vAlign w:val="top"/>
          </w:tcPr>
          <w:p>
            <w:r/>
            <w:r>
              <w:rPr>
                <w:b w:val="0"/>
                <w:sz w:val="12"/>
              </w:rPr>
              <w:t>"{historical_name}" (prospectus OR factsheet)</w:t>
            </w:r>
          </w:p>
        </w:tc>
        <w:tc>
          <w:tcPr>
            <w:tcW w:type="dxa" w:w="3118"/>
            <w:vAlign w:val="top"/>
          </w:tcPr>
          <w:p>
            <w:r/>
            <w:r>
              <w:rPr>
                <w:b w:val="0"/>
                <w:sz w:val="12"/>
              </w:rPr>
              <w:t>SEC/prospectus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72</w:t>
            </w:r>
          </w:p>
        </w:tc>
        <w:tc>
          <w:tcPr>
            <w:tcW w:type="dxa" w:w="1814"/>
            <w:vAlign w:val="top"/>
          </w:tcPr>
          <w:p>
            <w:r/>
            <w:r>
              <w:rPr>
                <w:b w:val="0"/>
                <w:sz w:val="12"/>
              </w:rPr>
              <w:t>Événement</w:t>
            </w:r>
          </w:p>
        </w:tc>
        <w:tc>
          <w:tcPr>
            <w:tcW w:type="dxa" w:w="2381"/>
            <w:vAlign w:val="top"/>
          </w:tcPr>
          <w:p>
            <w:r/>
            <w:r>
              <w:rPr>
                <w:b w:val="0"/>
                <w:sz w:val="12"/>
              </w:rPr>
              <w:t>Changement de benchmark</w:t>
            </w:r>
          </w:p>
        </w:tc>
        <w:tc>
          <w:tcPr>
            <w:tcW w:type="dxa" w:w="4252"/>
            <w:vAlign w:val="top"/>
          </w:tcPr>
          <w:p>
            <w:r/>
            <w:r>
              <w:rPr>
                <w:b w:val="0"/>
                <w:sz w:val="12"/>
              </w:rPr>
              <w:t>"{historical_name}" (prospectus OR factsheet)</w:t>
            </w:r>
          </w:p>
        </w:tc>
        <w:tc>
          <w:tcPr>
            <w:tcW w:type="dxa" w:w="3118"/>
            <w:vAlign w:val="top"/>
          </w:tcPr>
          <w:p>
            <w:r/>
            <w:r>
              <w:rPr>
                <w:b w:val="0"/>
                <w:sz w:val="12"/>
              </w:rPr>
              <w:t>Prospectus/factsheet</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73</w:t>
            </w:r>
          </w:p>
        </w:tc>
        <w:tc>
          <w:tcPr>
            <w:tcW w:type="dxa" w:w="1814"/>
            <w:vAlign w:val="top"/>
          </w:tcPr>
          <w:p>
            <w:r/>
            <w:r>
              <w:rPr>
                <w:b w:val="0"/>
                <w:sz w:val="12"/>
              </w:rPr>
              <w:t>Événement</w:t>
            </w:r>
          </w:p>
        </w:tc>
        <w:tc>
          <w:tcPr>
            <w:tcW w:type="dxa" w:w="2381"/>
            <w:vAlign w:val="top"/>
          </w:tcPr>
          <w:p>
            <w:r/>
            <w:r>
              <w:rPr>
                <w:b w:val="0"/>
                <w:sz w:val="12"/>
              </w:rPr>
              <w:t>Changement d’objectif/stratégie</w:t>
            </w:r>
          </w:p>
        </w:tc>
        <w:tc>
          <w:tcPr>
            <w:tcW w:type="dxa" w:w="4252"/>
            <w:vAlign w:val="top"/>
          </w:tcPr>
          <w:p>
            <w:r/>
            <w:r>
              <w:rPr>
                <w:b w:val="0"/>
                <w:sz w:val="12"/>
              </w:rPr>
              <w:t>"{historical_name}" (prospectus OR factsheet)</w:t>
            </w:r>
          </w:p>
        </w:tc>
        <w:tc>
          <w:tcPr>
            <w:tcW w:type="dxa" w:w="3118"/>
            <w:vAlign w:val="top"/>
          </w:tcPr>
          <w:p>
            <w:r/>
            <w:r>
              <w:rPr>
                <w:b w:val="0"/>
                <w:sz w:val="12"/>
              </w:rPr>
              <w:t>Supplemental 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74</w:t>
            </w:r>
          </w:p>
        </w:tc>
        <w:tc>
          <w:tcPr>
            <w:tcW w:type="dxa" w:w="1814"/>
            <w:vAlign w:val="top"/>
          </w:tcPr>
          <w:p>
            <w:r/>
            <w:r>
              <w:rPr>
                <w:b w:val="0"/>
                <w:sz w:val="12"/>
              </w:rPr>
              <w:t>Événement</w:t>
            </w:r>
          </w:p>
        </w:tc>
        <w:tc>
          <w:tcPr>
            <w:tcW w:type="dxa" w:w="2381"/>
            <w:vAlign w:val="top"/>
          </w:tcPr>
          <w:p>
            <w:r/>
            <w:r>
              <w:rPr>
                <w:b w:val="0"/>
                <w:sz w:val="12"/>
              </w:rPr>
              <w:t>Changement de devise/classe</w:t>
            </w:r>
          </w:p>
        </w:tc>
        <w:tc>
          <w:tcPr>
            <w:tcW w:type="dxa" w:w="4252"/>
            <w:vAlign w:val="top"/>
          </w:tcPr>
          <w:p>
            <w:r/>
            <w:r>
              <w:rPr>
                <w:b w:val="0"/>
                <w:sz w:val="12"/>
              </w:rPr>
              <w:t>"{historical_name}" (prospectus OR factsheet)</w:t>
            </w:r>
          </w:p>
        </w:tc>
        <w:tc>
          <w:tcPr>
            <w:tcW w:type="dxa" w:w="3118"/>
            <w:vAlign w:val="top"/>
          </w:tcPr>
          <w:p>
            <w:r/>
            <w:r>
              <w:rPr>
                <w:b w:val="0"/>
                <w:sz w:val="12"/>
              </w:rPr>
              <w:t>Prospectus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75</w:t>
            </w:r>
          </w:p>
        </w:tc>
        <w:tc>
          <w:tcPr>
            <w:tcW w:type="dxa" w:w="1814"/>
            <w:vAlign w:val="top"/>
          </w:tcPr>
          <w:p>
            <w:r/>
            <w:r>
              <w:rPr>
                <w:b w:val="0"/>
                <w:sz w:val="12"/>
              </w:rPr>
              <w:t>Événement</w:t>
            </w:r>
          </w:p>
        </w:tc>
        <w:tc>
          <w:tcPr>
            <w:tcW w:type="dxa" w:w="2381"/>
            <w:vAlign w:val="top"/>
          </w:tcPr>
          <w:p>
            <w:r/>
            <w:r>
              <w:rPr>
                <w:b w:val="0"/>
                <w:sz w:val="12"/>
              </w:rPr>
              <w:t>Changement de distribution/frais</w:t>
            </w:r>
          </w:p>
        </w:tc>
        <w:tc>
          <w:tcPr>
            <w:tcW w:type="dxa" w:w="4252"/>
            <w:vAlign w:val="top"/>
          </w:tcPr>
          <w:p>
            <w:r/>
            <w:r>
              <w:rPr>
                <w:b w:val="0"/>
                <w:sz w:val="12"/>
              </w:rPr>
              <w:t>"{historical_name}" (prospectus OR factsheet)</w:t>
            </w:r>
          </w:p>
        </w:tc>
        <w:tc>
          <w:tcPr>
            <w:tcW w:type="dxa" w:w="3118"/>
            <w:vAlign w:val="top"/>
          </w:tcPr>
          <w:p>
            <w:r/>
            <w:r>
              <w:rPr>
                <w:b w:val="0"/>
                <w:sz w:val="12"/>
              </w:rPr>
              <w:t>Prospectus/circular</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76</w:t>
            </w:r>
          </w:p>
        </w:tc>
        <w:tc>
          <w:tcPr>
            <w:tcW w:type="dxa" w:w="1814"/>
            <w:vAlign w:val="top"/>
          </w:tcPr>
          <w:p>
            <w:r/>
            <w:r>
              <w:rPr>
                <w:b w:val="0"/>
                <w:sz w:val="12"/>
              </w:rPr>
              <w:t>Chronologie annuelle</w:t>
            </w:r>
          </w:p>
        </w:tc>
        <w:tc>
          <w:tcPr>
            <w:tcW w:type="dxa" w:w="2381"/>
            <w:vAlign w:val="top"/>
          </w:tcPr>
          <w:p>
            <w:r/>
            <w:r>
              <w:rPr>
                <w:b w:val="0"/>
                <w:sz w:val="12"/>
              </w:rPr>
              <w:t>Année 2012</w:t>
            </w:r>
          </w:p>
        </w:tc>
        <w:tc>
          <w:tcPr>
            <w:tcW w:type="dxa" w:w="4252"/>
            <w:vAlign w:val="top"/>
          </w:tcPr>
          <w:p>
            <w:r/>
            <w:r>
              <w:rPr>
                <w:b w:val="0"/>
                <w:sz w:val="12"/>
              </w:rPr>
              <w:t>"{historical_name}" 2012 (NAV OR "unit price" OR factsheet OR "annual report")</w:t>
            </w:r>
          </w:p>
        </w:tc>
        <w:tc>
          <w:tcPr>
            <w:tcW w:type="dxa" w:w="3118"/>
            <w:vAlign w:val="top"/>
          </w:tcPr>
          <w:p>
            <w:r/>
            <w:r>
              <w:rPr>
                <w:b w:val="0"/>
                <w:sz w:val="12"/>
              </w:rPr>
              <w:t>SEC Weekly/Monthly + rapports/factsheets de l’année</w:t>
            </w:r>
          </w:p>
        </w:tc>
        <w:tc>
          <w:tcPr>
            <w:tcW w:type="dxa" w:w="3515"/>
            <w:vAlign w:val="top"/>
          </w:tcPr>
          <w:p>
            <w:r/>
            <w:r>
              <w:rPr>
                <w:b w:val="0"/>
                <w:sz w:val="12"/>
              </w:rPr>
              <w:t>Contrôler date, devise, unité, mesure et cohérence avec les observations adjacentes.</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77</w:t>
            </w:r>
          </w:p>
        </w:tc>
        <w:tc>
          <w:tcPr>
            <w:tcW w:type="dxa" w:w="1814"/>
            <w:vAlign w:val="top"/>
          </w:tcPr>
          <w:p>
            <w:r/>
            <w:r>
              <w:rPr>
                <w:b w:val="0"/>
                <w:sz w:val="12"/>
              </w:rPr>
              <w:t>Chronologie annuelle</w:t>
            </w:r>
          </w:p>
        </w:tc>
        <w:tc>
          <w:tcPr>
            <w:tcW w:type="dxa" w:w="2381"/>
            <w:vAlign w:val="top"/>
          </w:tcPr>
          <w:p>
            <w:r/>
            <w:r>
              <w:rPr>
                <w:b w:val="0"/>
                <w:sz w:val="12"/>
              </w:rPr>
              <w:t>Année 2013</w:t>
            </w:r>
          </w:p>
        </w:tc>
        <w:tc>
          <w:tcPr>
            <w:tcW w:type="dxa" w:w="4252"/>
            <w:vAlign w:val="top"/>
          </w:tcPr>
          <w:p>
            <w:r/>
            <w:r>
              <w:rPr>
                <w:b w:val="0"/>
                <w:sz w:val="12"/>
              </w:rPr>
              <w:t>"{historical_name}" 2013 (NAV OR "unit price" OR factsheet OR "annual report")</w:t>
            </w:r>
          </w:p>
        </w:tc>
        <w:tc>
          <w:tcPr>
            <w:tcW w:type="dxa" w:w="3118"/>
            <w:vAlign w:val="top"/>
          </w:tcPr>
          <w:p>
            <w:r/>
            <w:r>
              <w:rPr>
                <w:b w:val="0"/>
                <w:sz w:val="12"/>
              </w:rPr>
              <w:t>SEC Weekly/Monthly + rapports/factsheets de l’année</w:t>
            </w:r>
          </w:p>
        </w:tc>
        <w:tc>
          <w:tcPr>
            <w:tcW w:type="dxa" w:w="3515"/>
            <w:vAlign w:val="top"/>
          </w:tcPr>
          <w:p>
            <w:r/>
            <w:r>
              <w:rPr>
                <w:b w:val="0"/>
                <w:sz w:val="12"/>
              </w:rPr>
              <w:t>Contrôler date, devise, unité, mesure et cohérence avec les observations adjacentes.</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78</w:t>
            </w:r>
          </w:p>
        </w:tc>
        <w:tc>
          <w:tcPr>
            <w:tcW w:type="dxa" w:w="1814"/>
            <w:vAlign w:val="top"/>
          </w:tcPr>
          <w:p>
            <w:r/>
            <w:r>
              <w:rPr>
                <w:b w:val="0"/>
                <w:sz w:val="12"/>
              </w:rPr>
              <w:t>Chronologie annuelle</w:t>
            </w:r>
          </w:p>
        </w:tc>
        <w:tc>
          <w:tcPr>
            <w:tcW w:type="dxa" w:w="2381"/>
            <w:vAlign w:val="top"/>
          </w:tcPr>
          <w:p>
            <w:r/>
            <w:r>
              <w:rPr>
                <w:b w:val="0"/>
                <w:sz w:val="12"/>
              </w:rPr>
              <w:t>Année 2014</w:t>
            </w:r>
          </w:p>
        </w:tc>
        <w:tc>
          <w:tcPr>
            <w:tcW w:type="dxa" w:w="4252"/>
            <w:vAlign w:val="top"/>
          </w:tcPr>
          <w:p>
            <w:r/>
            <w:r>
              <w:rPr>
                <w:b w:val="0"/>
                <w:sz w:val="12"/>
              </w:rPr>
              <w:t>"{historical_name}" 2014 (NAV OR "unit price" OR factsheet OR "annual report")</w:t>
            </w:r>
          </w:p>
        </w:tc>
        <w:tc>
          <w:tcPr>
            <w:tcW w:type="dxa" w:w="3118"/>
            <w:vAlign w:val="top"/>
          </w:tcPr>
          <w:p>
            <w:r/>
            <w:r>
              <w:rPr>
                <w:b w:val="0"/>
                <w:sz w:val="12"/>
              </w:rPr>
              <w:t>SEC Weekly/Monthly + rapports/factsheets de l’année</w:t>
            </w:r>
          </w:p>
        </w:tc>
        <w:tc>
          <w:tcPr>
            <w:tcW w:type="dxa" w:w="3515"/>
            <w:vAlign w:val="top"/>
          </w:tcPr>
          <w:p>
            <w:r/>
            <w:r>
              <w:rPr>
                <w:b w:val="0"/>
                <w:sz w:val="12"/>
              </w:rPr>
              <w:t>Contrôler date, devise, unité, mesure et cohérence avec les observations adjacentes.</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79</w:t>
            </w:r>
          </w:p>
        </w:tc>
        <w:tc>
          <w:tcPr>
            <w:tcW w:type="dxa" w:w="1814"/>
            <w:vAlign w:val="top"/>
          </w:tcPr>
          <w:p>
            <w:r/>
            <w:r>
              <w:rPr>
                <w:b w:val="0"/>
                <w:sz w:val="12"/>
              </w:rPr>
              <w:t>Chronologie annuelle</w:t>
            </w:r>
          </w:p>
        </w:tc>
        <w:tc>
          <w:tcPr>
            <w:tcW w:type="dxa" w:w="2381"/>
            <w:vAlign w:val="top"/>
          </w:tcPr>
          <w:p>
            <w:r/>
            <w:r>
              <w:rPr>
                <w:b w:val="0"/>
                <w:sz w:val="12"/>
              </w:rPr>
              <w:t>Année 2015</w:t>
            </w:r>
          </w:p>
        </w:tc>
        <w:tc>
          <w:tcPr>
            <w:tcW w:type="dxa" w:w="4252"/>
            <w:vAlign w:val="top"/>
          </w:tcPr>
          <w:p>
            <w:r/>
            <w:r>
              <w:rPr>
                <w:b w:val="0"/>
                <w:sz w:val="12"/>
              </w:rPr>
              <w:t>"{historical_name}" 2015 (NAV OR "unit price" OR factsheet OR "annual report")</w:t>
            </w:r>
          </w:p>
        </w:tc>
        <w:tc>
          <w:tcPr>
            <w:tcW w:type="dxa" w:w="3118"/>
            <w:vAlign w:val="top"/>
          </w:tcPr>
          <w:p>
            <w:r/>
            <w:r>
              <w:rPr>
                <w:b w:val="0"/>
                <w:sz w:val="12"/>
              </w:rPr>
              <w:t>SEC Weekly/Monthly + rapports/factsheets de l’année</w:t>
            </w:r>
          </w:p>
        </w:tc>
        <w:tc>
          <w:tcPr>
            <w:tcW w:type="dxa" w:w="3515"/>
            <w:vAlign w:val="top"/>
          </w:tcPr>
          <w:p>
            <w:r/>
            <w:r>
              <w:rPr>
                <w:b w:val="0"/>
                <w:sz w:val="12"/>
              </w:rPr>
              <w:t>Contrôler date, devise, unité, mesure et cohérence avec les observations adjacentes.</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80</w:t>
            </w:r>
          </w:p>
        </w:tc>
        <w:tc>
          <w:tcPr>
            <w:tcW w:type="dxa" w:w="1814"/>
            <w:vAlign w:val="top"/>
          </w:tcPr>
          <w:p>
            <w:r/>
            <w:r>
              <w:rPr>
                <w:b w:val="0"/>
                <w:sz w:val="12"/>
              </w:rPr>
              <w:t>Chronologie annuelle</w:t>
            </w:r>
          </w:p>
        </w:tc>
        <w:tc>
          <w:tcPr>
            <w:tcW w:type="dxa" w:w="2381"/>
            <w:vAlign w:val="top"/>
          </w:tcPr>
          <w:p>
            <w:r/>
            <w:r>
              <w:rPr>
                <w:b w:val="0"/>
                <w:sz w:val="12"/>
              </w:rPr>
              <w:t>Année 2016</w:t>
            </w:r>
          </w:p>
        </w:tc>
        <w:tc>
          <w:tcPr>
            <w:tcW w:type="dxa" w:w="4252"/>
            <w:vAlign w:val="top"/>
          </w:tcPr>
          <w:p>
            <w:r/>
            <w:r>
              <w:rPr>
                <w:b w:val="0"/>
                <w:sz w:val="12"/>
              </w:rPr>
              <w:t>"{historical_name}" 2016 (NAV OR "unit price" OR factsheet OR "annual report")</w:t>
            </w:r>
          </w:p>
        </w:tc>
        <w:tc>
          <w:tcPr>
            <w:tcW w:type="dxa" w:w="3118"/>
            <w:vAlign w:val="top"/>
          </w:tcPr>
          <w:p>
            <w:r/>
            <w:r>
              <w:rPr>
                <w:b w:val="0"/>
                <w:sz w:val="12"/>
              </w:rPr>
              <w:t>SEC Weekly/Monthly + rapports/factsheets de l’année</w:t>
            </w:r>
          </w:p>
        </w:tc>
        <w:tc>
          <w:tcPr>
            <w:tcW w:type="dxa" w:w="3515"/>
            <w:vAlign w:val="top"/>
          </w:tcPr>
          <w:p>
            <w:r/>
            <w:r>
              <w:rPr>
                <w:b w:val="0"/>
                <w:sz w:val="12"/>
              </w:rPr>
              <w:t>Contrôler date, devise, unité, mesure et cohérence avec les observations adjacentes.</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81</w:t>
            </w:r>
          </w:p>
        </w:tc>
        <w:tc>
          <w:tcPr>
            <w:tcW w:type="dxa" w:w="1814"/>
            <w:vAlign w:val="top"/>
          </w:tcPr>
          <w:p>
            <w:r/>
            <w:r>
              <w:rPr>
                <w:b w:val="0"/>
                <w:sz w:val="12"/>
              </w:rPr>
              <w:t>Chronologie annuelle</w:t>
            </w:r>
          </w:p>
        </w:tc>
        <w:tc>
          <w:tcPr>
            <w:tcW w:type="dxa" w:w="2381"/>
            <w:vAlign w:val="top"/>
          </w:tcPr>
          <w:p>
            <w:r/>
            <w:r>
              <w:rPr>
                <w:b w:val="0"/>
                <w:sz w:val="12"/>
              </w:rPr>
              <w:t>Année 2017</w:t>
            </w:r>
          </w:p>
        </w:tc>
        <w:tc>
          <w:tcPr>
            <w:tcW w:type="dxa" w:w="4252"/>
            <w:vAlign w:val="top"/>
          </w:tcPr>
          <w:p>
            <w:r/>
            <w:r>
              <w:rPr>
                <w:b w:val="0"/>
                <w:sz w:val="12"/>
              </w:rPr>
              <w:t>"{historical_name}" 2017 (NAV OR "unit price" OR factsheet OR "annual report")</w:t>
            </w:r>
          </w:p>
        </w:tc>
        <w:tc>
          <w:tcPr>
            <w:tcW w:type="dxa" w:w="3118"/>
            <w:vAlign w:val="top"/>
          </w:tcPr>
          <w:p>
            <w:r/>
            <w:r>
              <w:rPr>
                <w:b w:val="0"/>
                <w:sz w:val="12"/>
              </w:rPr>
              <w:t>SEC Weekly/Monthly + rapports/factsheets de l’année</w:t>
            </w:r>
          </w:p>
        </w:tc>
        <w:tc>
          <w:tcPr>
            <w:tcW w:type="dxa" w:w="3515"/>
            <w:vAlign w:val="top"/>
          </w:tcPr>
          <w:p>
            <w:r/>
            <w:r>
              <w:rPr>
                <w:b w:val="0"/>
                <w:sz w:val="12"/>
              </w:rPr>
              <w:t>Contrôler date, devise, unité, mesure et cohérence avec les observations adjacentes.</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82</w:t>
            </w:r>
          </w:p>
        </w:tc>
        <w:tc>
          <w:tcPr>
            <w:tcW w:type="dxa" w:w="1814"/>
            <w:vAlign w:val="top"/>
          </w:tcPr>
          <w:p>
            <w:r/>
            <w:r>
              <w:rPr>
                <w:b w:val="0"/>
                <w:sz w:val="12"/>
              </w:rPr>
              <w:t>Chronologie annuelle</w:t>
            </w:r>
          </w:p>
        </w:tc>
        <w:tc>
          <w:tcPr>
            <w:tcW w:type="dxa" w:w="2381"/>
            <w:vAlign w:val="top"/>
          </w:tcPr>
          <w:p>
            <w:r/>
            <w:r>
              <w:rPr>
                <w:b w:val="0"/>
                <w:sz w:val="12"/>
              </w:rPr>
              <w:t>Année 2018</w:t>
            </w:r>
          </w:p>
        </w:tc>
        <w:tc>
          <w:tcPr>
            <w:tcW w:type="dxa" w:w="4252"/>
            <w:vAlign w:val="top"/>
          </w:tcPr>
          <w:p>
            <w:r/>
            <w:r>
              <w:rPr>
                <w:b w:val="0"/>
                <w:sz w:val="12"/>
              </w:rPr>
              <w:t>"{historical_name}" 2018 (NAV OR "unit price" OR factsheet OR "annual report")</w:t>
            </w:r>
          </w:p>
        </w:tc>
        <w:tc>
          <w:tcPr>
            <w:tcW w:type="dxa" w:w="3118"/>
            <w:vAlign w:val="top"/>
          </w:tcPr>
          <w:p>
            <w:r/>
            <w:r>
              <w:rPr>
                <w:b w:val="0"/>
                <w:sz w:val="12"/>
              </w:rPr>
              <w:t>SEC Weekly/Monthly + rapports/factsheets de l’année</w:t>
            </w:r>
          </w:p>
        </w:tc>
        <w:tc>
          <w:tcPr>
            <w:tcW w:type="dxa" w:w="3515"/>
            <w:vAlign w:val="top"/>
          </w:tcPr>
          <w:p>
            <w:r/>
            <w:r>
              <w:rPr>
                <w:b w:val="0"/>
                <w:sz w:val="12"/>
              </w:rPr>
              <w:t>Contrôler date, devise, unité, mesure et cohérence avec les observations adjacentes.</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83</w:t>
            </w:r>
          </w:p>
        </w:tc>
        <w:tc>
          <w:tcPr>
            <w:tcW w:type="dxa" w:w="1814"/>
            <w:vAlign w:val="top"/>
          </w:tcPr>
          <w:p>
            <w:r/>
            <w:r>
              <w:rPr>
                <w:b w:val="0"/>
                <w:sz w:val="12"/>
              </w:rPr>
              <w:t>Chronologie annuelle</w:t>
            </w:r>
          </w:p>
        </w:tc>
        <w:tc>
          <w:tcPr>
            <w:tcW w:type="dxa" w:w="2381"/>
            <w:vAlign w:val="top"/>
          </w:tcPr>
          <w:p>
            <w:r/>
            <w:r>
              <w:rPr>
                <w:b w:val="0"/>
                <w:sz w:val="12"/>
              </w:rPr>
              <w:t>Année 2019</w:t>
            </w:r>
          </w:p>
        </w:tc>
        <w:tc>
          <w:tcPr>
            <w:tcW w:type="dxa" w:w="4252"/>
            <w:vAlign w:val="top"/>
          </w:tcPr>
          <w:p>
            <w:r/>
            <w:r>
              <w:rPr>
                <w:b w:val="0"/>
                <w:sz w:val="12"/>
              </w:rPr>
              <w:t>"{historical_name}" 2019 (NAV OR "unit price" OR factsheet OR "annual report")</w:t>
            </w:r>
          </w:p>
        </w:tc>
        <w:tc>
          <w:tcPr>
            <w:tcW w:type="dxa" w:w="3118"/>
            <w:vAlign w:val="top"/>
          </w:tcPr>
          <w:p>
            <w:r/>
            <w:r>
              <w:rPr>
                <w:b w:val="0"/>
                <w:sz w:val="12"/>
              </w:rPr>
              <w:t>SEC Weekly/Monthly + rapports/factsheets de l’année</w:t>
            </w:r>
          </w:p>
        </w:tc>
        <w:tc>
          <w:tcPr>
            <w:tcW w:type="dxa" w:w="3515"/>
            <w:vAlign w:val="top"/>
          </w:tcPr>
          <w:p>
            <w:r/>
            <w:r>
              <w:rPr>
                <w:b w:val="0"/>
                <w:sz w:val="12"/>
              </w:rPr>
              <w:t>Contrôler date, devise, unité, mesure et cohérence avec les observations adjacentes.</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84</w:t>
            </w:r>
          </w:p>
        </w:tc>
        <w:tc>
          <w:tcPr>
            <w:tcW w:type="dxa" w:w="1814"/>
            <w:vAlign w:val="top"/>
          </w:tcPr>
          <w:p>
            <w:r/>
            <w:r>
              <w:rPr>
                <w:b w:val="0"/>
                <w:sz w:val="12"/>
              </w:rPr>
              <w:t>Chronologie annuelle</w:t>
            </w:r>
          </w:p>
        </w:tc>
        <w:tc>
          <w:tcPr>
            <w:tcW w:type="dxa" w:w="2381"/>
            <w:vAlign w:val="top"/>
          </w:tcPr>
          <w:p>
            <w:r/>
            <w:r>
              <w:rPr>
                <w:b w:val="0"/>
                <w:sz w:val="12"/>
              </w:rPr>
              <w:t>Année 2020</w:t>
            </w:r>
          </w:p>
        </w:tc>
        <w:tc>
          <w:tcPr>
            <w:tcW w:type="dxa" w:w="4252"/>
            <w:vAlign w:val="top"/>
          </w:tcPr>
          <w:p>
            <w:r/>
            <w:r>
              <w:rPr>
                <w:b w:val="0"/>
                <w:sz w:val="12"/>
              </w:rPr>
              <w:t>"{historical_name}" 2020 (NAV OR "unit price" OR factsheet OR "annual report")</w:t>
            </w:r>
          </w:p>
        </w:tc>
        <w:tc>
          <w:tcPr>
            <w:tcW w:type="dxa" w:w="3118"/>
            <w:vAlign w:val="top"/>
          </w:tcPr>
          <w:p>
            <w:r/>
            <w:r>
              <w:rPr>
                <w:b w:val="0"/>
                <w:sz w:val="12"/>
              </w:rPr>
              <w:t>SEC Weekly/Monthly + rapports/factsheets de l’année</w:t>
            </w:r>
          </w:p>
        </w:tc>
        <w:tc>
          <w:tcPr>
            <w:tcW w:type="dxa" w:w="3515"/>
            <w:vAlign w:val="top"/>
          </w:tcPr>
          <w:p>
            <w:r/>
            <w:r>
              <w:rPr>
                <w:b w:val="0"/>
                <w:sz w:val="12"/>
              </w:rPr>
              <w:t>Contrôler date, devise, unité, mesure et cohérence avec les observations adjacentes.</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85</w:t>
            </w:r>
          </w:p>
        </w:tc>
        <w:tc>
          <w:tcPr>
            <w:tcW w:type="dxa" w:w="1814"/>
            <w:vAlign w:val="top"/>
          </w:tcPr>
          <w:p>
            <w:r/>
            <w:r>
              <w:rPr>
                <w:b w:val="0"/>
                <w:sz w:val="12"/>
              </w:rPr>
              <w:t>Chronologie annuelle</w:t>
            </w:r>
          </w:p>
        </w:tc>
        <w:tc>
          <w:tcPr>
            <w:tcW w:type="dxa" w:w="2381"/>
            <w:vAlign w:val="top"/>
          </w:tcPr>
          <w:p>
            <w:r/>
            <w:r>
              <w:rPr>
                <w:b w:val="0"/>
                <w:sz w:val="12"/>
              </w:rPr>
              <w:t>Année 2021</w:t>
            </w:r>
          </w:p>
        </w:tc>
        <w:tc>
          <w:tcPr>
            <w:tcW w:type="dxa" w:w="4252"/>
            <w:vAlign w:val="top"/>
          </w:tcPr>
          <w:p>
            <w:r/>
            <w:r>
              <w:rPr>
                <w:b w:val="0"/>
                <w:sz w:val="12"/>
              </w:rPr>
              <w:t>"{historical_name}" 2021 (NAV OR "unit price" OR factsheet OR "annual report")</w:t>
            </w:r>
          </w:p>
        </w:tc>
        <w:tc>
          <w:tcPr>
            <w:tcW w:type="dxa" w:w="3118"/>
            <w:vAlign w:val="top"/>
          </w:tcPr>
          <w:p>
            <w:r/>
            <w:r>
              <w:rPr>
                <w:b w:val="0"/>
                <w:sz w:val="12"/>
              </w:rPr>
              <w:t>SEC Weekly/Monthly + rapports/factsheets de l’année</w:t>
            </w:r>
          </w:p>
        </w:tc>
        <w:tc>
          <w:tcPr>
            <w:tcW w:type="dxa" w:w="3515"/>
            <w:vAlign w:val="top"/>
          </w:tcPr>
          <w:p>
            <w:r/>
            <w:r>
              <w:rPr>
                <w:b w:val="0"/>
                <w:sz w:val="12"/>
              </w:rPr>
              <w:t>Contrôler date, devise, unité, mesure et cohérence avec les observations adjacentes.</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86</w:t>
            </w:r>
          </w:p>
        </w:tc>
        <w:tc>
          <w:tcPr>
            <w:tcW w:type="dxa" w:w="1814"/>
            <w:vAlign w:val="top"/>
          </w:tcPr>
          <w:p>
            <w:r/>
            <w:r>
              <w:rPr>
                <w:b w:val="0"/>
                <w:sz w:val="12"/>
              </w:rPr>
              <w:t>Chronologie annuelle</w:t>
            </w:r>
          </w:p>
        </w:tc>
        <w:tc>
          <w:tcPr>
            <w:tcW w:type="dxa" w:w="2381"/>
            <w:vAlign w:val="top"/>
          </w:tcPr>
          <w:p>
            <w:r/>
            <w:r>
              <w:rPr>
                <w:b w:val="0"/>
                <w:sz w:val="12"/>
              </w:rPr>
              <w:t>Année 2022</w:t>
            </w:r>
          </w:p>
        </w:tc>
        <w:tc>
          <w:tcPr>
            <w:tcW w:type="dxa" w:w="4252"/>
            <w:vAlign w:val="top"/>
          </w:tcPr>
          <w:p>
            <w:r/>
            <w:r>
              <w:rPr>
                <w:b w:val="0"/>
                <w:sz w:val="12"/>
              </w:rPr>
              <w:t>"{historical_name}" 2022 (NAV OR "unit price" OR factsheet OR "annual report")</w:t>
            </w:r>
          </w:p>
        </w:tc>
        <w:tc>
          <w:tcPr>
            <w:tcW w:type="dxa" w:w="3118"/>
            <w:vAlign w:val="top"/>
          </w:tcPr>
          <w:p>
            <w:r/>
            <w:r>
              <w:rPr>
                <w:b w:val="0"/>
                <w:sz w:val="12"/>
              </w:rPr>
              <w:t>SEC Weekly/Monthly + rapports/factsheets de l’année</w:t>
            </w:r>
          </w:p>
        </w:tc>
        <w:tc>
          <w:tcPr>
            <w:tcW w:type="dxa" w:w="3515"/>
            <w:vAlign w:val="top"/>
          </w:tcPr>
          <w:p>
            <w:r/>
            <w:r>
              <w:rPr>
                <w:b w:val="0"/>
                <w:sz w:val="12"/>
              </w:rPr>
              <w:t>Contrôler date, devise, unité, mesure et cohérence avec les observations adjacentes.</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87</w:t>
            </w:r>
          </w:p>
        </w:tc>
        <w:tc>
          <w:tcPr>
            <w:tcW w:type="dxa" w:w="1814"/>
            <w:vAlign w:val="top"/>
          </w:tcPr>
          <w:p>
            <w:r/>
            <w:r>
              <w:rPr>
                <w:b w:val="0"/>
                <w:sz w:val="12"/>
              </w:rPr>
              <w:t>Chronologie annuelle</w:t>
            </w:r>
          </w:p>
        </w:tc>
        <w:tc>
          <w:tcPr>
            <w:tcW w:type="dxa" w:w="2381"/>
            <w:vAlign w:val="top"/>
          </w:tcPr>
          <w:p>
            <w:r/>
            <w:r>
              <w:rPr>
                <w:b w:val="0"/>
                <w:sz w:val="12"/>
              </w:rPr>
              <w:t>Année 2023</w:t>
            </w:r>
          </w:p>
        </w:tc>
        <w:tc>
          <w:tcPr>
            <w:tcW w:type="dxa" w:w="4252"/>
            <w:vAlign w:val="top"/>
          </w:tcPr>
          <w:p>
            <w:r/>
            <w:r>
              <w:rPr>
                <w:b w:val="0"/>
                <w:sz w:val="12"/>
              </w:rPr>
              <w:t>"{historical_name}" 2023 (NAV OR "unit price" OR factsheet OR "annual report")</w:t>
            </w:r>
          </w:p>
        </w:tc>
        <w:tc>
          <w:tcPr>
            <w:tcW w:type="dxa" w:w="3118"/>
            <w:vAlign w:val="top"/>
          </w:tcPr>
          <w:p>
            <w:r/>
            <w:r>
              <w:rPr>
                <w:b w:val="0"/>
                <w:sz w:val="12"/>
              </w:rPr>
              <w:t>SEC Weekly/Monthly + rapports/factsheets de l’année</w:t>
            </w:r>
          </w:p>
        </w:tc>
        <w:tc>
          <w:tcPr>
            <w:tcW w:type="dxa" w:w="3515"/>
            <w:vAlign w:val="top"/>
          </w:tcPr>
          <w:p>
            <w:r/>
            <w:r>
              <w:rPr>
                <w:b w:val="0"/>
                <w:sz w:val="12"/>
              </w:rPr>
              <w:t>Contrôler date, devise, unité, mesure et cohérence avec les observations adjacentes.</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88</w:t>
            </w:r>
          </w:p>
        </w:tc>
        <w:tc>
          <w:tcPr>
            <w:tcW w:type="dxa" w:w="1814"/>
            <w:vAlign w:val="top"/>
          </w:tcPr>
          <w:p>
            <w:r/>
            <w:r>
              <w:rPr>
                <w:b w:val="0"/>
                <w:sz w:val="12"/>
              </w:rPr>
              <w:t>Chronologie annuelle</w:t>
            </w:r>
          </w:p>
        </w:tc>
        <w:tc>
          <w:tcPr>
            <w:tcW w:type="dxa" w:w="2381"/>
            <w:vAlign w:val="top"/>
          </w:tcPr>
          <w:p>
            <w:r/>
            <w:r>
              <w:rPr>
                <w:b w:val="0"/>
                <w:sz w:val="12"/>
              </w:rPr>
              <w:t>Année 2024</w:t>
            </w:r>
          </w:p>
        </w:tc>
        <w:tc>
          <w:tcPr>
            <w:tcW w:type="dxa" w:w="4252"/>
            <w:vAlign w:val="top"/>
          </w:tcPr>
          <w:p>
            <w:r/>
            <w:r>
              <w:rPr>
                <w:b w:val="0"/>
                <w:sz w:val="12"/>
              </w:rPr>
              <w:t>"{historical_name}" 2024 (NAV OR "unit price" OR factsheet OR "annual report")</w:t>
            </w:r>
          </w:p>
        </w:tc>
        <w:tc>
          <w:tcPr>
            <w:tcW w:type="dxa" w:w="3118"/>
            <w:vAlign w:val="top"/>
          </w:tcPr>
          <w:p>
            <w:r/>
            <w:r>
              <w:rPr>
                <w:b w:val="0"/>
                <w:sz w:val="12"/>
              </w:rPr>
              <w:t>SEC Weekly/Monthly + rapports/factsheets de l’année</w:t>
            </w:r>
          </w:p>
        </w:tc>
        <w:tc>
          <w:tcPr>
            <w:tcW w:type="dxa" w:w="3515"/>
            <w:vAlign w:val="top"/>
          </w:tcPr>
          <w:p>
            <w:r/>
            <w:r>
              <w:rPr>
                <w:b w:val="0"/>
                <w:sz w:val="12"/>
              </w:rPr>
              <w:t>Contrôler date, devise, unité, mesure et cohérence avec les observations adjacentes.</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89</w:t>
            </w:r>
          </w:p>
        </w:tc>
        <w:tc>
          <w:tcPr>
            <w:tcW w:type="dxa" w:w="1814"/>
            <w:vAlign w:val="top"/>
          </w:tcPr>
          <w:p>
            <w:r/>
            <w:r>
              <w:rPr>
                <w:b w:val="0"/>
                <w:sz w:val="12"/>
              </w:rPr>
              <w:t>Chronologie annuelle</w:t>
            </w:r>
          </w:p>
        </w:tc>
        <w:tc>
          <w:tcPr>
            <w:tcW w:type="dxa" w:w="2381"/>
            <w:vAlign w:val="top"/>
          </w:tcPr>
          <w:p>
            <w:r/>
            <w:r>
              <w:rPr>
                <w:b w:val="0"/>
                <w:sz w:val="12"/>
              </w:rPr>
              <w:t>Année 2025</w:t>
            </w:r>
          </w:p>
        </w:tc>
        <w:tc>
          <w:tcPr>
            <w:tcW w:type="dxa" w:w="4252"/>
            <w:vAlign w:val="top"/>
          </w:tcPr>
          <w:p>
            <w:r/>
            <w:r>
              <w:rPr>
                <w:b w:val="0"/>
                <w:sz w:val="12"/>
              </w:rPr>
              <w:t>"{historical_name}" 2025 (NAV OR "unit price" OR factsheet OR "annual report")</w:t>
            </w:r>
          </w:p>
        </w:tc>
        <w:tc>
          <w:tcPr>
            <w:tcW w:type="dxa" w:w="3118"/>
            <w:vAlign w:val="top"/>
          </w:tcPr>
          <w:p>
            <w:r/>
            <w:r>
              <w:rPr>
                <w:b w:val="0"/>
                <w:sz w:val="12"/>
              </w:rPr>
              <w:t>SEC Weekly/Monthly + rapports/factsheets de l’année</w:t>
            </w:r>
          </w:p>
        </w:tc>
        <w:tc>
          <w:tcPr>
            <w:tcW w:type="dxa" w:w="3515"/>
            <w:vAlign w:val="top"/>
          </w:tcPr>
          <w:p>
            <w:r/>
            <w:r>
              <w:rPr>
                <w:b w:val="0"/>
                <w:sz w:val="12"/>
              </w:rPr>
              <w:t>Contrôler date, devise, unité, mesure et cohérence avec les observations adjacentes.</w:t>
            </w:r>
          </w:p>
        </w:tc>
        <w:tc>
          <w:tcPr>
            <w:tcW w:type="dxa" w:w="3288"/>
            <w:vAlign w:val="top"/>
          </w:tcPr>
          <w:p>
            <w:r/>
            <w:r>
              <w:rPr>
                <w:b w:val="0"/>
                <w:sz w:val="12"/>
              </w:rPr>
              <w:t>Laisser vide; inscrire SEARCHED_NOT_FOUND avec requêtes, dates et domaines testés. Ne jamais extrapoler.</w:t>
            </w:r>
          </w:p>
        </w:tc>
      </w:tr>
      <w:tr>
        <w:trPr>
          <w:cantSplit/>
        </w:trPr>
        <w:tc>
          <w:tcPr>
            <w:tcW w:type="dxa" w:w="567"/>
            <w:vAlign w:val="top"/>
          </w:tcPr>
          <w:p>
            <w:r/>
            <w:r>
              <w:rPr>
                <w:b w:val="0"/>
                <w:sz w:val="12"/>
              </w:rPr>
              <w:t>90</w:t>
            </w:r>
          </w:p>
        </w:tc>
        <w:tc>
          <w:tcPr>
            <w:tcW w:type="dxa" w:w="1814"/>
            <w:vAlign w:val="top"/>
          </w:tcPr>
          <w:p>
            <w:r/>
            <w:r>
              <w:rPr>
                <w:b w:val="0"/>
                <w:sz w:val="12"/>
              </w:rPr>
              <w:t>Synthèse</w:t>
            </w:r>
          </w:p>
        </w:tc>
        <w:tc>
          <w:tcPr>
            <w:tcW w:type="dxa" w:w="2381"/>
            <w:vAlign w:val="top"/>
          </w:tcPr>
          <w:p>
            <w:r/>
            <w:r>
              <w:rPr>
                <w:b w:val="0"/>
                <w:sz w:val="12"/>
              </w:rPr>
              <w:t>Synthèse chronologique et points ouverts</w:t>
            </w:r>
          </w:p>
        </w:tc>
        <w:tc>
          <w:tcPr>
            <w:tcW w:type="dxa" w:w="4252"/>
            <w:vAlign w:val="top"/>
          </w:tcPr>
          <w:p>
            <w:r/>
            <w:r>
              <w:rPr>
                <w:b w:val="0"/>
                <w:sz w:val="12"/>
              </w:rPr>
              <w:t>"{historical_name}" (history OR chronology)</w:t>
            </w:r>
          </w:p>
        </w:tc>
        <w:tc>
          <w:tcPr>
            <w:tcW w:type="dxa" w:w="3118"/>
            <w:vAlign w:val="top"/>
          </w:tcPr>
          <w:p>
            <w:r/>
            <w:r>
              <w:rPr>
                <w:b w:val="0"/>
                <w:sz w:val="12"/>
              </w:rPr>
              <w:t>Toutes preuves</w:t>
            </w:r>
          </w:p>
        </w:tc>
        <w:tc>
          <w:tcPr>
            <w:tcW w:type="dxa" w:w="3515"/>
            <w:vAlign w:val="top"/>
          </w:tcPr>
          <w:p>
            <w:r/>
            <w:r>
              <w:rPr>
                <w:b w:val="0"/>
                <w:sz w:val="12"/>
              </w:rPr>
              <w:t>Deux sources primaires concordantes lorsque le champ crée un lien juridique; sinon une source primaire datée et archivée.</w:t>
            </w:r>
          </w:p>
        </w:tc>
        <w:tc>
          <w:tcPr>
            <w:tcW w:type="dxa" w:w="3288"/>
            <w:vAlign w:val="top"/>
          </w:tcPr>
          <w:p>
            <w:r/>
            <w:r>
              <w:rPr>
                <w:b w:val="0"/>
                <w:sz w:val="12"/>
              </w:rPr>
              <w:t>Laisser vide; inscrire SEARCHED_NOT_FOUND avec requêtes, dates et domaines testés. Ne jamais extrapoler.</w:t>
            </w:r>
          </w:p>
        </w:tc>
      </w:tr>
    </w:tbl>
    <w:p/>
    <w:p>
      <w:pPr>
        <w:sectPr>
          <w:pgSz w:w="12240" w:h="15840" w:orient="landscape"/>
          <w:pgMar w:top="850" w:right="737" w:bottom="850" w:left="737" w:header="397" w:footer="397" w:gutter="0"/>
          <w:cols w:space="720"/>
          <w:docGrid w:linePitch="360"/>
        </w:sectPr>
      </w:pPr>
    </w:p>
    <w:p>
      <w:pPr>
        <w:pStyle w:val="Heading2"/>
      </w:pPr>
      <w:r>
        <w:t>26. Dossier de recherche obligatoire par ligne du DataFrame</w:t>
      </w:r>
    </w:p>
    <w:tbl>
      <w:tblPr>
        <w:tblStyle w:val="TableGrid"/>
        <w:tblW w:type="auto" w:w="0"/>
        <w:jc w:val="center"/>
        <w:tblLook w:firstColumn="1" w:firstRow="1" w:lastColumn="0" w:lastRow="0" w:noHBand="0" w:noVBand="1" w:val="04A0"/>
      </w:tblPr>
      <w:tblGrid>
        <w:gridCol w:w="6900"/>
        <w:gridCol w:w="6900"/>
      </w:tblGrid>
      <w:tr>
        <w:trPr>
          <w:tblHeader w:val="true"/>
        </w:trPr>
        <w:tc>
          <w:tcPr>
            <w:tcW w:type="dxa" w:w="2835"/>
            <w:vAlign w:val="top"/>
            <w:shd w:fill="1F4E78"/>
          </w:tcPr>
          <w:p>
            <w:r>
              <w:rPr>
                <w:color w:val="FFFFFF"/>
              </w:rPr>
            </w:r>
            <w:r>
              <w:rPr>
                <w:b/>
                <w:color w:val="FFFFFF"/>
                <w:sz w:val="16"/>
              </w:rPr>
              <w:t>Champ dossier</w:t>
            </w:r>
          </w:p>
        </w:tc>
        <w:tc>
          <w:tcPr>
            <w:tcW w:type="dxa" w:w="7370"/>
            <w:vAlign w:val="top"/>
            <w:shd w:fill="1F4E78"/>
          </w:tcPr>
          <w:p>
            <w:r>
              <w:rPr>
                <w:color w:val="FFFFFF"/>
              </w:rPr>
            </w:r>
            <w:r>
              <w:rPr>
                <w:b/>
                <w:color w:val="FFFFFF"/>
                <w:sz w:val="16"/>
              </w:rPr>
              <w:t>Contenu</w:t>
            </w:r>
          </w:p>
        </w:tc>
      </w:tr>
      <w:tr>
        <w:trPr>
          <w:cantSplit/>
        </w:trPr>
        <w:tc>
          <w:tcPr>
            <w:tcW w:type="dxa" w:w="2835"/>
            <w:vAlign w:val="top"/>
          </w:tcPr>
          <w:p>
            <w:r/>
            <w:r>
              <w:rPr>
                <w:b w:val="0"/>
                <w:sz w:val="16"/>
              </w:rPr>
              <w:t>research_case_id</w:t>
            </w:r>
          </w:p>
        </w:tc>
        <w:tc>
          <w:tcPr>
            <w:tcW w:type="dxa" w:w="7370"/>
            <w:vAlign w:val="top"/>
          </w:tcPr>
          <w:p>
            <w:r/>
            <w:r>
              <w:rPr>
                <w:b w:val="0"/>
                <w:sz w:val="16"/>
              </w:rPr>
              <w:t>Identifiant immuable de la ligne/fonds.</w:t>
            </w:r>
          </w:p>
        </w:tc>
      </w:tr>
      <w:tr>
        <w:trPr>
          <w:cantSplit/>
        </w:trPr>
        <w:tc>
          <w:tcPr>
            <w:tcW w:type="dxa" w:w="2835"/>
            <w:vAlign w:val="top"/>
          </w:tcPr>
          <w:p>
            <w:r/>
            <w:r>
              <w:rPr>
                <w:b w:val="0"/>
                <w:sz w:val="16"/>
              </w:rPr>
              <w:t>source_row_number</w:t>
            </w:r>
          </w:p>
        </w:tc>
        <w:tc>
          <w:tcPr>
            <w:tcW w:type="dxa" w:w="7370"/>
            <w:vAlign w:val="top"/>
          </w:tcPr>
          <w:p>
            <w:r/>
            <w:r>
              <w:rPr>
                <w:b w:val="0"/>
                <w:sz w:val="16"/>
              </w:rPr>
              <w:t>Numéro de ligne dans le classeur à compléter.</w:t>
            </w:r>
          </w:p>
        </w:tc>
      </w:tr>
      <w:tr>
        <w:trPr>
          <w:cantSplit/>
        </w:trPr>
        <w:tc>
          <w:tcPr>
            <w:tcW w:type="dxa" w:w="2835"/>
            <w:vAlign w:val="top"/>
          </w:tcPr>
          <w:p>
            <w:r/>
            <w:r>
              <w:rPr>
                <w:b w:val="0"/>
                <w:sz w:val="16"/>
              </w:rPr>
              <w:t>historical_name_raw</w:t>
            </w:r>
          </w:p>
        </w:tc>
        <w:tc>
          <w:tcPr>
            <w:tcW w:type="dxa" w:w="7370"/>
            <w:vAlign w:val="top"/>
          </w:tcPr>
          <w:p>
            <w:r/>
            <w:r>
              <w:rPr>
                <w:b w:val="0"/>
                <w:sz w:val="16"/>
              </w:rPr>
              <w:t>Colonne A exacte.</w:t>
            </w:r>
          </w:p>
        </w:tc>
      </w:tr>
      <w:tr>
        <w:trPr>
          <w:cantSplit/>
        </w:trPr>
        <w:tc>
          <w:tcPr>
            <w:tcW w:type="dxa" w:w="2835"/>
            <w:vAlign w:val="top"/>
          </w:tcPr>
          <w:p>
            <w:r/>
            <w:r>
              <w:rPr>
                <w:b w:val="0"/>
                <w:sz w:val="16"/>
              </w:rPr>
              <w:t>current_name_hint</w:t>
            </w:r>
          </w:p>
        </w:tc>
        <w:tc>
          <w:tcPr>
            <w:tcW w:type="dxa" w:w="7370"/>
            <w:vAlign w:val="top"/>
          </w:tcPr>
          <w:p>
            <w:r/>
            <w:r>
              <w:rPr>
                <w:b w:val="0"/>
                <w:sz w:val="16"/>
              </w:rPr>
              <w:t>Colonne D, uniquement comme indice.</w:t>
            </w:r>
          </w:p>
        </w:tc>
      </w:tr>
      <w:tr>
        <w:trPr>
          <w:cantSplit/>
        </w:trPr>
        <w:tc>
          <w:tcPr>
            <w:tcW w:type="dxa" w:w="2835"/>
            <w:vAlign w:val="top"/>
          </w:tcPr>
          <w:p>
            <w:r/>
            <w:r>
              <w:rPr>
                <w:b w:val="0"/>
                <w:sz w:val="16"/>
              </w:rPr>
              <w:t>current_manager_hint</w:t>
            </w:r>
          </w:p>
        </w:tc>
        <w:tc>
          <w:tcPr>
            <w:tcW w:type="dxa" w:w="7370"/>
            <w:vAlign w:val="top"/>
          </w:tcPr>
          <w:p>
            <w:r/>
            <w:r>
              <w:rPr>
                <w:b w:val="0"/>
                <w:sz w:val="16"/>
              </w:rPr>
              <w:t>Colonne L, uniquement comme indice.</w:t>
            </w:r>
          </w:p>
        </w:tc>
      </w:tr>
      <w:tr>
        <w:trPr>
          <w:cantSplit/>
        </w:trPr>
        <w:tc>
          <w:tcPr>
            <w:tcW w:type="dxa" w:w="2835"/>
            <w:vAlign w:val="top"/>
          </w:tcPr>
          <w:p>
            <w:r/>
            <w:r>
              <w:rPr>
                <w:b w:val="0"/>
                <w:sz w:val="16"/>
              </w:rPr>
              <w:t>name_variants</w:t>
            </w:r>
          </w:p>
        </w:tc>
        <w:tc>
          <w:tcPr>
            <w:tcW w:type="dxa" w:w="7370"/>
            <w:vAlign w:val="top"/>
          </w:tcPr>
          <w:p>
            <w:r/>
            <w:r>
              <w:rPr>
                <w:b w:val="0"/>
                <w:sz w:val="16"/>
              </w:rPr>
              <w:t>Variantes générées et trouvées.</w:t>
            </w:r>
          </w:p>
        </w:tc>
      </w:tr>
      <w:tr>
        <w:trPr>
          <w:cantSplit/>
        </w:trPr>
        <w:tc>
          <w:tcPr>
            <w:tcW w:type="dxa" w:w="2835"/>
            <w:vAlign w:val="top"/>
          </w:tcPr>
          <w:p>
            <w:r/>
            <w:r>
              <w:rPr>
                <w:b w:val="0"/>
                <w:sz w:val="16"/>
              </w:rPr>
              <w:t>domains_searched</w:t>
            </w:r>
          </w:p>
        </w:tc>
        <w:tc>
          <w:tcPr>
            <w:tcW w:type="dxa" w:w="7370"/>
            <w:vAlign w:val="top"/>
          </w:tcPr>
          <w:p>
            <w:r/>
            <w:r>
              <w:rPr>
                <w:b w:val="0"/>
                <w:sz w:val="16"/>
              </w:rPr>
              <w:t>Domaines officiels et archives interrogés.</w:t>
            </w:r>
          </w:p>
        </w:tc>
      </w:tr>
      <w:tr>
        <w:trPr>
          <w:cantSplit/>
        </w:trPr>
        <w:tc>
          <w:tcPr>
            <w:tcW w:type="dxa" w:w="2835"/>
            <w:vAlign w:val="top"/>
          </w:tcPr>
          <w:p>
            <w:r/>
            <w:r>
              <w:rPr>
                <w:b w:val="0"/>
                <w:sz w:val="16"/>
              </w:rPr>
              <w:t>queries_executed</w:t>
            </w:r>
          </w:p>
        </w:tc>
        <w:tc>
          <w:tcPr>
            <w:tcW w:type="dxa" w:w="7370"/>
            <w:vAlign w:val="top"/>
          </w:tcPr>
          <w:p>
            <w:r/>
            <w:r>
              <w:rPr>
                <w:b w:val="0"/>
                <w:sz w:val="16"/>
              </w:rPr>
              <w:t>Requêtes exactes et date.</w:t>
            </w:r>
          </w:p>
        </w:tc>
      </w:tr>
      <w:tr>
        <w:trPr>
          <w:cantSplit/>
        </w:trPr>
        <w:tc>
          <w:tcPr>
            <w:tcW w:type="dxa" w:w="2835"/>
            <w:vAlign w:val="top"/>
          </w:tcPr>
          <w:p>
            <w:r/>
            <w:r>
              <w:rPr>
                <w:b w:val="0"/>
                <w:sz w:val="16"/>
              </w:rPr>
              <w:t>documents_found</w:t>
            </w:r>
          </w:p>
        </w:tc>
        <w:tc>
          <w:tcPr>
            <w:tcW w:type="dxa" w:w="7370"/>
            <w:vAlign w:val="top"/>
          </w:tcPr>
          <w:p>
            <w:r/>
            <w:r>
              <w:rPr>
                <w:b w:val="0"/>
                <w:sz w:val="16"/>
              </w:rPr>
              <w:t>Documents téléchargés et hashés.</w:t>
            </w:r>
          </w:p>
        </w:tc>
      </w:tr>
      <w:tr>
        <w:trPr>
          <w:cantSplit/>
        </w:trPr>
        <w:tc>
          <w:tcPr>
            <w:tcW w:type="dxa" w:w="2835"/>
            <w:vAlign w:val="top"/>
          </w:tcPr>
          <w:p>
            <w:r/>
            <w:r>
              <w:rPr>
                <w:b w:val="0"/>
                <w:sz w:val="16"/>
              </w:rPr>
              <w:t>claims_extracted</w:t>
            </w:r>
          </w:p>
        </w:tc>
        <w:tc>
          <w:tcPr>
            <w:tcW w:type="dxa" w:w="7370"/>
            <w:vAlign w:val="top"/>
          </w:tcPr>
          <w:p>
            <w:r/>
            <w:r>
              <w:rPr>
                <w:b w:val="0"/>
                <w:sz w:val="16"/>
              </w:rPr>
              <w:t>Affirmations atomiques avec citations de pages.</w:t>
            </w:r>
          </w:p>
        </w:tc>
      </w:tr>
      <w:tr>
        <w:trPr>
          <w:cantSplit/>
        </w:trPr>
        <w:tc>
          <w:tcPr>
            <w:tcW w:type="dxa" w:w="2835"/>
            <w:vAlign w:val="top"/>
          </w:tcPr>
          <w:p>
            <w:r/>
            <w:r>
              <w:rPr>
                <w:b w:val="0"/>
                <w:sz w:val="16"/>
              </w:rPr>
              <w:t>events_proposed</w:t>
            </w:r>
          </w:p>
        </w:tc>
        <w:tc>
          <w:tcPr>
            <w:tcW w:type="dxa" w:w="7370"/>
            <w:vAlign w:val="top"/>
          </w:tcPr>
          <w:p>
            <w:r/>
            <w:r>
              <w:rPr>
                <w:b w:val="0"/>
                <w:sz w:val="16"/>
              </w:rPr>
              <w:t>Événements proposés et preuves.</w:t>
            </w:r>
          </w:p>
        </w:tc>
      </w:tr>
      <w:tr>
        <w:trPr>
          <w:cantSplit/>
        </w:trPr>
        <w:tc>
          <w:tcPr>
            <w:tcW w:type="dxa" w:w="2835"/>
            <w:vAlign w:val="top"/>
          </w:tcPr>
          <w:p>
            <w:r/>
            <w:r>
              <w:rPr>
                <w:b w:val="0"/>
                <w:sz w:val="16"/>
              </w:rPr>
              <w:t>identity_links</w:t>
            </w:r>
          </w:p>
        </w:tc>
        <w:tc>
          <w:tcPr>
            <w:tcW w:type="dxa" w:w="7370"/>
            <w:vAlign w:val="top"/>
          </w:tcPr>
          <w:p>
            <w:r/>
            <w:r>
              <w:rPr>
                <w:b w:val="0"/>
                <w:sz w:val="16"/>
              </w:rPr>
              <w:t>Liens entre alias et entités, avec niveau de confiance.</w:t>
            </w:r>
          </w:p>
        </w:tc>
      </w:tr>
      <w:tr>
        <w:trPr>
          <w:cantSplit/>
        </w:trPr>
        <w:tc>
          <w:tcPr>
            <w:tcW w:type="dxa" w:w="2835"/>
            <w:vAlign w:val="top"/>
          </w:tcPr>
          <w:p>
            <w:r/>
            <w:r>
              <w:rPr>
                <w:b w:val="0"/>
                <w:sz w:val="16"/>
              </w:rPr>
              <w:t>conflicts</w:t>
            </w:r>
          </w:p>
        </w:tc>
        <w:tc>
          <w:tcPr>
            <w:tcW w:type="dxa" w:w="7370"/>
            <w:vAlign w:val="top"/>
          </w:tcPr>
          <w:p>
            <w:r/>
            <w:r>
              <w:rPr>
                <w:b w:val="0"/>
                <w:sz w:val="16"/>
              </w:rPr>
              <w:t>Contradictions non résolues.</w:t>
            </w:r>
          </w:p>
        </w:tc>
      </w:tr>
      <w:tr>
        <w:trPr>
          <w:cantSplit/>
        </w:trPr>
        <w:tc>
          <w:tcPr>
            <w:tcW w:type="dxa" w:w="2835"/>
            <w:vAlign w:val="top"/>
          </w:tcPr>
          <w:p>
            <w:r/>
            <w:r>
              <w:rPr>
                <w:b w:val="0"/>
                <w:sz w:val="16"/>
              </w:rPr>
              <w:t>fields_filled</w:t>
            </w:r>
          </w:p>
        </w:tc>
        <w:tc>
          <w:tcPr>
            <w:tcW w:type="dxa" w:w="7370"/>
            <w:vAlign w:val="top"/>
          </w:tcPr>
          <w:p>
            <w:r/>
            <w:r>
              <w:rPr>
                <w:b w:val="0"/>
                <w:sz w:val="16"/>
              </w:rPr>
              <w:t>Cellules renseignées et provenance.</w:t>
            </w:r>
          </w:p>
        </w:tc>
      </w:tr>
      <w:tr>
        <w:trPr>
          <w:cantSplit/>
        </w:trPr>
        <w:tc>
          <w:tcPr>
            <w:tcW w:type="dxa" w:w="2835"/>
            <w:vAlign w:val="top"/>
          </w:tcPr>
          <w:p>
            <w:r/>
            <w:r>
              <w:rPr>
                <w:b w:val="0"/>
                <w:sz w:val="16"/>
              </w:rPr>
              <w:t>fields_open</w:t>
            </w:r>
          </w:p>
        </w:tc>
        <w:tc>
          <w:tcPr>
            <w:tcW w:type="dxa" w:w="7370"/>
            <w:vAlign w:val="top"/>
          </w:tcPr>
          <w:p>
            <w:r/>
            <w:r>
              <w:rPr>
                <w:b w:val="0"/>
                <w:sz w:val="16"/>
              </w:rPr>
              <w:t>Cellules encore vides et raison.</w:t>
            </w:r>
          </w:p>
        </w:tc>
      </w:tr>
      <w:tr>
        <w:trPr>
          <w:cantSplit/>
        </w:trPr>
        <w:tc>
          <w:tcPr>
            <w:tcW w:type="dxa" w:w="2835"/>
            <w:vAlign w:val="top"/>
          </w:tcPr>
          <w:p>
            <w:r/>
            <w:r>
              <w:rPr>
                <w:b w:val="0"/>
                <w:sz w:val="16"/>
              </w:rPr>
              <w:t>reviewer</w:t>
            </w:r>
          </w:p>
        </w:tc>
        <w:tc>
          <w:tcPr>
            <w:tcW w:type="dxa" w:w="7370"/>
            <w:vAlign w:val="top"/>
          </w:tcPr>
          <w:p>
            <w:r/>
            <w:r>
              <w:rPr>
                <w:b w:val="0"/>
                <w:sz w:val="16"/>
              </w:rPr>
              <w:t>Analyste/agent ayant validé.</w:t>
            </w:r>
          </w:p>
        </w:tc>
      </w:tr>
      <w:tr>
        <w:trPr>
          <w:cantSplit/>
        </w:trPr>
        <w:tc>
          <w:tcPr>
            <w:tcW w:type="dxa" w:w="2835"/>
            <w:vAlign w:val="top"/>
          </w:tcPr>
          <w:p>
            <w:r/>
            <w:r>
              <w:rPr>
                <w:b w:val="0"/>
                <w:sz w:val="16"/>
              </w:rPr>
              <w:t>review_status</w:t>
            </w:r>
          </w:p>
        </w:tc>
        <w:tc>
          <w:tcPr>
            <w:tcW w:type="dxa" w:w="7370"/>
            <w:vAlign w:val="top"/>
          </w:tcPr>
          <w:p>
            <w:r/>
            <w:r>
              <w:rPr>
                <w:b w:val="0"/>
                <w:sz w:val="16"/>
              </w:rPr>
              <w:t>À rechercher, en cours, revue requise, validé.</w:t>
            </w:r>
          </w:p>
        </w:tc>
      </w:tr>
      <w:tr>
        <w:trPr>
          <w:cantSplit/>
        </w:trPr>
        <w:tc>
          <w:tcPr>
            <w:tcW w:type="dxa" w:w="2835"/>
            <w:vAlign w:val="top"/>
          </w:tcPr>
          <w:p>
            <w:r/>
            <w:r>
              <w:rPr>
                <w:b w:val="0"/>
                <w:sz w:val="16"/>
              </w:rPr>
              <w:t>next_action</w:t>
            </w:r>
          </w:p>
        </w:tc>
        <w:tc>
          <w:tcPr>
            <w:tcW w:type="dxa" w:w="7370"/>
            <w:vAlign w:val="top"/>
          </w:tcPr>
          <w:p>
            <w:r/>
            <w:r>
              <w:rPr>
                <w:b w:val="0"/>
                <w:sz w:val="16"/>
              </w:rPr>
              <w:t>Action concrète suivante.</w:t>
            </w:r>
          </w:p>
        </w:tc>
      </w:tr>
    </w:tbl>
    <w:p/>
    <w:p>
      <w:pPr>
        <w:sectPr>
          <w:pgSz w:w="15840" w:h="12240"/>
          <w:pgMar w:top="1020" w:right="1020" w:bottom="1020" w:left="1020" w:header="397" w:footer="397" w:gutter="0"/>
          <w:cols w:space="720"/>
          <w:docGrid w:linePitch="360"/>
        </w:sectPr>
      </w:pPr>
    </w:p>
    <w:p>
      <w:pPr>
        <w:pStyle w:val="Heading1"/>
      </w:pPr>
      <w:r>
        <w:t>PARTIE XXI — LIBELLÉS DE GESTIONNAIRES OBSERVÉS EN MARS 2026</w:t>
      </w:r>
    </w:p>
    <w:p>
      <w:r>
        <w:t>Cette table provient du fichier mensuel SEC de mars 2026. Elle ne constitue pas une fusion automatique des entités. Elle sert à distinguer les fautes de frappe évidentes des transformations juridiques ou de marque qui exigent une preuve.</w:t>
      </w:r>
    </w:p>
    <w:tbl>
      <w:tblPr>
        <w:tblStyle w:val="TableGrid"/>
        <w:tblW w:type="auto" w:w="0"/>
        <w:jc w:val="center"/>
        <w:tblLook w:firstColumn="1" w:firstRow="1" w:lastColumn="0" w:lastRow="0" w:noHBand="0" w:noVBand="1" w:val="04A0"/>
      </w:tblPr>
      <w:tblGrid>
        <w:gridCol w:w="2691"/>
        <w:gridCol w:w="2691"/>
        <w:gridCol w:w="2691"/>
        <w:gridCol w:w="2691"/>
      </w:tblGrid>
      <w:tr>
        <w:trPr>
          <w:tblHeader w:val="true"/>
        </w:trPr>
        <w:tc>
          <w:tcPr>
            <w:tcW w:type="dxa" w:w="3969"/>
            <w:vAlign w:val="top"/>
            <w:shd w:fill="1F4E78"/>
          </w:tcPr>
          <w:p>
            <w:r>
              <w:rPr>
                <w:color w:val="FFFFFF"/>
              </w:rPr>
            </w:r>
            <w:r>
              <w:rPr>
                <w:b/>
                <w:color w:val="FFFFFF"/>
                <w:sz w:val="13"/>
              </w:rPr>
              <w:t>Libellé brut SEC</w:t>
            </w:r>
          </w:p>
        </w:tc>
        <w:tc>
          <w:tcPr>
            <w:tcW w:type="dxa" w:w="3402"/>
            <w:vAlign w:val="top"/>
            <w:shd w:fill="1F4E78"/>
          </w:tcPr>
          <w:p>
            <w:r>
              <w:rPr>
                <w:color w:val="FFFFFF"/>
              </w:rPr>
            </w:r>
            <w:r>
              <w:rPr>
                <w:b/>
                <w:color w:val="FFFFFF"/>
                <w:sz w:val="13"/>
              </w:rPr>
              <w:t>Clé typographique</w:t>
            </w:r>
          </w:p>
        </w:tc>
        <w:tc>
          <w:tcPr>
            <w:tcW w:type="dxa" w:w="5102"/>
            <w:vAlign w:val="top"/>
            <w:shd w:fill="1F4E78"/>
          </w:tcPr>
          <w:p>
            <w:r>
              <w:rPr>
                <w:color w:val="FFFFFF"/>
              </w:rPr>
            </w:r>
            <w:r>
              <w:rPr>
                <w:b/>
                <w:color w:val="FFFFFF"/>
                <w:sz w:val="13"/>
              </w:rPr>
              <w:t>Candidat canonique / remarque</w:t>
            </w:r>
          </w:p>
        </w:tc>
        <w:tc>
          <w:tcPr>
            <w:tcW w:type="dxa" w:w="5669"/>
            <w:vAlign w:val="top"/>
            <w:shd w:fill="1F4E78"/>
          </w:tcPr>
          <w:p>
            <w:r>
              <w:rPr>
                <w:color w:val="FFFFFF"/>
              </w:rPr>
            </w:r>
            <w:r>
              <w:rPr>
                <w:b/>
                <w:color w:val="FFFFFF"/>
                <w:sz w:val="13"/>
              </w:rPr>
              <w:t>Décision obligatoire</w:t>
            </w:r>
          </w:p>
        </w:tc>
      </w:tr>
      <w:tr>
        <w:trPr>
          <w:cantSplit/>
        </w:trPr>
        <w:tc>
          <w:tcPr>
            <w:tcW w:type="dxa" w:w="3969"/>
            <w:vAlign w:val="top"/>
          </w:tcPr>
          <w:p>
            <w:r/>
            <w:r>
              <w:rPr>
                <w:b w:val="0"/>
                <w:sz w:val="13"/>
              </w:rPr>
              <w:t>AIICO Capital Ltd</w:t>
            </w:r>
          </w:p>
        </w:tc>
        <w:tc>
          <w:tcPr>
            <w:tcW w:type="dxa" w:w="3402"/>
            <w:vAlign w:val="top"/>
          </w:tcPr>
          <w:p>
            <w:r/>
            <w:r>
              <w:rPr>
                <w:b w:val="0"/>
                <w:sz w:val="13"/>
              </w:rPr>
              <w:t>aiico capital ltd</w:t>
            </w:r>
          </w:p>
        </w:tc>
        <w:tc>
          <w:tcPr>
            <w:tcW w:type="dxa" w:w="5102"/>
            <w:vAlign w:val="top"/>
          </w:tcPr>
          <w:p>
            <w:r/>
            <w:r>
              <w:rPr>
                <w:b w:val="0"/>
                <w:sz w:val="13"/>
              </w:rPr>
              <w:t>AIICO Capital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ARM Investment Managers</w:t>
            </w:r>
          </w:p>
        </w:tc>
        <w:tc>
          <w:tcPr>
            <w:tcW w:type="dxa" w:w="3402"/>
            <w:vAlign w:val="top"/>
          </w:tcPr>
          <w:p>
            <w:r/>
            <w:r>
              <w:rPr>
                <w:b w:val="0"/>
                <w:sz w:val="13"/>
              </w:rPr>
              <w:t>arm investment managers</w:t>
            </w:r>
          </w:p>
        </w:tc>
        <w:tc>
          <w:tcPr>
            <w:tcW w:type="dxa" w:w="5102"/>
            <w:vAlign w:val="top"/>
          </w:tcPr>
          <w:p>
            <w:r/>
            <w:r>
              <w:rPr>
                <w:b w:val="0"/>
                <w:sz w:val="13"/>
              </w:rPr>
              <w:t>ARM Investment Managers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ARM Investment Managers Limited</w:t>
            </w:r>
          </w:p>
        </w:tc>
        <w:tc>
          <w:tcPr>
            <w:tcW w:type="dxa" w:w="3402"/>
            <w:vAlign w:val="top"/>
          </w:tcPr>
          <w:p>
            <w:r/>
            <w:r>
              <w:rPr>
                <w:b w:val="0"/>
                <w:sz w:val="13"/>
              </w:rPr>
              <w:t>arm investment managers limited</w:t>
            </w:r>
          </w:p>
        </w:tc>
        <w:tc>
          <w:tcPr>
            <w:tcW w:type="dxa" w:w="5102"/>
            <w:vAlign w:val="top"/>
          </w:tcPr>
          <w:p>
            <w:r/>
            <w:r>
              <w:rPr>
                <w:b w:val="0"/>
                <w:sz w:val="13"/>
              </w:rPr>
              <w:t>ARM Investment Managers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AVA Global Asset Managers Limited</w:t>
            </w:r>
          </w:p>
        </w:tc>
        <w:tc>
          <w:tcPr>
            <w:tcW w:type="dxa" w:w="3402"/>
            <w:vAlign w:val="top"/>
          </w:tcPr>
          <w:p>
            <w:r/>
            <w:r>
              <w:rPr>
                <w:b w:val="0"/>
                <w:sz w:val="13"/>
              </w:rPr>
              <w:t>ava global asset managers limited</w:t>
            </w:r>
          </w:p>
        </w:tc>
        <w:tc>
          <w:tcPr>
            <w:tcW w:type="dxa" w:w="5102"/>
            <w:vAlign w:val="top"/>
          </w:tcPr>
          <w:p>
            <w:r/>
            <w:r>
              <w:rPr>
                <w:b w:val="0"/>
                <w:sz w:val="13"/>
              </w:rPr>
              <w:t>AVA Global Asset Managers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AXA Mansard Investments Limited</w:t>
            </w:r>
          </w:p>
        </w:tc>
        <w:tc>
          <w:tcPr>
            <w:tcW w:type="dxa" w:w="3402"/>
            <w:vAlign w:val="top"/>
          </w:tcPr>
          <w:p>
            <w:r/>
            <w:r>
              <w:rPr>
                <w:b w:val="0"/>
                <w:sz w:val="13"/>
              </w:rPr>
              <w:t>axa mansard investments limited</w:t>
            </w:r>
          </w:p>
        </w:tc>
        <w:tc>
          <w:tcPr>
            <w:tcW w:type="dxa" w:w="5102"/>
            <w:vAlign w:val="top"/>
          </w:tcPr>
          <w:p>
            <w:r/>
            <w:r>
              <w:rPr>
                <w:b w:val="0"/>
                <w:sz w:val="13"/>
              </w:rPr>
              <w:t>AXA Mansard Investments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Afrinvest Asset Management Ltd.</w:t>
            </w:r>
          </w:p>
        </w:tc>
        <w:tc>
          <w:tcPr>
            <w:tcW w:type="dxa" w:w="3402"/>
            <w:vAlign w:val="top"/>
          </w:tcPr>
          <w:p>
            <w:r/>
            <w:r>
              <w:rPr>
                <w:b w:val="0"/>
                <w:sz w:val="13"/>
              </w:rPr>
              <w:t>afrinvest asset management ltd</w:t>
            </w:r>
          </w:p>
        </w:tc>
        <w:tc>
          <w:tcPr>
            <w:tcW w:type="dxa" w:w="5102"/>
            <w:vAlign w:val="top"/>
          </w:tcPr>
          <w:p>
            <w:r/>
            <w:r>
              <w:rPr>
                <w:b w:val="0"/>
                <w:sz w:val="13"/>
              </w:rPr>
              <w:t>Afrinvest Asset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Afrinvest Asset Mgt Ltd.</w:t>
            </w:r>
          </w:p>
        </w:tc>
        <w:tc>
          <w:tcPr>
            <w:tcW w:type="dxa" w:w="3402"/>
            <w:vAlign w:val="top"/>
          </w:tcPr>
          <w:p>
            <w:r/>
            <w:r>
              <w:rPr>
                <w:b w:val="0"/>
                <w:sz w:val="13"/>
              </w:rPr>
              <w:t>afrinvest asset mgt ltd</w:t>
            </w:r>
          </w:p>
        </w:tc>
        <w:tc>
          <w:tcPr>
            <w:tcW w:type="dxa" w:w="5102"/>
            <w:vAlign w:val="top"/>
          </w:tcPr>
          <w:p>
            <w:r/>
            <w:r>
              <w:rPr>
                <w:b w:val="0"/>
                <w:sz w:val="13"/>
              </w:rPr>
              <w:t>Afrinvest Asset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Alpha Morgan Capital Managers Limited</w:t>
            </w:r>
          </w:p>
        </w:tc>
        <w:tc>
          <w:tcPr>
            <w:tcW w:type="dxa" w:w="3402"/>
            <w:vAlign w:val="top"/>
          </w:tcPr>
          <w:p>
            <w:r/>
            <w:r>
              <w:rPr>
                <w:b w:val="0"/>
                <w:sz w:val="13"/>
              </w:rPr>
              <w:t>alpha morgan capital managers limited</w:t>
            </w:r>
          </w:p>
        </w:tc>
        <w:tc>
          <w:tcPr>
            <w:tcW w:type="dxa" w:w="5102"/>
            <w:vAlign w:val="top"/>
          </w:tcPr>
          <w:p>
            <w:r/>
            <w:r>
              <w:rPr>
                <w:b w:val="0"/>
                <w:sz w:val="13"/>
              </w:rPr>
              <w:t>Alpha Morgan Capital Managers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Alpha10 Fund Management Limited</w:t>
            </w:r>
          </w:p>
        </w:tc>
        <w:tc>
          <w:tcPr>
            <w:tcW w:type="dxa" w:w="3402"/>
            <w:vAlign w:val="top"/>
          </w:tcPr>
          <w:p>
            <w:r/>
            <w:r>
              <w:rPr>
                <w:b w:val="0"/>
                <w:sz w:val="13"/>
              </w:rPr>
              <w:t>alpha10 fund management limited</w:t>
            </w:r>
          </w:p>
        </w:tc>
        <w:tc>
          <w:tcPr>
            <w:tcW w:type="dxa" w:w="5102"/>
            <w:vAlign w:val="top"/>
          </w:tcPr>
          <w:p>
            <w:r/>
            <w:r>
              <w:rPr>
                <w:b w:val="0"/>
                <w:sz w:val="13"/>
              </w:rPr>
              <w:t>Alpha10 Fund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Anchoria Asset Management Limited</w:t>
            </w:r>
          </w:p>
        </w:tc>
        <w:tc>
          <w:tcPr>
            <w:tcW w:type="dxa" w:w="3402"/>
            <w:vAlign w:val="top"/>
          </w:tcPr>
          <w:p>
            <w:r/>
            <w:r>
              <w:rPr>
                <w:b w:val="0"/>
                <w:sz w:val="13"/>
              </w:rPr>
              <w:t>anchoria asset management limited</w:t>
            </w:r>
          </w:p>
        </w:tc>
        <w:tc>
          <w:tcPr>
            <w:tcW w:type="dxa" w:w="5102"/>
            <w:vAlign w:val="top"/>
          </w:tcPr>
          <w:p>
            <w:r/>
            <w:r>
              <w:rPr>
                <w:b w:val="0"/>
                <w:sz w:val="13"/>
              </w:rPr>
              <w:t>Anchoria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Apel Wealth Management Limited</w:t>
            </w:r>
          </w:p>
        </w:tc>
        <w:tc>
          <w:tcPr>
            <w:tcW w:type="dxa" w:w="3402"/>
            <w:vAlign w:val="top"/>
          </w:tcPr>
          <w:p>
            <w:r/>
            <w:r>
              <w:rPr>
                <w:b w:val="0"/>
                <w:sz w:val="13"/>
              </w:rPr>
              <w:t>apel wealth management limited</w:t>
            </w:r>
          </w:p>
        </w:tc>
        <w:tc>
          <w:tcPr>
            <w:tcW w:type="dxa" w:w="5102"/>
            <w:vAlign w:val="top"/>
          </w:tcPr>
          <w:p>
            <w:r/>
            <w:r>
              <w:rPr>
                <w:b w:val="0"/>
                <w:sz w:val="13"/>
              </w:rPr>
              <w:t>Apel Wealth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CFG Asset Management Limited</w:t>
            </w:r>
          </w:p>
        </w:tc>
        <w:tc>
          <w:tcPr>
            <w:tcW w:type="dxa" w:w="3402"/>
            <w:vAlign w:val="top"/>
          </w:tcPr>
          <w:p>
            <w:r/>
            <w:r>
              <w:rPr>
                <w:b w:val="0"/>
                <w:sz w:val="13"/>
              </w:rPr>
              <w:t>cfg asset management limited</w:t>
            </w:r>
          </w:p>
        </w:tc>
        <w:tc>
          <w:tcPr>
            <w:tcW w:type="dxa" w:w="5102"/>
            <w:vAlign w:val="top"/>
          </w:tcPr>
          <w:p>
            <w:r/>
            <w:r>
              <w:rPr>
                <w:b w:val="0"/>
                <w:sz w:val="13"/>
              </w:rPr>
              <w:t>CFG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CFG Assset Management Limited</w:t>
            </w:r>
          </w:p>
        </w:tc>
        <w:tc>
          <w:tcPr>
            <w:tcW w:type="dxa" w:w="3402"/>
            <w:vAlign w:val="top"/>
          </w:tcPr>
          <w:p>
            <w:r/>
            <w:r>
              <w:rPr>
                <w:b w:val="0"/>
                <w:sz w:val="13"/>
              </w:rPr>
              <w:t>cfg assset management limited</w:t>
            </w:r>
          </w:p>
        </w:tc>
        <w:tc>
          <w:tcPr>
            <w:tcW w:type="dxa" w:w="5102"/>
            <w:vAlign w:val="top"/>
          </w:tcPr>
          <w:p>
            <w:r/>
            <w:r>
              <w:rPr>
                <w:b w:val="0"/>
                <w:sz w:val="13"/>
              </w:rPr>
              <w:t>CFG Asset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Capital Express Assset &amp; Trust Limited</w:t>
            </w:r>
          </w:p>
        </w:tc>
        <w:tc>
          <w:tcPr>
            <w:tcW w:type="dxa" w:w="3402"/>
            <w:vAlign w:val="top"/>
          </w:tcPr>
          <w:p>
            <w:r/>
            <w:r>
              <w:rPr>
                <w:b w:val="0"/>
                <w:sz w:val="13"/>
              </w:rPr>
              <w:t>capital express assset trust limited</w:t>
            </w:r>
          </w:p>
        </w:tc>
        <w:tc>
          <w:tcPr>
            <w:tcW w:type="dxa" w:w="5102"/>
            <w:vAlign w:val="top"/>
          </w:tcPr>
          <w:p>
            <w:r/>
            <w:r>
              <w:rPr>
                <w:b w:val="0"/>
                <w:sz w:val="13"/>
              </w:rPr>
              <w:t>Capital Express Asset &amp; Trust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Capital Trust Investments &amp; Asset Mgt. Ltd</w:t>
            </w:r>
          </w:p>
        </w:tc>
        <w:tc>
          <w:tcPr>
            <w:tcW w:type="dxa" w:w="3402"/>
            <w:vAlign w:val="top"/>
          </w:tcPr>
          <w:p>
            <w:r/>
            <w:r>
              <w:rPr>
                <w:b w:val="0"/>
                <w:sz w:val="13"/>
              </w:rPr>
              <w:t>capital trust investments asset mgt ltd</w:t>
            </w:r>
          </w:p>
        </w:tc>
        <w:tc>
          <w:tcPr>
            <w:tcW w:type="dxa" w:w="5102"/>
            <w:vAlign w:val="top"/>
          </w:tcPr>
          <w:p>
            <w:r/>
            <w:r>
              <w:rPr>
                <w:b w:val="0"/>
                <w:sz w:val="13"/>
              </w:rPr>
              <w:t>Capital Trust Investments &amp; Asset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CardinalStone Asset Mgt. Limited</w:t>
            </w:r>
          </w:p>
        </w:tc>
        <w:tc>
          <w:tcPr>
            <w:tcW w:type="dxa" w:w="3402"/>
            <w:vAlign w:val="top"/>
          </w:tcPr>
          <w:p>
            <w:r/>
            <w:r>
              <w:rPr>
                <w:b w:val="0"/>
                <w:sz w:val="13"/>
              </w:rPr>
              <w:t>cardinalstone asset mgt limited</w:t>
            </w:r>
          </w:p>
        </w:tc>
        <w:tc>
          <w:tcPr>
            <w:tcW w:type="dxa" w:w="5102"/>
            <w:vAlign w:val="top"/>
          </w:tcPr>
          <w:p>
            <w:r/>
            <w:r>
              <w:rPr>
                <w:b w:val="0"/>
                <w:sz w:val="13"/>
              </w:rPr>
              <w:t>CardinalStone Asset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Chapel Hill Denham Mgt. Limited</w:t>
            </w:r>
          </w:p>
        </w:tc>
        <w:tc>
          <w:tcPr>
            <w:tcW w:type="dxa" w:w="3402"/>
            <w:vAlign w:val="top"/>
          </w:tcPr>
          <w:p>
            <w:r/>
            <w:r>
              <w:rPr>
                <w:b w:val="0"/>
                <w:sz w:val="13"/>
              </w:rPr>
              <w:t>chapel hill denham mgt limited</w:t>
            </w:r>
          </w:p>
        </w:tc>
        <w:tc>
          <w:tcPr>
            <w:tcW w:type="dxa" w:w="5102"/>
            <w:vAlign w:val="top"/>
          </w:tcPr>
          <w:p>
            <w:r/>
            <w:r>
              <w:rPr>
                <w:b w:val="0"/>
                <w:sz w:val="13"/>
              </w:rPr>
              <w:t>Chapel Hill Denham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Comercio Partners Asset Management Limited</w:t>
            </w:r>
          </w:p>
        </w:tc>
        <w:tc>
          <w:tcPr>
            <w:tcW w:type="dxa" w:w="3402"/>
            <w:vAlign w:val="top"/>
          </w:tcPr>
          <w:p>
            <w:r/>
            <w:r>
              <w:rPr>
                <w:b w:val="0"/>
                <w:sz w:val="13"/>
              </w:rPr>
              <w:t>comercio partners asset management limited</w:t>
            </w:r>
          </w:p>
        </w:tc>
        <w:tc>
          <w:tcPr>
            <w:tcW w:type="dxa" w:w="5102"/>
            <w:vAlign w:val="top"/>
          </w:tcPr>
          <w:p>
            <w:r/>
            <w:r>
              <w:rPr>
                <w:b w:val="0"/>
                <w:sz w:val="13"/>
              </w:rPr>
              <w:t>Comercio Partners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Cordros Asset Management Limited</w:t>
            </w:r>
          </w:p>
        </w:tc>
        <w:tc>
          <w:tcPr>
            <w:tcW w:type="dxa" w:w="3402"/>
            <w:vAlign w:val="top"/>
          </w:tcPr>
          <w:p>
            <w:r/>
            <w:r>
              <w:rPr>
                <w:b w:val="0"/>
                <w:sz w:val="13"/>
              </w:rPr>
              <w:t>cordros asset management limited</w:t>
            </w:r>
          </w:p>
        </w:tc>
        <w:tc>
          <w:tcPr>
            <w:tcW w:type="dxa" w:w="5102"/>
            <w:vAlign w:val="top"/>
          </w:tcPr>
          <w:p>
            <w:r/>
            <w:r>
              <w:rPr>
                <w:b w:val="0"/>
                <w:sz w:val="13"/>
              </w:rPr>
              <w:t>Cordros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Coronation Asset Management Limited</w:t>
            </w:r>
          </w:p>
        </w:tc>
        <w:tc>
          <w:tcPr>
            <w:tcW w:type="dxa" w:w="3402"/>
            <w:vAlign w:val="top"/>
          </w:tcPr>
          <w:p>
            <w:r/>
            <w:r>
              <w:rPr>
                <w:b w:val="0"/>
                <w:sz w:val="13"/>
              </w:rPr>
              <w:t>coronation asset management limited</w:t>
            </w:r>
          </w:p>
        </w:tc>
        <w:tc>
          <w:tcPr>
            <w:tcW w:type="dxa" w:w="5102"/>
            <w:vAlign w:val="top"/>
          </w:tcPr>
          <w:p>
            <w:r/>
            <w:r>
              <w:rPr>
                <w:b w:val="0"/>
                <w:sz w:val="13"/>
              </w:rPr>
              <w:t>Coronation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Cowry Treasurers Limited</w:t>
            </w:r>
          </w:p>
        </w:tc>
        <w:tc>
          <w:tcPr>
            <w:tcW w:type="dxa" w:w="3402"/>
            <w:vAlign w:val="top"/>
          </w:tcPr>
          <w:p>
            <w:r/>
            <w:r>
              <w:rPr>
                <w:b w:val="0"/>
                <w:sz w:val="13"/>
              </w:rPr>
              <w:t>cowry treasurers limited</w:t>
            </w:r>
          </w:p>
        </w:tc>
        <w:tc>
          <w:tcPr>
            <w:tcW w:type="dxa" w:w="5102"/>
            <w:vAlign w:val="top"/>
          </w:tcPr>
          <w:p>
            <w:r/>
            <w:r>
              <w:rPr>
                <w:b w:val="0"/>
                <w:sz w:val="13"/>
              </w:rPr>
              <w:t>Cowry Treasurers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D'Namaz Capital Limited</w:t>
            </w:r>
          </w:p>
        </w:tc>
        <w:tc>
          <w:tcPr>
            <w:tcW w:type="dxa" w:w="3402"/>
            <w:vAlign w:val="top"/>
          </w:tcPr>
          <w:p>
            <w:r/>
            <w:r>
              <w:rPr>
                <w:b w:val="0"/>
                <w:sz w:val="13"/>
              </w:rPr>
              <w:t>d namaz capital limited</w:t>
            </w:r>
          </w:p>
        </w:tc>
        <w:tc>
          <w:tcPr>
            <w:tcW w:type="dxa" w:w="5102"/>
            <w:vAlign w:val="top"/>
          </w:tcPr>
          <w:p>
            <w:r/>
            <w:r>
              <w:rPr>
                <w:b w:val="0"/>
                <w:sz w:val="13"/>
              </w:rPr>
              <w:t>D'Namaz Capital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DLM Asset Management Limited</w:t>
            </w:r>
          </w:p>
        </w:tc>
        <w:tc>
          <w:tcPr>
            <w:tcW w:type="dxa" w:w="3402"/>
            <w:vAlign w:val="top"/>
          </w:tcPr>
          <w:p>
            <w:r/>
            <w:r>
              <w:rPr>
                <w:b w:val="0"/>
                <w:sz w:val="13"/>
              </w:rPr>
              <w:t>dlm asset management limited</w:t>
            </w:r>
          </w:p>
        </w:tc>
        <w:tc>
          <w:tcPr>
            <w:tcW w:type="dxa" w:w="5102"/>
            <w:vAlign w:val="top"/>
          </w:tcPr>
          <w:p>
            <w:r/>
            <w:r>
              <w:rPr>
                <w:b w:val="0"/>
                <w:sz w:val="13"/>
              </w:rPr>
              <w:t>DLM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EDC Fund Management</w:t>
            </w:r>
          </w:p>
        </w:tc>
        <w:tc>
          <w:tcPr>
            <w:tcW w:type="dxa" w:w="3402"/>
            <w:vAlign w:val="top"/>
          </w:tcPr>
          <w:p>
            <w:r/>
            <w:r>
              <w:rPr>
                <w:b w:val="0"/>
                <w:sz w:val="13"/>
              </w:rPr>
              <w:t>edc fund management</w:t>
            </w:r>
          </w:p>
        </w:tc>
        <w:tc>
          <w:tcPr>
            <w:tcW w:type="dxa" w:w="5102"/>
            <w:vAlign w:val="top"/>
          </w:tcPr>
          <w:p>
            <w:r/>
            <w:r>
              <w:rPr>
                <w:b w:val="0"/>
                <w:sz w:val="13"/>
              </w:rPr>
              <w:t>EDC Fund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EDC Fund Management Limited</w:t>
            </w:r>
          </w:p>
        </w:tc>
        <w:tc>
          <w:tcPr>
            <w:tcW w:type="dxa" w:w="3402"/>
            <w:vAlign w:val="top"/>
          </w:tcPr>
          <w:p>
            <w:r/>
            <w:r>
              <w:rPr>
                <w:b w:val="0"/>
                <w:sz w:val="13"/>
              </w:rPr>
              <w:t>edc fund management limited</w:t>
            </w:r>
          </w:p>
        </w:tc>
        <w:tc>
          <w:tcPr>
            <w:tcW w:type="dxa" w:w="5102"/>
            <w:vAlign w:val="top"/>
          </w:tcPr>
          <w:p>
            <w:r/>
            <w:r>
              <w:rPr>
                <w:b w:val="0"/>
                <w:sz w:val="13"/>
              </w:rPr>
              <w:t>EDC Fund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Emerging Africa Asset Management Limited</w:t>
            </w:r>
          </w:p>
        </w:tc>
        <w:tc>
          <w:tcPr>
            <w:tcW w:type="dxa" w:w="3402"/>
            <w:vAlign w:val="top"/>
          </w:tcPr>
          <w:p>
            <w:r/>
            <w:r>
              <w:rPr>
                <w:b w:val="0"/>
                <w:sz w:val="13"/>
              </w:rPr>
              <w:t>emerging africa asset management limited</w:t>
            </w:r>
          </w:p>
        </w:tc>
        <w:tc>
          <w:tcPr>
            <w:tcW w:type="dxa" w:w="5102"/>
            <w:vAlign w:val="top"/>
          </w:tcPr>
          <w:p>
            <w:r/>
            <w:r>
              <w:rPr>
                <w:b w:val="0"/>
                <w:sz w:val="13"/>
              </w:rPr>
              <w:t>Emerging Africa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FBN Capital Asset Mgt</w:t>
            </w:r>
          </w:p>
        </w:tc>
        <w:tc>
          <w:tcPr>
            <w:tcW w:type="dxa" w:w="3402"/>
            <w:vAlign w:val="top"/>
          </w:tcPr>
          <w:p>
            <w:r/>
            <w:r>
              <w:rPr>
                <w:b w:val="0"/>
                <w:sz w:val="13"/>
              </w:rPr>
              <w:t>fbn capital asset mgt</w:t>
            </w:r>
          </w:p>
        </w:tc>
        <w:tc>
          <w:tcPr>
            <w:tcW w:type="dxa" w:w="5102"/>
            <w:vAlign w:val="top"/>
          </w:tcPr>
          <w:p>
            <w:r/>
            <w:r>
              <w:rPr>
                <w:b w:val="0"/>
                <w:sz w:val="13"/>
              </w:rPr>
              <w:t>FBN Capital Asset Management Limited (historical label; lineage to verify)</w:t>
            </w:r>
          </w:p>
        </w:tc>
        <w:tc>
          <w:tcPr>
            <w:tcW w:type="dxa" w:w="5669"/>
            <w:vAlign w:val="top"/>
          </w:tcPr>
          <w:p>
            <w:r/>
            <w:r>
              <w:rPr>
                <w:b w:val="0"/>
                <w:sz w:val="13"/>
              </w:rPr>
              <w:t>Alias juridique/historique à confirmer par document officiel</w:t>
            </w:r>
          </w:p>
        </w:tc>
      </w:tr>
      <w:tr>
        <w:trPr>
          <w:cantSplit/>
        </w:trPr>
        <w:tc>
          <w:tcPr>
            <w:tcW w:type="dxa" w:w="3969"/>
            <w:vAlign w:val="top"/>
          </w:tcPr>
          <w:p>
            <w:r/>
            <w:r>
              <w:rPr>
                <w:b w:val="0"/>
                <w:sz w:val="13"/>
              </w:rPr>
              <w:t>FBN Capital Asset Mgt. Limited</w:t>
            </w:r>
          </w:p>
        </w:tc>
        <w:tc>
          <w:tcPr>
            <w:tcW w:type="dxa" w:w="3402"/>
            <w:vAlign w:val="top"/>
          </w:tcPr>
          <w:p>
            <w:r/>
            <w:r>
              <w:rPr>
                <w:b w:val="0"/>
                <w:sz w:val="13"/>
              </w:rPr>
              <w:t>fbn capital asset mgt limited</w:t>
            </w:r>
          </w:p>
        </w:tc>
        <w:tc>
          <w:tcPr>
            <w:tcW w:type="dxa" w:w="5102"/>
            <w:vAlign w:val="top"/>
          </w:tcPr>
          <w:p>
            <w:r/>
            <w:r>
              <w:rPr>
                <w:b w:val="0"/>
                <w:sz w:val="13"/>
              </w:rPr>
              <w:t>FBN Capital Asset Management Limited (historical label; lineage to verify)</w:t>
            </w:r>
          </w:p>
        </w:tc>
        <w:tc>
          <w:tcPr>
            <w:tcW w:type="dxa" w:w="5669"/>
            <w:vAlign w:val="top"/>
          </w:tcPr>
          <w:p>
            <w:r/>
            <w:r>
              <w:rPr>
                <w:b w:val="0"/>
                <w:sz w:val="13"/>
              </w:rPr>
              <w:t>Alias juridique/historique à confirmer par document officiel</w:t>
            </w:r>
          </w:p>
        </w:tc>
      </w:tr>
      <w:tr>
        <w:trPr>
          <w:cantSplit/>
        </w:trPr>
        <w:tc>
          <w:tcPr>
            <w:tcW w:type="dxa" w:w="3969"/>
            <w:vAlign w:val="top"/>
          </w:tcPr>
          <w:p>
            <w:r/>
            <w:r>
              <w:rPr>
                <w:b w:val="0"/>
                <w:sz w:val="13"/>
              </w:rPr>
              <w:t>FBNQuest Asset Management Limited</w:t>
            </w:r>
          </w:p>
        </w:tc>
        <w:tc>
          <w:tcPr>
            <w:tcW w:type="dxa" w:w="3402"/>
            <w:vAlign w:val="top"/>
          </w:tcPr>
          <w:p>
            <w:r/>
            <w:r>
              <w:rPr>
                <w:b w:val="0"/>
                <w:sz w:val="13"/>
              </w:rPr>
              <w:t>fbnquest asset management limited</w:t>
            </w:r>
          </w:p>
        </w:tc>
        <w:tc>
          <w:tcPr>
            <w:tcW w:type="dxa" w:w="5102"/>
            <w:vAlign w:val="top"/>
          </w:tcPr>
          <w:p>
            <w:r/>
            <w:r>
              <w:rPr>
                <w:b w:val="0"/>
                <w:sz w:val="13"/>
              </w:rPr>
              <w:t>FBNQuest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FCMB Asset Management Limited</w:t>
            </w:r>
          </w:p>
        </w:tc>
        <w:tc>
          <w:tcPr>
            <w:tcW w:type="dxa" w:w="3402"/>
            <w:vAlign w:val="top"/>
          </w:tcPr>
          <w:p>
            <w:r/>
            <w:r>
              <w:rPr>
                <w:b w:val="0"/>
                <w:sz w:val="13"/>
              </w:rPr>
              <w:t>fcmb asset management limited</w:t>
            </w:r>
          </w:p>
        </w:tc>
        <w:tc>
          <w:tcPr>
            <w:tcW w:type="dxa" w:w="5102"/>
            <w:vAlign w:val="top"/>
          </w:tcPr>
          <w:p>
            <w:r/>
            <w:r>
              <w:rPr>
                <w:b w:val="0"/>
                <w:sz w:val="13"/>
              </w:rPr>
              <w:t>FCMB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FSDH Asset Management Ltd</w:t>
            </w:r>
          </w:p>
        </w:tc>
        <w:tc>
          <w:tcPr>
            <w:tcW w:type="dxa" w:w="3402"/>
            <w:vAlign w:val="top"/>
          </w:tcPr>
          <w:p>
            <w:r/>
            <w:r>
              <w:rPr>
                <w:b w:val="0"/>
                <w:sz w:val="13"/>
              </w:rPr>
              <w:t>fsdh asset management ltd</w:t>
            </w:r>
          </w:p>
        </w:tc>
        <w:tc>
          <w:tcPr>
            <w:tcW w:type="dxa" w:w="5102"/>
            <w:vAlign w:val="top"/>
          </w:tcPr>
          <w:p>
            <w:r/>
            <w:r>
              <w:rPr>
                <w:b w:val="0"/>
                <w:sz w:val="13"/>
              </w:rPr>
              <w:t>FSDH Asset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FSL  Asset Management Limited</w:t>
            </w:r>
          </w:p>
        </w:tc>
        <w:tc>
          <w:tcPr>
            <w:tcW w:type="dxa" w:w="3402"/>
            <w:vAlign w:val="top"/>
          </w:tcPr>
          <w:p>
            <w:r/>
            <w:r>
              <w:rPr>
                <w:b w:val="0"/>
                <w:sz w:val="13"/>
              </w:rPr>
              <w:t>fsl asset management limited</w:t>
            </w:r>
          </w:p>
        </w:tc>
        <w:tc>
          <w:tcPr>
            <w:tcW w:type="dxa" w:w="5102"/>
            <w:vAlign w:val="top"/>
          </w:tcPr>
          <w:p>
            <w:r/>
            <w:r>
              <w:rPr>
                <w:b w:val="0"/>
                <w:sz w:val="13"/>
              </w:rPr>
              <w:t>FSL Asset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FSL Asset Management Limited</w:t>
            </w:r>
          </w:p>
        </w:tc>
        <w:tc>
          <w:tcPr>
            <w:tcW w:type="dxa" w:w="3402"/>
            <w:vAlign w:val="top"/>
          </w:tcPr>
          <w:p>
            <w:r/>
            <w:r>
              <w:rPr>
                <w:b w:val="0"/>
                <w:sz w:val="13"/>
              </w:rPr>
              <w:t>fsl asset management limited</w:t>
            </w:r>
          </w:p>
        </w:tc>
        <w:tc>
          <w:tcPr>
            <w:tcW w:type="dxa" w:w="5102"/>
            <w:vAlign w:val="top"/>
          </w:tcPr>
          <w:p>
            <w:r/>
            <w:r>
              <w:rPr>
                <w:b w:val="0"/>
                <w:sz w:val="13"/>
              </w:rPr>
              <w:t>FSL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FUNDCO Capital Managers Limited</w:t>
            </w:r>
          </w:p>
        </w:tc>
        <w:tc>
          <w:tcPr>
            <w:tcW w:type="dxa" w:w="3402"/>
            <w:vAlign w:val="top"/>
          </w:tcPr>
          <w:p>
            <w:r/>
            <w:r>
              <w:rPr>
                <w:b w:val="0"/>
                <w:sz w:val="13"/>
              </w:rPr>
              <w:t>fundco capital managers limited</w:t>
            </w:r>
          </w:p>
        </w:tc>
        <w:tc>
          <w:tcPr>
            <w:tcW w:type="dxa" w:w="5102"/>
            <w:vAlign w:val="top"/>
          </w:tcPr>
          <w:p>
            <w:r/>
            <w:r>
              <w:rPr>
                <w:b w:val="0"/>
                <w:sz w:val="13"/>
              </w:rPr>
              <w:t>Fundco Capital Managers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First Ally Asset Management Limited</w:t>
            </w:r>
          </w:p>
        </w:tc>
        <w:tc>
          <w:tcPr>
            <w:tcW w:type="dxa" w:w="3402"/>
            <w:vAlign w:val="top"/>
          </w:tcPr>
          <w:p>
            <w:r/>
            <w:r>
              <w:rPr>
                <w:b w:val="0"/>
                <w:sz w:val="13"/>
              </w:rPr>
              <w:t>first ally asset management limited</w:t>
            </w:r>
          </w:p>
        </w:tc>
        <w:tc>
          <w:tcPr>
            <w:tcW w:type="dxa" w:w="5102"/>
            <w:vAlign w:val="top"/>
          </w:tcPr>
          <w:p>
            <w:r/>
            <w:r>
              <w:rPr>
                <w:b w:val="0"/>
                <w:sz w:val="13"/>
              </w:rPr>
              <w:t>First Ally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First City Asset Management Ltd.</w:t>
            </w:r>
          </w:p>
        </w:tc>
        <w:tc>
          <w:tcPr>
            <w:tcW w:type="dxa" w:w="3402"/>
            <w:vAlign w:val="top"/>
          </w:tcPr>
          <w:p>
            <w:r/>
            <w:r>
              <w:rPr>
                <w:b w:val="0"/>
                <w:sz w:val="13"/>
              </w:rPr>
              <w:t>first city asset management ltd</w:t>
            </w:r>
          </w:p>
        </w:tc>
        <w:tc>
          <w:tcPr>
            <w:tcW w:type="dxa" w:w="5102"/>
            <w:vAlign w:val="top"/>
          </w:tcPr>
          <w:p>
            <w:r/>
            <w:r>
              <w:rPr>
                <w:b w:val="0"/>
                <w:sz w:val="13"/>
              </w:rPr>
              <w:t>First City Asset Management Limited (legal-form history to verify)</w:t>
            </w:r>
          </w:p>
        </w:tc>
        <w:tc>
          <w:tcPr>
            <w:tcW w:type="dxa" w:w="5669"/>
            <w:vAlign w:val="top"/>
          </w:tcPr>
          <w:p>
            <w:r/>
            <w:r>
              <w:rPr>
                <w:b w:val="0"/>
                <w:sz w:val="13"/>
              </w:rPr>
              <w:t>Alias juridique/historique à confirmer par document officiel</w:t>
            </w:r>
          </w:p>
        </w:tc>
      </w:tr>
      <w:tr>
        <w:trPr>
          <w:cantSplit/>
        </w:trPr>
        <w:tc>
          <w:tcPr>
            <w:tcW w:type="dxa" w:w="3969"/>
            <w:vAlign w:val="top"/>
          </w:tcPr>
          <w:p>
            <w:r/>
            <w:r>
              <w:rPr>
                <w:b w:val="0"/>
                <w:sz w:val="13"/>
              </w:rPr>
              <w:t>First City Asset Management Plc</w:t>
            </w:r>
          </w:p>
        </w:tc>
        <w:tc>
          <w:tcPr>
            <w:tcW w:type="dxa" w:w="3402"/>
            <w:vAlign w:val="top"/>
          </w:tcPr>
          <w:p>
            <w:r/>
            <w:r>
              <w:rPr>
                <w:b w:val="0"/>
                <w:sz w:val="13"/>
              </w:rPr>
              <w:t>first city asset management plc</w:t>
            </w:r>
          </w:p>
        </w:tc>
        <w:tc>
          <w:tcPr>
            <w:tcW w:type="dxa" w:w="5102"/>
            <w:vAlign w:val="top"/>
          </w:tcPr>
          <w:p>
            <w:r/>
            <w:r>
              <w:rPr>
                <w:b w:val="0"/>
                <w:sz w:val="13"/>
              </w:rPr>
              <w:t>First City Asset Management Plc (legal-form history to verify)</w:t>
            </w:r>
          </w:p>
        </w:tc>
        <w:tc>
          <w:tcPr>
            <w:tcW w:type="dxa" w:w="5669"/>
            <w:vAlign w:val="top"/>
          </w:tcPr>
          <w:p>
            <w:r/>
            <w:r>
              <w:rPr>
                <w:b w:val="0"/>
                <w:sz w:val="13"/>
              </w:rPr>
              <w:t>Alias juridique/historique à confirmer par document officiel</w:t>
            </w:r>
          </w:p>
        </w:tc>
      </w:tr>
      <w:tr>
        <w:trPr>
          <w:cantSplit/>
        </w:trPr>
        <w:tc>
          <w:tcPr>
            <w:tcW w:type="dxa" w:w="3969"/>
            <w:vAlign w:val="top"/>
          </w:tcPr>
          <w:p>
            <w:r/>
            <w:r>
              <w:rPr>
                <w:b w:val="0"/>
                <w:sz w:val="13"/>
              </w:rPr>
              <w:t>Fundco Capital Managers Limited</w:t>
            </w:r>
          </w:p>
        </w:tc>
        <w:tc>
          <w:tcPr>
            <w:tcW w:type="dxa" w:w="3402"/>
            <w:vAlign w:val="top"/>
          </w:tcPr>
          <w:p>
            <w:r/>
            <w:r>
              <w:rPr>
                <w:b w:val="0"/>
                <w:sz w:val="13"/>
              </w:rPr>
              <w:t>fundco capital managers limited</w:t>
            </w:r>
          </w:p>
        </w:tc>
        <w:tc>
          <w:tcPr>
            <w:tcW w:type="dxa" w:w="5102"/>
            <w:vAlign w:val="top"/>
          </w:tcPr>
          <w:p>
            <w:r/>
            <w:r>
              <w:rPr>
                <w:b w:val="0"/>
                <w:sz w:val="13"/>
              </w:rPr>
              <w:t>Fundco Capital Managers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Fundvine Berkshire Asset Management Limited</w:t>
            </w:r>
          </w:p>
        </w:tc>
        <w:tc>
          <w:tcPr>
            <w:tcW w:type="dxa" w:w="3402"/>
            <w:vAlign w:val="top"/>
          </w:tcPr>
          <w:p>
            <w:r/>
            <w:r>
              <w:rPr>
                <w:b w:val="0"/>
                <w:sz w:val="13"/>
              </w:rPr>
              <w:t>fundvine berkshire asset management limited</w:t>
            </w:r>
          </w:p>
        </w:tc>
        <w:tc>
          <w:tcPr>
            <w:tcW w:type="dxa" w:w="5102"/>
            <w:vAlign w:val="top"/>
          </w:tcPr>
          <w:p>
            <w:r/>
            <w:r>
              <w:rPr>
                <w:b w:val="0"/>
                <w:sz w:val="13"/>
              </w:rPr>
              <w:t>Fundvine Berkshire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Futureview Asset Management Limited</w:t>
            </w:r>
          </w:p>
        </w:tc>
        <w:tc>
          <w:tcPr>
            <w:tcW w:type="dxa" w:w="3402"/>
            <w:vAlign w:val="top"/>
          </w:tcPr>
          <w:p>
            <w:r/>
            <w:r>
              <w:rPr>
                <w:b w:val="0"/>
                <w:sz w:val="13"/>
              </w:rPr>
              <w:t>futureview asset management limited</w:t>
            </w:r>
          </w:p>
        </w:tc>
        <w:tc>
          <w:tcPr>
            <w:tcW w:type="dxa" w:w="5102"/>
            <w:vAlign w:val="top"/>
          </w:tcPr>
          <w:p>
            <w:r/>
            <w:r>
              <w:rPr>
                <w:b w:val="0"/>
                <w:sz w:val="13"/>
              </w:rPr>
              <w:t>Futureview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GTI Asset Management &amp; Trust Limited</w:t>
            </w:r>
          </w:p>
        </w:tc>
        <w:tc>
          <w:tcPr>
            <w:tcW w:type="dxa" w:w="3402"/>
            <w:vAlign w:val="top"/>
          </w:tcPr>
          <w:p>
            <w:r/>
            <w:r>
              <w:rPr>
                <w:b w:val="0"/>
                <w:sz w:val="13"/>
              </w:rPr>
              <w:t>gti asset management trust limited</w:t>
            </w:r>
          </w:p>
        </w:tc>
        <w:tc>
          <w:tcPr>
            <w:tcW w:type="dxa" w:w="5102"/>
            <w:vAlign w:val="top"/>
          </w:tcPr>
          <w:p>
            <w:r/>
            <w:r>
              <w:rPr>
                <w:b w:val="0"/>
                <w:sz w:val="13"/>
              </w:rPr>
              <w:t>GTI Asset Management &amp; Trust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Greenwich Asst Management Ltd</w:t>
            </w:r>
          </w:p>
        </w:tc>
        <w:tc>
          <w:tcPr>
            <w:tcW w:type="dxa" w:w="3402"/>
            <w:vAlign w:val="top"/>
          </w:tcPr>
          <w:p>
            <w:r/>
            <w:r>
              <w:rPr>
                <w:b w:val="0"/>
                <w:sz w:val="13"/>
              </w:rPr>
              <w:t>greenwich asst management ltd</w:t>
            </w:r>
          </w:p>
        </w:tc>
        <w:tc>
          <w:tcPr>
            <w:tcW w:type="dxa" w:w="5102"/>
            <w:vAlign w:val="top"/>
          </w:tcPr>
          <w:p>
            <w:r/>
            <w:r>
              <w:rPr>
                <w:b w:val="0"/>
                <w:sz w:val="13"/>
              </w:rPr>
              <w:t>Greenwich Asset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Growth and Development Asset Management Limited</w:t>
            </w:r>
          </w:p>
        </w:tc>
        <w:tc>
          <w:tcPr>
            <w:tcW w:type="dxa" w:w="3402"/>
            <w:vAlign w:val="top"/>
          </w:tcPr>
          <w:p>
            <w:r/>
            <w:r>
              <w:rPr>
                <w:b w:val="0"/>
                <w:sz w:val="13"/>
              </w:rPr>
              <w:t>growth and development asset management limited</w:t>
            </w:r>
          </w:p>
        </w:tc>
        <w:tc>
          <w:tcPr>
            <w:tcW w:type="dxa" w:w="5102"/>
            <w:vAlign w:val="top"/>
          </w:tcPr>
          <w:p>
            <w:r/>
            <w:r>
              <w:rPr>
                <w:b w:val="0"/>
                <w:sz w:val="13"/>
              </w:rPr>
              <w:t>Growth and Development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Guaranty Trust Fund Managers Limited</w:t>
            </w:r>
          </w:p>
        </w:tc>
        <w:tc>
          <w:tcPr>
            <w:tcW w:type="dxa" w:w="3402"/>
            <w:vAlign w:val="top"/>
          </w:tcPr>
          <w:p>
            <w:r/>
            <w:r>
              <w:rPr>
                <w:b w:val="0"/>
                <w:sz w:val="13"/>
              </w:rPr>
              <w:t>guaranty trust fund managers limited</w:t>
            </w:r>
          </w:p>
        </w:tc>
        <w:tc>
          <w:tcPr>
            <w:tcW w:type="dxa" w:w="5102"/>
            <w:vAlign w:val="top"/>
          </w:tcPr>
          <w:p>
            <w:r/>
            <w:r>
              <w:rPr>
                <w:b w:val="0"/>
                <w:sz w:val="13"/>
              </w:rPr>
              <w:t>Guaranty Trust Fund Managers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Halo Nigeria Capital Management Limited</w:t>
            </w:r>
          </w:p>
        </w:tc>
        <w:tc>
          <w:tcPr>
            <w:tcW w:type="dxa" w:w="3402"/>
            <w:vAlign w:val="top"/>
          </w:tcPr>
          <w:p>
            <w:r/>
            <w:r>
              <w:rPr>
                <w:b w:val="0"/>
                <w:sz w:val="13"/>
              </w:rPr>
              <w:t>halo nigeria capital management limited</w:t>
            </w:r>
          </w:p>
        </w:tc>
        <w:tc>
          <w:tcPr>
            <w:tcW w:type="dxa" w:w="5102"/>
            <w:vAlign w:val="top"/>
          </w:tcPr>
          <w:p>
            <w:r/>
            <w:r>
              <w:rPr>
                <w:b w:val="0"/>
                <w:sz w:val="13"/>
              </w:rPr>
              <w:t>Halo Nigeria Capital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Hillcrest Capital Management Limited</w:t>
            </w:r>
          </w:p>
        </w:tc>
        <w:tc>
          <w:tcPr>
            <w:tcW w:type="dxa" w:w="3402"/>
            <w:vAlign w:val="top"/>
          </w:tcPr>
          <w:p>
            <w:r/>
            <w:r>
              <w:rPr>
                <w:b w:val="0"/>
                <w:sz w:val="13"/>
              </w:rPr>
              <w:t>hillcrest capital management limited</w:t>
            </w:r>
          </w:p>
        </w:tc>
        <w:tc>
          <w:tcPr>
            <w:tcW w:type="dxa" w:w="5102"/>
            <w:vAlign w:val="top"/>
          </w:tcPr>
          <w:p>
            <w:r/>
            <w:r>
              <w:rPr>
                <w:b w:val="0"/>
                <w:sz w:val="13"/>
              </w:rPr>
              <w:t>Hillcrest Capital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Lead Asset Management Limited</w:t>
            </w:r>
          </w:p>
        </w:tc>
        <w:tc>
          <w:tcPr>
            <w:tcW w:type="dxa" w:w="3402"/>
            <w:vAlign w:val="top"/>
          </w:tcPr>
          <w:p>
            <w:r/>
            <w:r>
              <w:rPr>
                <w:b w:val="0"/>
                <w:sz w:val="13"/>
              </w:rPr>
              <w:t>lead asset management limited</w:t>
            </w:r>
          </w:p>
        </w:tc>
        <w:tc>
          <w:tcPr>
            <w:tcW w:type="dxa" w:w="5102"/>
            <w:vAlign w:val="top"/>
          </w:tcPr>
          <w:p>
            <w:r/>
            <w:r>
              <w:rPr>
                <w:b w:val="0"/>
                <w:sz w:val="13"/>
              </w:rPr>
              <w:t>Lead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Lead Asset Mgt Ltd</w:t>
            </w:r>
          </w:p>
        </w:tc>
        <w:tc>
          <w:tcPr>
            <w:tcW w:type="dxa" w:w="3402"/>
            <w:vAlign w:val="top"/>
          </w:tcPr>
          <w:p>
            <w:r/>
            <w:r>
              <w:rPr>
                <w:b w:val="0"/>
                <w:sz w:val="13"/>
              </w:rPr>
              <w:t>lead asset mgt ltd</w:t>
            </w:r>
          </w:p>
        </w:tc>
        <w:tc>
          <w:tcPr>
            <w:tcW w:type="dxa" w:w="5102"/>
            <w:vAlign w:val="top"/>
          </w:tcPr>
          <w:p>
            <w:r/>
            <w:r>
              <w:rPr>
                <w:b w:val="0"/>
                <w:sz w:val="13"/>
              </w:rPr>
              <w:t>Lead Asset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Lotus Capital Limited</w:t>
            </w:r>
          </w:p>
        </w:tc>
        <w:tc>
          <w:tcPr>
            <w:tcW w:type="dxa" w:w="3402"/>
            <w:vAlign w:val="top"/>
          </w:tcPr>
          <w:p>
            <w:r/>
            <w:r>
              <w:rPr>
                <w:b w:val="0"/>
                <w:sz w:val="13"/>
              </w:rPr>
              <w:t>lotus capital limited</w:t>
            </w:r>
          </w:p>
        </w:tc>
        <w:tc>
          <w:tcPr>
            <w:tcW w:type="dxa" w:w="5102"/>
            <w:vAlign w:val="top"/>
          </w:tcPr>
          <w:p>
            <w:r/>
            <w:r>
              <w:rPr>
                <w:b w:val="0"/>
                <w:sz w:val="13"/>
              </w:rPr>
              <w:t>Lotus Capital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Mango Asset Management Limited</w:t>
            </w:r>
          </w:p>
        </w:tc>
        <w:tc>
          <w:tcPr>
            <w:tcW w:type="dxa" w:w="3402"/>
            <w:vAlign w:val="top"/>
          </w:tcPr>
          <w:p>
            <w:r/>
            <w:r>
              <w:rPr>
                <w:b w:val="0"/>
                <w:sz w:val="13"/>
              </w:rPr>
              <w:t>mango asset management limited</w:t>
            </w:r>
          </w:p>
        </w:tc>
        <w:tc>
          <w:tcPr>
            <w:tcW w:type="dxa" w:w="5102"/>
            <w:vAlign w:val="top"/>
          </w:tcPr>
          <w:p>
            <w:r/>
            <w:r>
              <w:rPr>
                <w:b w:val="0"/>
                <w:sz w:val="13"/>
              </w:rPr>
              <w:t>Mango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Marble Capital Limited</w:t>
            </w:r>
          </w:p>
        </w:tc>
        <w:tc>
          <w:tcPr>
            <w:tcW w:type="dxa" w:w="3402"/>
            <w:vAlign w:val="top"/>
          </w:tcPr>
          <w:p>
            <w:r/>
            <w:r>
              <w:rPr>
                <w:b w:val="0"/>
                <w:sz w:val="13"/>
              </w:rPr>
              <w:t>marble capital limited</w:t>
            </w:r>
          </w:p>
        </w:tc>
        <w:tc>
          <w:tcPr>
            <w:tcW w:type="dxa" w:w="5102"/>
            <w:vAlign w:val="top"/>
          </w:tcPr>
          <w:p>
            <w:r/>
            <w:r>
              <w:rPr>
                <w:b w:val="0"/>
                <w:sz w:val="13"/>
              </w:rPr>
              <w:t>Marble Capital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Meristem Wealth Management Limited</w:t>
            </w:r>
          </w:p>
        </w:tc>
        <w:tc>
          <w:tcPr>
            <w:tcW w:type="dxa" w:w="3402"/>
            <w:vAlign w:val="top"/>
          </w:tcPr>
          <w:p>
            <w:r/>
            <w:r>
              <w:rPr>
                <w:b w:val="0"/>
                <w:sz w:val="13"/>
              </w:rPr>
              <w:t>meristem wealth management limited</w:t>
            </w:r>
          </w:p>
        </w:tc>
        <w:tc>
          <w:tcPr>
            <w:tcW w:type="dxa" w:w="5102"/>
            <w:vAlign w:val="top"/>
          </w:tcPr>
          <w:p>
            <w:r/>
            <w:r>
              <w:rPr>
                <w:b w:val="0"/>
                <w:sz w:val="13"/>
              </w:rPr>
              <w:t>Meristem Wealth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NOVAMBL Asset Management Limited</w:t>
            </w:r>
          </w:p>
        </w:tc>
        <w:tc>
          <w:tcPr>
            <w:tcW w:type="dxa" w:w="3402"/>
            <w:vAlign w:val="top"/>
          </w:tcPr>
          <w:p>
            <w:r/>
            <w:r>
              <w:rPr>
                <w:b w:val="0"/>
                <w:sz w:val="13"/>
              </w:rPr>
              <w:t>novambl asset management limited</w:t>
            </w:r>
          </w:p>
        </w:tc>
        <w:tc>
          <w:tcPr>
            <w:tcW w:type="dxa" w:w="5102"/>
            <w:vAlign w:val="top"/>
          </w:tcPr>
          <w:p>
            <w:r/>
            <w:r>
              <w:rPr>
                <w:b w:val="0"/>
                <w:sz w:val="13"/>
              </w:rPr>
              <w:t>NOVAMBL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Norrenberger Investment &amp; Capital Management Limited</w:t>
            </w:r>
          </w:p>
        </w:tc>
        <w:tc>
          <w:tcPr>
            <w:tcW w:type="dxa" w:w="3402"/>
            <w:vAlign w:val="top"/>
          </w:tcPr>
          <w:p>
            <w:r/>
            <w:r>
              <w:rPr>
                <w:b w:val="0"/>
                <w:sz w:val="13"/>
              </w:rPr>
              <w:t>norrenberger investment capital management limited</w:t>
            </w:r>
          </w:p>
        </w:tc>
        <w:tc>
          <w:tcPr>
            <w:tcW w:type="dxa" w:w="5102"/>
            <w:vAlign w:val="top"/>
          </w:tcPr>
          <w:p>
            <w:r/>
            <w:r>
              <w:rPr>
                <w:b w:val="0"/>
                <w:sz w:val="13"/>
              </w:rPr>
              <w:t>Norrenberger Investment &amp; Capital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Norrenberger Investment &amp; Capital Mgt. Ltd.</w:t>
            </w:r>
          </w:p>
        </w:tc>
        <w:tc>
          <w:tcPr>
            <w:tcW w:type="dxa" w:w="3402"/>
            <w:vAlign w:val="top"/>
          </w:tcPr>
          <w:p>
            <w:r/>
            <w:r>
              <w:rPr>
                <w:b w:val="0"/>
                <w:sz w:val="13"/>
              </w:rPr>
              <w:t>norrenberger investment capital mgt ltd</w:t>
            </w:r>
          </w:p>
        </w:tc>
        <w:tc>
          <w:tcPr>
            <w:tcW w:type="dxa" w:w="5102"/>
            <w:vAlign w:val="top"/>
          </w:tcPr>
          <w:p>
            <w:r/>
            <w:r>
              <w:rPr>
                <w:b w:val="0"/>
                <w:sz w:val="13"/>
              </w:rPr>
              <w:t>Norrenberger Investment &amp; Capital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Norrenberger Investment and Capital Mgt Limited</w:t>
            </w:r>
          </w:p>
        </w:tc>
        <w:tc>
          <w:tcPr>
            <w:tcW w:type="dxa" w:w="3402"/>
            <w:vAlign w:val="top"/>
          </w:tcPr>
          <w:p>
            <w:r/>
            <w:r>
              <w:rPr>
                <w:b w:val="0"/>
                <w:sz w:val="13"/>
              </w:rPr>
              <w:t>norrenberger investment and capital mgt limited</w:t>
            </w:r>
          </w:p>
        </w:tc>
        <w:tc>
          <w:tcPr>
            <w:tcW w:type="dxa" w:w="5102"/>
            <w:vAlign w:val="top"/>
          </w:tcPr>
          <w:p>
            <w:r/>
            <w:r>
              <w:rPr>
                <w:b w:val="0"/>
                <w:sz w:val="13"/>
              </w:rPr>
              <w:t>Norrenberger Investment &amp; Capital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One17 Capital Limited</w:t>
            </w:r>
          </w:p>
        </w:tc>
        <w:tc>
          <w:tcPr>
            <w:tcW w:type="dxa" w:w="3402"/>
            <w:vAlign w:val="top"/>
          </w:tcPr>
          <w:p>
            <w:r/>
            <w:r>
              <w:rPr>
                <w:b w:val="0"/>
                <w:sz w:val="13"/>
              </w:rPr>
              <w:t>one17 capital limited</w:t>
            </w:r>
          </w:p>
        </w:tc>
        <w:tc>
          <w:tcPr>
            <w:tcW w:type="dxa" w:w="5102"/>
            <w:vAlign w:val="top"/>
          </w:tcPr>
          <w:p>
            <w:r/>
            <w:r>
              <w:rPr>
                <w:b w:val="0"/>
                <w:sz w:val="13"/>
              </w:rPr>
              <w:t>One17 Capital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PAC Asset Management Ltd.</w:t>
            </w:r>
          </w:p>
        </w:tc>
        <w:tc>
          <w:tcPr>
            <w:tcW w:type="dxa" w:w="3402"/>
            <w:vAlign w:val="top"/>
          </w:tcPr>
          <w:p>
            <w:r/>
            <w:r>
              <w:rPr>
                <w:b w:val="0"/>
                <w:sz w:val="13"/>
              </w:rPr>
              <w:t>pac asset management ltd</w:t>
            </w:r>
          </w:p>
        </w:tc>
        <w:tc>
          <w:tcPr>
            <w:tcW w:type="dxa" w:w="5102"/>
            <w:vAlign w:val="top"/>
          </w:tcPr>
          <w:p>
            <w:r/>
            <w:r>
              <w:rPr>
                <w:b w:val="0"/>
                <w:sz w:val="13"/>
              </w:rPr>
              <w:t>PAC Asset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Page Asset Management Limited</w:t>
            </w:r>
          </w:p>
        </w:tc>
        <w:tc>
          <w:tcPr>
            <w:tcW w:type="dxa" w:w="3402"/>
            <w:vAlign w:val="top"/>
          </w:tcPr>
          <w:p>
            <w:r/>
            <w:r>
              <w:rPr>
                <w:b w:val="0"/>
                <w:sz w:val="13"/>
              </w:rPr>
              <w:t>page asset management limited</w:t>
            </w:r>
          </w:p>
        </w:tc>
        <w:tc>
          <w:tcPr>
            <w:tcW w:type="dxa" w:w="5102"/>
            <w:vAlign w:val="top"/>
          </w:tcPr>
          <w:p>
            <w:r/>
            <w:r>
              <w:rPr>
                <w:b w:val="0"/>
                <w:sz w:val="13"/>
              </w:rPr>
              <w:t>Page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Parthian Capital Ltd.</w:t>
            </w:r>
          </w:p>
        </w:tc>
        <w:tc>
          <w:tcPr>
            <w:tcW w:type="dxa" w:w="3402"/>
            <w:vAlign w:val="top"/>
          </w:tcPr>
          <w:p>
            <w:r/>
            <w:r>
              <w:rPr>
                <w:b w:val="0"/>
                <w:sz w:val="13"/>
              </w:rPr>
              <w:t>parthian capital ltd</w:t>
            </w:r>
          </w:p>
        </w:tc>
        <w:tc>
          <w:tcPr>
            <w:tcW w:type="dxa" w:w="5102"/>
            <w:vAlign w:val="top"/>
          </w:tcPr>
          <w:p>
            <w:r/>
            <w:r>
              <w:rPr>
                <w:b w:val="0"/>
                <w:sz w:val="13"/>
              </w:rPr>
              <w:t>Parthian Capital Ltd.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RMB Nigeria Asset Management Ltd.</w:t>
            </w:r>
          </w:p>
        </w:tc>
        <w:tc>
          <w:tcPr>
            <w:tcW w:type="dxa" w:w="3402"/>
            <w:vAlign w:val="top"/>
          </w:tcPr>
          <w:p>
            <w:r/>
            <w:r>
              <w:rPr>
                <w:b w:val="0"/>
                <w:sz w:val="13"/>
              </w:rPr>
              <w:t>rmb nigeria asset management ltd</w:t>
            </w:r>
          </w:p>
        </w:tc>
        <w:tc>
          <w:tcPr>
            <w:tcW w:type="dxa" w:w="5102"/>
            <w:vAlign w:val="top"/>
          </w:tcPr>
          <w:p>
            <w:r/>
            <w:r>
              <w:rPr>
                <w:b w:val="0"/>
                <w:sz w:val="13"/>
              </w:rPr>
              <w:t>RMB Nigeria Asset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Radix Capital Partners Limited</w:t>
            </w:r>
          </w:p>
        </w:tc>
        <w:tc>
          <w:tcPr>
            <w:tcW w:type="dxa" w:w="3402"/>
            <w:vAlign w:val="top"/>
          </w:tcPr>
          <w:p>
            <w:r/>
            <w:r>
              <w:rPr>
                <w:b w:val="0"/>
                <w:sz w:val="13"/>
              </w:rPr>
              <w:t>radix capital partners limited</w:t>
            </w:r>
          </w:p>
        </w:tc>
        <w:tc>
          <w:tcPr>
            <w:tcW w:type="dxa" w:w="5102"/>
            <w:vAlign w:val="top"/>
          </w:tcPr>
          <w:p>
            <w:r/>
            <w:r>
              <w:rPr>
                <w:b w:val="0"/>
                <w:sz w:val="13"/>
              </w:rPr>
              <w:t>Radix Capital Partners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SCM Capital Limited</w:t>
            </w:r>
          </w:p>
        </w:tc>
        <w:tc>
          <w:tcPr>
            <w:tcW w:type="dxa" w:w="3402"/>
            <w:vAlign w:val="top"/>
          </w:tcPr>
          <w:p>
            <w:r/>
            <w:r>
              <w:rPr>
                <w:b w:val="0"/>
                <w:sz w:val="13"/>
              </w:rPr>
              <w:t>scm capital limited</w:t>
            </w:r>
          </w:p>
        </w:tc>
        <w:tc>
          <w:tcPr>
            <w:tcW w:type="dxa" w:w="5102"/>
            <w:vAlign w:val="top"/>
          </w:tcPr>
          <w:p>
            <w:r/>
            <w:r>
              <w:rPr>
                <w:b w:val="0"/>
                <w:sz w:val="13"/>
              </w:rPr>
              <w:t>SCM Capital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SFS Capital Nigeria Ltd</w:t>
            </w:r>
          </w:p>
        </w:tc>
        <w:tc>
          <w:tcPr>
            <w:tcW w:type="dxa" w:w="3402"/>
            <w:vAlign w:val="top"/>
          </w:tcPr>
          <w:p>
            <w:r/>
            <w:r>
              <w:rPr>
                <w:b w:val="0"/>
                <w:sz w:val="13"/>
              </w:rPr>
              <w:t>sfs capital nigeria ltd</w:t>
            </w:r>
          </w:p>
        </w:tc>
        <w:tc>
          <w:tcPr>
            <w:tcW w:type="dxa" w:w="5102"/>
            <w:vAlign w:val="top"/>
          </w:tcPr>
          <w:p>
            <w:r/>
            <w:r>
              <w:rPr>
                <w:b w:val="0"/>
                <w:sz w:val="13"/>
              </w:rPr>
              <w:t>SFS Capital Nigeria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STL Asset Mgt. Limited</w:t>
            </w:r>
          </w:p>
        </w:tc>
        <w:tc>
          <w:tcPr>
            <w:tcW w:type="dxa" w:w="3402"/>
            <w:vAlign w:val="top"/>
          </w:tcPr>
          <w:p>
            <w:r/>
            <w:r>
              <w:rPr>
                <w:b w:val="0"/>
                <w:sz w:val="13"/>
              </w:rPr>
              <w:t>stl asset mgt limited</w:t>
            </w:r>
          </w:p>
        </w:tc>
        <w:tc>
          <w:tcPr>
            <w:tcW w:type="dxa" w:w="5102"/>
            <w:vAlign w:val="top"/>
          </w:tcPr>
          <w:p>
            <w:r/>
            <w:r>
              <w:rPr>
                <w:b w:val="0"/>
                <w:sz w:val="13"/>
              </w:rPr>
              <w:t>STL Asset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Samtl Fund Managers Limited</w:t>
            </w:r>
          </w:p>
        </w:tc>
        <w:tc>
          <w:tcPr>
            <w:tcW w:type="dxa" w:w="3402"/>
            <w:vAlign w:val="top"/>
          </w:tcPr>
          <w:p>
            <w:r/>
            <w:r>
              <w:rPr>
                <w:b w:val="0"/>
                <w:sz w:val="13"/>
              </w:rPr>
              <w:t>samtl fund managers limited</w:t>
            </w:r>
          </w:p>
        </w:tc>
        <w:tc>
          <w:tcPr>
            <w:tcW w:type="dxa" w:w="5102"/>
            <w:vAlign w:val="top"/>
          </w:tcPr>
          <w:p>
            <w:r/>
            <w:r>
              <w:rPr>
                <w:b w:val="0"/>
                <w:sz w:val="13"/>
              </w:rPr>
              <w:t>Samtl Fund Managers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Stanbic IBTC Asset Mgt. Limited</w:t>
            </w:r>
          </w:p>
        </w:tc>
        <w:tc>
          <w:tcPr>
            <w:tcW w:type="dxa" w:w="3402"/>
            <w:vAlign w:val="top"/>
          </w:tcPr>
          <w:p>
            <w:r/>
            <w:r>
              <w:rPr>
                <w:b w:val="0"/>
                <w:sz w:val="13"/>
              </w:rPr>
              <w:t>stanbic ibtc asset mgt limited</w:t>
            </w:r>
          </w:p>
        </w:tc>
        <w:tc>
          <w:tcPr>
            <w:tcW w:type="dxa" w:w="5102"/>
            <w:vAlign w:val="top"/>
          </w:tcPr>
          <w:p>
            <w:r/>
            <w:r>
              <w:rPr>
                <w:b w:val="0"/>
                <w:sz w:val="13"/>
              </w:rPr>
              <w:t>Stanbic IBTC Asset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Trustbanc Aset Management Limited</w:t>
            </w:r>
          </w:p>
        </w:tc>
        <w:tc>
          <w:tcPr>
            <w:tcW w:type="dxa" w:w="3402"/>
            <w:vAlign w:val="top"/>
          </w:tcPr>
          <w:p>
            <w:r/>
            <w:r>
              <w:rPr>
                <w:b w:val="0"/>
                <w:sz w:val="13"/>
              </w:rPr>
              <w:t>trustbanc aset management limited</w:t>
            </w:r>
          </w:p>
        </w:tc>
        <w:tc>
          <w:tcPr>
            <w:tcW w:type="dxa" w:w="5102"/>
            <w:vAlign w:val="top"/>
          </w:tcPr>
          <w:p>
            <w:r/>
            <w:r>
              <w:rPr>
                <w:b w:val="0"/>
                <w:sz w:val="13"/>
              </w:rPr>
              <w:t>Trustbanc Asset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Trustbanc Asset Management Limited</w:t>
            </w:r>
          </w:p>
        </w:tc>
        <w:tc>
          <w:tcPr>
            <w:tcW w:type="dxa" w:w="3402"/>
            <w:vAlign w:val="top"/>
          </w:tcPr>
          <w:p>
            <w:r/>
            <w:r>
              <w:rPr>
                <w:b w:val="0"/>
                <w:sz w:val="13"/>
              </w:rPr>
              <w:t>trustbanc asset management limited</w:t>
            </w:r>
          </w:p>
        </w:tc>
        <w:tc>
          <w:tcPr>
            <w:tcW w:type="dxa" w:w="5102"/>
            <w:vAlign w:val="top"/>
          </w:tcPr>
          <w:p>
            <w:r/>
            <w:r>
              <w:rPr>
                <w:b w:val="0"/>
                <w:sz w:val="13"/>
              </w:rPr>
              <w:t>Trustbanc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United Capital Asset Mgt. Ltd</w:t>
            </w:r>
          </w:p>
        </w:tc>
        <w:tc>
          <w:tcPr>
            <w:tcW w:type="dxa" w:w="3402"/>
            <w:vAlign w:val="top"/>
          </w:tcPr>
          <w:p>
            <w:r/>
            <w:r>
              <w:rPr>
                <w:b w:val="0"/>
                <w:sz w:val="13"/>
              </w:rPr>
              <w:t>united capital asset mgt ltd</w:t>
            </w:r>
          </w:p>
        </w:tc>
        <w:tc>
          <w:tcPr>
            <w:tcW w:type="dxa" w:w="5102"/>
            <w:vAlign w:val="top"/>
          </w:tcPr>
          <w:p>
            <w:r/>
            <w:r>
              <w:rPr>
                <w:b w:val="0"/>
                <w:sz w:val="13"/>
              </w:rPr>
              <w:t>United Capital Asset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Utica Capital Limited</w:t>
            </w:r>
          </w:p>
        </w:tc>
        <w:tc>
          <w:tcPr>
            <w:tcW w:type="dxa" w:w="3402"/>
            <w:vAlign w:val="top"/>
          </w:tcPr>
          <w:p>
            <w:r/>
            <w:r>
              <w:rPr>
                <w:b w:val="0"/>
                <w:sz w:val="13"/>
              </w:rPr>
              <w:t>utica capital limited</w:t>
            </w:r>
          </w:p>
        </w:tc>
        <w:tc>
          <w:tcPr>
            <w:tcW w:type="dxa" w:w="5102"/>
            <w:vAlign w:val="top"/>
          </w:tcPr>
          <w:p>
            <w:r/>
            <w:r>
              <w:rPr>
                <w:b w:val="0"/>
                <w:sz w:val="13"/>
              </w:rPr>
              <w:t>Utica Capital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ValuAlliance Asset Management Limited</w:t>
            </w:r>
          </w:p>
        </w:tc>
        <w:tc>
          <w:tcPr>
            <w:tcW w:type="dxa" w:w="3402"/>
            <w:vAlign w:val="top"/>
          </w:tcPr>
          <w:p>
            <w:r/>
            <w:r>
              <w:rPr>
                <w:b w:val="0"/>
                <w:sz w:val="13"/>
              </w:rPr>
              <w:t>valualliance asset management limited</w:t>
            </w:r>
          </w:p>
        </w:tc>
        <w:tc>
          <w:tcPr>
            <w:tcW w:type="dxa" w:w="5102"/>
            <w:vAlign w:val="top"/>
          </w:tcPr>
          <w:p>
            <w:r/>
            <w:r>
              <w:rPr>
                <w:b w:val="0"/>
                <w:sz w:val="13"/>
              </w:rPr>
              <w:t>ValuAlliance Asset Management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Vetiva Fund Managers Limited</w:t>
            </w:r>
          </w:p>
        </w:tc>
        <w:tc>
          <w:tcPr>
            <w:tcW w:type="dxa" w:w="3402"/>
            <w:vAlign w:val="top"/>
          </w:tcPr>
          <w:p>
            <w:r/>
            <w:r>
              <w:rPr>
                <w:b w:val="0"/>
                <w:sz w:val="13"/>
              </w:rPr>
              <w:t>vetiva fund managers limited</w:t>
            </w:r>
          </w:p>
        </w:tc>
        <w:tc>
          <w:tcPr>
            <w:tcW w:type="dxa" w:w="5102"/>
            <w:vAlign w:val="top"/>
          </w:tcPr>
          <w:p>
            <w:r/>
            <w:r>
              <w:rPr>
                <w:b w:val="0"/>
                <w:sz w:val="13"/>
              </w:rPr>
              <w:t>Vetiva Fund Managers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Zedcrest Investment Managers Limited</w:t>
            </w:r>
          </w:p>
        </w:tc>
        <w:tc>
          <w:tcPr>
            <w:tcW w:type="dxa" w:w="3402"/>
            <w:vAlign w:val="top"/>
          </w:tcPr>
          <w:p>
            <w:r/>
            <w:r>
              <w:rPr>
                <w:b w:val="0"/>
                <w:sz w:val="13"/>
              </w:rPr>
              <w:t>zedcrest investment managers limited</w:t>
            </w:r>
          </w:p>
        </w:tc>
        <w:tc>
          <w:tcPr>
            <w:tcW w:type="dxa" w:w="5102"/>
            <w:vAlign w:val="top"/>
          </w:tcPr>
          <w:p>
            <w:r/>
            <w:r>
              <w:rPr>
                <w:b w:val="0"/>
                <w:sz w:val="13"/>
              </w:rPr>
              <w:t>Zedcrest Investment Managers Limited</w:t>
            </w:r>
          </w:p>
        </w:tc>
        <w:tc>
          <w:tcPr>
            <w:tcW w:type="dxa" w:w="5669"/>
            <w:vAlign w:val="top"/>
          </w:tcPr>
          <w:p>
            <w:r/>
            <w:r>
              <w:rPr>
                <w:b w:val="0"/>
                <w:sz w:val="13"/>
              </w:rPr>
              <w:t>Libellé brut conservé; vérifier SEC/CAC avant création d’entité</w:t>
            </w:r>
          </w:p>
        </w:tc>
      </w:tr>
      <w:tr>
        <w:trPr>
          <w:cantSplit/>
        </w:trPr>
        <w:tc>
          <w:tcPr>
            <w:tcW w:type="dxa" w:w="3969"/>
            <w:vAlign w:val="top"/>
          </w:tcPr>
          <w:p>
            <w:r/>
            <w:r>
              <w:rPr>
                <w:b w:val="0"/>
                <w:sz w:val="13"/>
              </w:rPr>
              <w:t>Zenith Asset Management Ltd</w:t>
            </w:r>
          </w:p>
        </w:tc>
        <w:tc>
          <w:tcPr>
            <w:tcW w:type="dxa" w:w="3402"/>
            <w:vAlign w:val="top"/>
          </w:tcPr>
          <w:p>
            <w:r/>
            <w:r>
              <w:rPr>
                <w:b w:val="0"/>
                <w:sz w:val="13"/>
              </w:rPr>
              <w:t>zenith asset management ltd</w:t>
            </w:r>
          </w:p>
        </w:tc>
        <w:tc>
          <w:tcPr>
            <w:tcW w:type="dxa" w:w="5102"/>
            <w:vAlign w:val="top"/>
          </w:tcPr>
          <w:p>
            <w:r/>
            <w:r>
              <w:rPr>
                <w:b w:val="0"/>
                <w:sz w:val="13"/>
              </w:rPr>
              <w:t>Zenith Asset Management Limited</w:t>
            </w:r>
          </w:p>
        </w:tc>
        <w:tc>
          <w:tcPr>
            <w:tcW w:type="dxa" w:w="5669"/>
            <w:vAlign w:val="top"/>
          </w:tcPr>
          <w:p>
            <w:r/>
            <w:r>
              <w:rPr>
                <w:b w:val="0"/>
                <w:sz w:val="13"/>
              </w:rPr>
              <w:t>Normalisation typographique provisoire; conserver le libellé brut</w:t>
            </w:r>
          </w:p>
        </w:tc>
      </w:tr>
      <w:tr>
        <w:trPr>
          <w:cantSplit/>
        </w:trPr>
        <w:tc>
          <w:tcPr>
            <w:tcW w:type="dxa" w:w="3969"/>
            <w:vAlign w:val="top"/>
          </w:tcPr>
          <w:p>
            <w:r/>
            <w:r>
              <w:rPr>
                <w:b w:val="0"/>
                <w:sz w:val="13"/>
              </w:rPr>
              <w:t>Zrosk Investment Management Limited</w:t>
            </w:r>
          </w:p>
        </w:tc>
        <w:tc>
          <w:tcPr>
            <w:tcW w:type="dxa" w:w="3402"/>
            <w:vAlign w:val="top"/>
          </w:tcPr>
          <w:p>
            <w:r/>
            <w:r>
              <w:rPr>
                <w:b w:val="0"/>
                <w:sz w:val="13"/>
              </w:rPr>
              <w:t>zrosk investment management limited</w:t>
            </w:r>
          </w:p>
        </w:tc>
        <w:tc>
          <w:tcPr>
            <w:tcW w:type="dxa" w:w="5102"/>
            <w:vAlign w:val="top"/>
          </w:tcPr>
          <w:p>
            <w:r/>
            <w:r>
              <w:rPr>
                <w:b w:val="0"/>
                <w:sz w:val="13"/>
              </w:rPr>
              <w:t>Zrosk Investment Management Limited</w:t>
            </w:r>
          </w:p>
        </w:tc>
        <w:tc>
          <w:tcPr>
            <w:tcW w:type="dxa" w:w="5669"/>
            <w:vAlign w:val="top"/>
          </w:tcPr>
          <w:p>
            <w:r/>
            <w:r>
              <w:rPr>
                <w:b w:val="0"/>
                <w:sz w:val="13"/>
              </w:rPr>
              <w:t>Libellé brut conservé; vérifier SEC/CAC avant création d’entité</w:t>
            </w:r>
          </w:p>
        </w:tc>
      </w:tr>
    </w:tbl>
    <w:p/>
    <w:tbl>
      <w:tblPr>
        <w:tblStyle w:val="TableGrid"/>
        <w:tblW w:type="auto" w:w="0"/>
        <w:jc w:val="center"/>
        <w:tblLook w:firstColumn="1" w:firstRow="1" w:lastColumn="0" w:lastRow="0" w:noHBand="0" w:noVBand="1" w:val="04A0"/>
      </w:tblPr>
      <w:tblGrid>
        <w:gridCol w:w="10766"/>
      </w:tblGrid>
      <w:tr>
        <w:tc>
          <w:tcPr>
            <w:tcW w:type="dxa" w:w="10766"/>
            <w:shd w:fill="FCE4D6"/>
          </w:tcPr>
          <w:p>
            <w:r>
              <w:rPr>
                <w:b/>
              </w:rPr>
              <w:t xml:space="preserve">Interdiction de fusion aveugle — </w:t>
            </w:r>
            <w:r>
              <w:t>Les variantes FBN Capital / FBNQuest et First City Asset Management Ltd / Plc illustrent la différence entre une normalisation typographique et un événement juridique ou de marque. Elles doivent être reliées par des événements datés, pas simplement écrasées par un remplacement de texte.</w:t>
            </w:r>
          </w:p>
        </w:tc>
      </w:tr>
    </w:tbl>
    <w:p/>
    <w:p>
      <w:pPr>
        <w:sectPr>
          <w:pgSz w:w="12240" w:h="15840" w:orient="landscape"/>
          <w:pgMar w:top="850" w:right="737" w:bottom="850" w:left="737" w:header="397" w:footer="397" w:gutter="0"/>
          <w:cols w:space="720"/>
          <w:docGrid w:linePitch="360"/>
        </w:sectPr>
      </w:pPr>
    </w:p>
    <w:p>
      <w:pPr>
        <w:pStyle w:val="Heading1"/>
      </w:pPr>
      <w:r>
        <w:t>PARTIE XXII — RECONSTRUCTION JURIDIQUE ET ONTOLOGIE DES ÉVÉNEMENTS</w:t>
      </w:r>
    </w:p>
    <w:tbl>
      <w:tblPr>
        <w:tblStyle w:val="TableGrid"/>
        <w:tblW w:type="auto" w:w="0"/>
        <w:jc w:val="center"/>
        <w:tblLook w:firstColumn="1" w:firstRow="1" w:lastColumn="0" w:lastRow="0" w:noHBand="0" w:noVBand="1" w:val="04A0"/>
      </w:tblPr>
      <w:tblGrid>
        <w:gridCol w:w="2760"/>
        <w:gridCol w:w="2760"/>
        <w:gridCol w:w="2760"/>
        <w:gridCol w:w="2760"/>
        <w:gridCol w:w="2760"/>
      </w:tblGrid>
      <w:tr>
        <w:trPr>
          <w:tblHeader w:val="true"/>
        </w:trPr>
        <w:tc>
          <w:tcPr>
            <w:tcW w:type="dxa" w:w="1701"/>
            <w:vAlign w:val="top"/>
            <w:shd w:fill="1F4E78"/>
          </w:tcPr>
          <w:p>
            <w:r>
              <w:rPr>
                <w:color w:val="FFFFFF"/>
              </w:rPr>
            </w:r>
            <w:r>
              <w:rPr>
                <w:b/>
                <w:color w:val="FFFFFF"/>
                <w:sz w:val="14"/>
              </w:rPr>
              <w:t>Code</w:t>
            </w:r>
          </w:p>
        </w:tc>
        <w:tc>
          <w:tcPr>
            <w:tcW w:type="dxa" w:w="2268"/>
            <w:vAlign w:val="top"/>
            <w:shd w:fill="1F4E78"/>
          </w:tcPr>
          <w:p>
            <w:r>
              <w:rPr>
                <w:color w:val="FFFFFF"/>
              </w:rPr>
            </w:r>
            <w:r>
              <w:rPr>
                <w:b/>
                <w:color w:val="FFFFFF"/>
                <w:sz w:val="14"/>
              </w:rPr>
              <w:t>Événement</w:t>
            </w:r>
          </w:p>
        </w:tc>
        <w:tc>
          <w:tcPr>
            <w:tcW w:type="dxa" w:w="3118"/>
            <w:vAlign w:val="top"/>
            <w:shd w:fill="1F4E78"/>
          </w:tcPr>
          <w:p>
            <w:r>
              <w:rPr>
                <w:color w:val="FFFFFF"/>
              </w:rPr>
            </w:r>
            <w:r>
              <w:rPr>
                <w:b/>
                <w:color w:val="FFFFFF"/>
                <w:sz w:val="14"/>
              </w:rPr>
              <w:t>Définition</w:t>
            </w:r>
          </w:p>
        </w:tc>
        <w:tc>
          <w:tcPr>
            <w:tcW w:type="dxa" w:w="3402"/>
            <w:vAlign w:val="top"/>
            <w:shd w:fill="1F4E78"/>
          </w:tcPr>
          <w:p>
            <w:r>
              <w:rPr>
                <w:color w:val="FFFFFF"/>
              </w:rPr>
            </w:r>
            <w:r>
              <w:rPr>
                <w:b/>
                <w:color w:val="FFFFFF"/>
                <w:sz w:val="14"/>
              </w:rPr>
              <w:t>Preuve minimale</w:t>
            </w:r>
          </w:p>
        </w:tc>
        <w:tc>
          <w:tcPr>
            <w:tcW w:type="dxa" w:w="3402"/>
            <w:vAlign w:val="top"/>
            <w:shd w:fill="1F4E78"/>
          </w:tcPr>
          <w:p>
            <w:r>
              <w:rPr>
                <w:color w:val="FFFFFF"/>
              </w:rPr>
            </w:r>
            <w:r>
              <w:rPr>
                <w:b/>
                <w:color w:val="FFFFFF"/>
                <w:sz w:val="14"/>
              </w:rPr>
              <w:t>Piège à éviter</w:t>
            </w:r>
          </w:p>
        </w:tc>
      </w:tr>
      <w:tr>
        <w:trPr>
          <w:cantSplit/>
        </w:trPr>
        <w:tc>
          <w:tcPr>
            <w:tcW w:type="dxa" w:w="1701"/>
            <w:vAlign w:val="top"/>
          </w:tcPr>
          <w:p>
            <w:r/>
            <w:r>
              <w:rPr>
                <w:b w:val="0"/>
                <w:sz w:val="14"/>
              </w:rPr>
              <w:t>LAUNCH</w:t>
            </w:r>
          </w:p>
        </w:tc>
        <w:tc>
          <w:tcPr>
            <w:tcW w:type="dxa" w:w="2268"/>
            <w:vAlign w:val="top"/>
          </w:tcPr>
          <w:p>
            <w:r/>
            <w:r>
              <w:rPr>
                <w:b w:val="0"/>
                <w:sz w:val="14"/>
              </w:rPr>
              <w:t>Lancement commercial</w:t>
            </w:r>
          </w:p>
        </w:tc>
        <w:tc>
          <w:tcPr>
            <w:tcW w:type="dxa" w:w="3118"/>
            <w:vAlign w:val="top"/>
          </w:tcPr>
          <w:p>
            <w:r/>
            <w:r>
              <w:rPr>
                <w:b w:val="0"/>
                <w:sz w:val="14"/>
              </w:rPr>
              <w:t>Date d’ouverture aux souscriptions ou de commencement.</w:t>
            </w:r>
          </w:p>
        </w:tc>
        <w:tc>
          <w:tcPr>
            <w:tcW w:type="dxa" w:w="3402"/>
            <w:vAlign w:val="top"/>
          </w:tcPr>
          <w:p>
            <w:r/>
            <w:r>
              <w:rPr>
                <w:b w:val="0"/>
                <w:sz w:val="14"/>
              </w:rPr>
              <w:t>Prospectus initial, annonce officielle.</w:t>
            </w:r>
          </w:p>
        </w:tc>
        <w:tc>
          <w:tcPr>
            <w:tcW w:type="dxa" w:w="3402"/>
            <w:vAlign w:val="top"/>
          </w:tcPr>
          <w:p>
            <w:r/>
            <w:r>
              <w:rPr>
                <w:b w:val="0"/>
                <w:sz w:val="14"/>
              </w:rPr>
              <w:t>Ne pas confondre avec approbation SEC ou première NAV.</w:t>
            </w:r>
          </w:p>
        </w:tc>
      </w:tr>
      <w:tr>
        <w:trPr>
          <w:cantSplit/>
        </w:trPr>
        <w:tc>
          <w:tcPr>
            <w:tcW w:type="dxa" w:w="1701"/>
            <w:vAlign w:val="top"/>
          </w:tcPr>
          <w:p>
            <w:r/>
            <w:r>
              <w:rPr>
                <w:b w:val="0"/>
                <w:sz w:val="14"/>
              </w:rPr>
              <w:t>SEC_REGISTRATION</w:t>
            </w:r>
          </w:p>
        </w:tc>
        <w:tc>
          <w:tcPr>
            <w:tcW w:type="dxa" w:w="2268"/>
            <w:vAlign w:val="top"/>
          </w:tcPr>
          <w:p>
            <w:r/>
            <w:r>
              <w:rPr>
                <w:b w:val="0"/>
                <w:sz w:val="14"/>
              </w:rPr>
              <w:t>Enregistrement/approbation SEC</w:t>
            </w:r>
          </w:p>
        </w:tc>
        <w:tc>
          <w:tcPr>
            <w:tcW w:type="dxa" w:w="3118"/>
            <w:vAlign w:val="top"/>
          </w:tcPr>
          <w:p>
            <w:r/>
            <w:r>
              <w:rPr>
                <w:b w:val="0"/>
                <w:sz w:val="14"/>
              </w:rPr>
              <w:t>Autorisation réglementaire du scheme ou des unités.</w:t>
            </w:r>
          </w:p>
        </w:tc>
        <w:tc>
          <w:tcPr>
            <w:tcW w:type="dxa" w:w="3402"/>
            <w:vAlign w:val="top"/>
          </w:tcPr>
          <w:p>
            <w:r/>
            <w:r>
              <w:rPr>
                <w:b w:val="0"/>
                <w:sz w:val="14"/>
              </w:rPr>
              <w:t>SEC, prospectus.</w:t>
            </w:r>
          </w:p>
        </w:tc>
        <w:tc>
          <w:tcPr>
            <w:tcW w:type="dxa" w:w="3402"/>
            <w:vAlign w:val="top"/>
          </w:tcPr>
          <w:p>
            <w:r/>
            <w:r>
              <w:rPr>
                <w:b w:val="0"/>
                <w:sz w:val="14"/>
              </w:rPr>
              <w:t>Date distincte du lancement.</w:t>
            </w:r>
          </w:p>
        </w:tc>
      </w:tr>
      <w:tr>
        <w:trPr>
          <w:cantSplit/>
        </w:trPr>
        <w:tc>
          <w:tcPr>
            <w:tcW w:type="dxa" w:w="1701"/>
            <w:vAlign w:val="top"/>
          </w:tcPr>
          <w:p>
            <w:r/>
            <w:r>
              <w:rPr>
                <w:b w:val="0"/>
                <w:sz w:val="14"/>
              </w:rPr>
              <w:t>FIRST_VALUATION</w:t>
            </w:r>
          </w:p>
        </w:tc>
        <w:tc>
          <w:tcPr>
            <w:tcW w:type="dxa" w:w="2268"/>
            <w:vAlign w:val="top"/>
          </w:tcPr>
          <w:p>
            <w:r/>
            <w:r>
              <w:rPr>
                <w:b w:val="0"/>
                <w:sz w:val="14"/>
              </w:rPr>
              <w:t>Première valorisation observée</w:t>
            </w:r>
          </w:p>
        </w:tc>
        <w:tc>
          <w:tcPr>
            <w:tcW w:type="dxa" w:w="3118"/>
            <w:vAlign w:val="top"/>
          </w:tcPr>
          <w:p>
            <w:r/>
            <w:r>
              <w:rPr>
                <w:b w:val="0"/>
                <w:sz w:val="14"/>
              </w:rPr>
              <w:t>Première date présente dans l’archive.</w:t>
            </w:r>
          </w:p>
        </w:tc>
        <w:tc>
          <w:tcPr>
            <w:tcW w:type="dxa" w:w="3402"/>
            <w:vAlign w:val="top"/>
          </w:tcPr>
          <w:p>
            <w:r/>
            <w:r>
              <w:rPr>
                <w:b w:val="0"/>
                <w:sz w:val="14"/>
              </w:rPr>
              <w:t>SEC Weekly/Monthly.</w:t>
            </w:r>
          </w:p>
        </w:tc>
        <w:tc>
          <w:tcPr>
            <w:tcW w:type="dxa" w:w="3402"/>
            <w:vAlign w:val="top"/>
          </w:tcPr>
          <w:p>
            <w:r/>
            <w:r>
              <w:rPr>
                <w:b w:val="0"/>
                <w:sz w:val="14"/>
              </w:rPr>
              <w:t>Signal technique, pas date de création.</w:t>
            </w:r>
          </w:p>
        </w:tc>
      </w:tr>
      <w:tr>
        <w:trPr>
          <w:cantSplit/>
        </w:trPr>
        <w:tc>
          <w:tcPr>
            <w:tcW w:type="dxa" w:w="1701"/>
            <w:vAlign w:val="top"/>
          </w:tcPr>
          <w:p>
            <w:r/>
            <w:r>
              <w:rPr>
                <w:b w:val="0"/>
                <w:sz w:val="14"/>
              </w:rPr>
              <w:t>RENAME</w:t>
            </w:r>
          </w:p>
        </w:tc>
        <w:tc>
          <w:tcPr>
            <w:tcW w:type="dxa" w:w="2268"/>
            <w:vAlign w:val="top"/>
          </w:tcPr>
          <w:p>
            <w:r/>
            <w:r>
              <w:rPr>
                <w:b w:val="0"/>
                <w:sz w:val="14"/>
              </w:rPr>
              <w:t>Changement de nom</w:t>
            </w:r>
          </w:p>
        </w:tc>
        <w:tc>
          <w:tcPr>
            <w:tcW w:type="dxa" w:w="3118"/>
            <w:vAlign w:val="top"/>
          </w:tcPr>
          <w:p>
            <w:r/>
            <w:r>
              <w:rPr>
                <w:b w:val="0"/>
                <w:sz w:val="14"/>
              </w:rPr>
              <w:t>Même fonds juridique sous un nouveau nom.</w:t>
            </w:r>
          </w:p>
        </w:tc>
        <w:tc>
          <w:tcPr>
            <w:tcW w:type="dxa" w:w="3402"/>
            <w:vAlign w:val="top"/>
          </w:tcPr>
          <w:p>
            <w:r/>
            <w:r>
              <w:rPr>
                <w:b w:val="0"/>
                <w:sz w:val="14"/>
              </w:rPr>
              <w:t>Supplemental prospectus, notice, rapport.</w:t>
            </w:r>
          </w:p>
        </w:tc>
        <w:tc>
          <w:tcPr>
            <w:tcW w:type="dxa" w:w="3402"/>
            <w:vAlign w:val="top"/>
          </w:tcPr>
          <w:p>
            <w:r/>
            <w:r>
              <w:rPr>
                <w:b w:val="0"/>
                <w:sz w:val="14"/>
              </w:rPr>
              <w:t>Exiger ancien nom, nouveau nom et date d’effet.</w:t>
            </w:r>
          </w:p>
        </w:tc>
      </w:tr>
      <w:tr>
        <w:trPr>
          <w:cantSplit/>
        </w:trPr>
        <w:tc>
          <w:tcPr>
            <w:tcW w:type="dxa" w:w="1701"/>
            <w:vAlign w:val="top"/>
          </w:tcPr>
          <w:p>
            <w:r/>
            <w:r>
              <w:rPr>
                <w:b w:val="0"/>
                <w:sz w:val="14"/>
              </w:rPr>
              <w:t>BRAND_CHANGE</w:t>
            </w:r>
          </w:p>
        </w:tc>
        <w:tc>
          <w:tcPr>
            <w:tcW w:type="dxa" w:w="2268"/>
            <w:vAlign w:val="top"/>
          </w:tcPr>
          <w:p>
            <w:r/>
            <w:r>
              <w:rPr>
                <w:b w:val="0"/>
                <w:sz w:val="14"/>
              </w:rPr>
              <w:t>Changement de marque</w:t>
            </w:r>
          </w:p>
        </w:tc>
        <w:tc>
          <w:tcPr>
            <w:tcW w:type="dxa" w:w="3118"/>
            <w:vAlign w:val="top"/>
          </w:tcPr>
          <w:p>
            <w:r/>
            <w:r>
              <w:rPr>
                <w:b w:val="0"/>
                <w:sz w:val="14"/>
              </w:rPr>
              <w:t>Nouvelle marque sans preuve de changement de personne morale.</w:t>
            </w:r>
          </w:p>
        </w:tc>
        <w:tc>
          <w:tcPr>
            <w:tcW w:type="dxa" w:w="3402"/>
            <w:vAlign w:val="top"/>
          </w:tcPr>
          <w:p>
            <w:r/>
            <w:r>
              <w:rPr>
                <w:b w:val="0"/>
                <w:sz w:val="14"/>
              </w:rPr>
              <w:t>Communiqué + CAC/SEC.</w:t>
            </w:r>
          </w:p>
        </w:tc>
        <w:tc>
          <w:tcPr>
            <w:tcW w:type="dxa" w:w="3402"/>
            <w:vAlign w:val="top"/>
          </w:tcPr>
          <w:p>
            <w:r/>
            <w:r>
              <w:rPr>
                <w:b w:val="0"/>
                <w:sz w:val="14"/>
              </w:rPr>
              <w:t>Ne pas modifier le legal_entity_id sans preuve.</w:t>
            </w:r>
          </w:p>
        </w:tc>
      </w:tr>
      <w:tr>
        <w:trPr>
          <w:cantSplit/>
        </w:trPr>
        <w:tc>
          <w:tcPr>
            <w:tcW w:type="dxa" w:w="1701"/>
            <w:vAlign w:val="top"/>
          </w:tcPr>
          <w:p>
            <w:r/>
            <w:r>
              <w:rPr>
                <w:b w:val="0"/>
                <w:sz w:val="14"/>
              </w:rPr>
              <w:t>MANAGER_TRANSFER</w:t>
            </w:r>
          </w:p>
        </w:tc>
        <w:tc>
          <w:tcPr>
            <w:tcW w:type="dxa" w:w="2268"/>
            <w:vAlign w:val="top"/>
          </w:tcPr>
          <w:p>
            <w:r/>
            <w:r>
              <w:rPr>
                <w:b w:val="0"/>
                <w:sz w:val="14"/>
              </w:rPr>
              <w:t>Transfert de gestion</w:t>
            </w:r>
          </w:p>
        </w:tc>
        <w:tc>
          <w:tcPr>
            <w:tcW w:type="dxa" w:w="3118"/>
            <w:vAlign w:val="top"/>
          </w:tcPr>
          <w:p>
            <w:r/>
            <w:r>
              <w:rPr>
                <w:b w:val="0"/>
                <w:sz w:val="14"/>
              </w:rPr>
              <w:t>Changement de fund manager.</w:t>
            </w:r>
          </w:p>
        </w:tc>
        <w:tc>
          <w:tcPr>
            <w:tcW w:type="dxa" w:w="3402"/>
            <w:vAlign w:val="top"/>
          </w:tcPr>
          <w:p>
            <w:r/>
            <w:r>
              <w:rPr>
                <w:b w:val="0"/>
                <w:sz w:val="14"/>
              </w:rPr>
              <w:t>Notice, prospectus, rapport audité.</w:t>
            </w:r>
          </w:p>
        </w:tc>
        <w:tc>
          <w:tcPr>
            <w:tcW w:type="dxa" w:w="3402"/>
            <w:vAlign w:val="top"/>
          </w:tcPr>
          <w:p>
            <w:r/>
            <w:r>
              <w:rPr>
                <w:b w:val="0"/>
                <w:sz w:val="14"/>
              </w:rPr>
              <w:t>Conserver fonds identique si document le confirme.</w:t>
            </w:r>
          </w:p>
        </w:tc>
      </w:tr>
      <w:tr>
        <w:trPr>
          <w:cantSplit/>
        </w:trPr>
        <w:tc>
          <w:tcPr>
            <w:tcW w:type="dxa" w:w="1701"/>
            <w:vAlign w:val="top"/>
          </w:tcPr>
          <w:p>
            <w:r/>
            <w:r>
              <w:rPr>
                <w:b w:val="0"/>
                <w:sz w:val="14"/>
              </w:rPr>
              <w:t>TRUSTEE_CHANGE</w:t>
            </w:r>
          </w:p>
        </w:tc>
        <w:tc>
          <w:tcPr>
            <w:tcW w:type="dxa" w:w="2268"/>
            <w:vAlign w:val="top"/>
          </w:tcPr>
          <w:p>
            <w:r/>
            <w:r>
              <w:rPr>
                <w:b w:val="0"/>
                <w:sz w:val="14"/>
              </w:rPr>
              <w:t>Changement de trustee</w:t>
            </w:r>
          </w:p>
        </w:tc>
        <w:tc>
          <w:tcPr>
            <w:tcW w:type="dxa" w:w="3118"/>
            <w:vAlign w:val="top"/>
          </w:tcPr>
          <w:p>
            <w:r/>
            <w:r>
              <w:rPr>
                <w:b w:val="0"/>
                <w:sz w:val="14"/>
              </w:rPr>
              <w:t>Remplacement du trustee.</w:t>
            </w:r>
          </w:p>
        </w:tc>
        <w:tc>
          <w:tcPr>
            <w:tcW w:type="dxa" w:w="3402"/>
            <w:vAlign w:val="top"/>
          </w:tcPr>
          <w:p>
            <w:r/>
            <w:r>
              <w:rPr>
                <w:b w:val="0"/>
                <w:sz w:val="14"/>
              </w:rPr>
              <w:t>Supplemental prospectus, notice.</w:t>
            </w:r>
          </w:p>
        </w:tc>
        <w:tc>
          <w:tcPr>
            <w:tcW w:type="dxa" w:w="3402"/>
            <w:vAlign w:val="top"/>
          </w:tcPr>
          <w:p>
            <w:r/>
            <w:r>
              <w:rPr>
                <w:b w:val="0"/>
                <w:sz w:val="14"/>
              </w:rPr>
              <w:t>Historiser rôle et période.</w:t>
            </w:r>
          </w:p>
        </w:tc>
      </w:tr>
      <w:tr>
        <w:trPr>
          <w:cantSplit/>
        </w:trPr>
        <w:tc>
          <w:tcPr>
            <w:tcW w:type="dxa" w:w="1701"/>
            <w:vAlign w:val="top"/>
          </w:tcPr>
          <w:p>
            <w:r/>
            <w:r>
              <w:rPr>
                <w:b w:val="0"/>
                <w:sz w:val="14"/>
              </w:rPr>
              <w:t>CUSTODIAN_CHANGE</w:t>
            </w:r>
          </w:p>
        </w:tc>
        <w:tc>
          <w:tcPr>
            <w:tcW w:type="dxa" w:w="2268"/>
            <w:vAlign w:val="top"/>
          </w:tcPr>
          <w:p>
            <w:r/>
            <w:r>
              <w:rPr>
                <w:b w:val="0"/>
                <w:sz w:val="14"/>
              </w:rPr>
              <w:t>Changement de dépositaire</w:t>
            </w:r>
          </w:p>
        </w:tc>
        <w:tc>
          <w:tcPr>
            <w:tcW w:type="dxa" w:w="3118"/>
            <w:vAlign w:val="top"/>
          </w:tcPr>
          <w:p>
            <w:r/>
            <w:r>
              <w:rPr>
                <w:b w:val="0"/>
                <w:sz w:val="14"/>
              </w:rPr>
              <w:t>Remplacement du custodian.</w:t>
            </w:r>
          </w:p>
        </w:tc>
        <w:tc>
          <w:tcPr>
            <w:tcW w:type="dxa" w:w="3402"/>
            <w:vAlign w:val="top"/>
          </w:tcPr>
          <w:p>
            <w:r/>
            <w:r>
              <w:rPr>
                <w:b w:val="0"/>
                <w:sz w:val="14"/>
              </w:rPr>
              <w:t>Prospectus/rapport.</w:t>
            </w:r>
          </w:p>
        </w:tc>
        <w:tc>
          <w:tcPr>
            <w:tcW w:type="dxa" w:w="3402"/>
            <w:vAlign w:val="top"/>
          </w:tcPr>
          <w:p>
            <w:r/>
            <w:r>
              <w:rPr>
                <w:b w:val="0"/>
                <w:sz w:val="14"/>
              </w:rPr>
              <w:t>Ne pas confondre avec trustee.</w:t>
            </w:r>
          </w:p>
        </w:tc>
      </w:tr>
      <w:tr>
        <w:trPr>
          <w:cantSplit/>
        </w:trPr>
        <w:tc>
          <w:tcPr>
            <w:tcW w:type="dxa" w:w="1701"/>
            <w:vAlign w:val="top"/>
          </w:tcPr>
          <w:p>
            <w:r/>
            <w:r>
              <w:rPr>
                <w:b w:val="0"/>
                <w:sz w:val="14"/>
              </w:rPr>
              <w:t>REGISTRAR_CHANGE</w:t>
            </w:r>
          </w:p>
        </w:tc>
        <w:tc>
          <w:tcPr>
            <w:tcW w:type="dxa" w:w="2268"/>
            <w:vAlign w:val="top"/>
          </w:tcPr>
          <w:p>
            <w:r/>
            <w:r>
              <w:rPr>
                <w:b w:val="0"/>
                <w:sz w:val="14"/>
              </w:rPr>
              <w:t>Changement de registrar</w:t>
            </w:r>
          </w:p>
        </w:tc>
        <w:tc>
          <w:tcPr>
            <w:tcW w:type="dxa" w:w="3118"/>
            <w:vAlign w:val="top"/>
          </w:tcPr>
          <w:p>
            <w:r/>
            <w:r>
              <w:rPr>
                <w:b w:val="0"/>
                <w:sz w:val="14"/>
              </w:rPr>
              <w:t>Remplacement du registrar.</w:t>
            </w:r>
          </w:p>
        </w:tc>
        <w:tc>
          <w:tcPr>
            <w:tcW w:type="dxa" w:w="3402"/>
            <w:vAlign w:val="top"/>
          </w:tcPr>
          <w:p>
            <w:r/>
            <w:r>
              <w:rPr>
                <w:b w:val="0"/>
                <w:sz w:val="14"/>
              </w:rPr>
              <w:t>Rapport/prospectus.</w:t>
            </w:r>
          </w:p>
        </w:tc>
        <w:tc>
          <w:tcPr>
            <w:tcW w:type="dxa" w:w="3402"/>
            <w:vAlign w:val="top"/>
          </w:tcPr>
          <w:p>
            <w:r/>
            <w:r>
              <w:rPr>
                <w:b w:val="0"/>
                <w:sz w:val="14"/>
              </w:rPr>
              <w:t>Historiser.</w:t>
            </w:r>
          </w:p>
        </w:tc>
      </w:tr>
      <w:tr>
        <w:trPr>
          <w:cantSplit/>
        </w:trPr>
        <w:tc>
          <w:tcPr>
            <w:tcW w:type="dxa" w:w="1701"/>
            <w:vAlign w:val="top"/>
          </w:tcPr>
          <w:p>
            <w:r/>
            <w:r>
              <w:rPr>
                <w:b w:val="0"/>
                <w:sz w:val="14"/>
              </w:rPr>
              <w:t>AUDITOR_CHANGE</w:t>
            </w:r>
          </w:p>
        </w:tc>
        <w:tc>
          <w:tcPr>
            <w:tcW w:type="dxa" w:w="2268"/>
            <w:vAlign w:val="top"/>
          </w:tcPr>
          <w:p>
            <w:r/>
            <w:r>
              <w:rPr>
                <w:b w:val="0"/>
                <w:sz w:val="14"/>
              </w:rPr>
              <w:t>Changement d’auditeur</w:t>
            </w:r>
          </w:p>
        </w:tc>
        <w:tc>
          <w:tcPr>
            <w:tcW w:type="dxa" w:w="3118"/>
            <w:vAlign w:val="top"/>
          </w:tcPr>
          <w:p>
            <w:r/>
            <w:r>
              <w:rPr>
                <w:b w:val="0"/>
                <w:sz w:val="14"/>
              </w:rPr>
              <w:t>Nouvel auditeur.</w:t>
            </w:r>
          </w:p>
        </w:tc>
        <w:tc>
          <w:tcPr>
            <w:tcW w:type="dxa" w:w="3402"/>
            <w:vAlign w:val="top"/>
          </w:tcPr>
          <w:p>
            <w:r/>
            <w:r>
              <w:rPr>
                <w:b w:val="0"/>
                <w:sz w:val="14"/>
              </w:rPr>
              <w:t>Rapport annuel.</w:t>
            </w:r>
          </w:p>
        </w:tc>
        <w:tc>
          <w:tcPr>
            <w:tcW w:type="dxa" w:w="3402"/>
            <w:vAlign w:val="top"/>
          </w:tcPr>
          <w:p>
            <w:r/>
            <w:r>
              <w:rPr>
                <w:b w:val="0"/>
                <w:sz w:val="14"/>
              </w:rPr>
              <w:t>Date d’exercice et date d’effet.</w:t>
            </w:r>
          </w:p>
        </w:tc>
      </w:tr>
      <w:tr>
        <w:trPr>
          <w:cantSplit/>
        </w:trPr>
        <w:tc>
          <w:tcPr>
            <w:tcW w:type="dxa" w:w="1701"/>
            <w:vAlign w:val="top"/>
          </w:tcPr>
          <w:p>
            <w:r/>
            <w:r>
              <w:rPr>
                <w:b w:val="0"/>
                <w:sz w:val="14"/>
              </w:rPr>
              <w:t>MERGER</w:t>
            </w:r>
          </w:p>
        </w:tc>
        <w:tc>
          <w:tcPr>
            <w:tcW w:type="dxa" w:w="2268"/>
            <w:vAlign w:val="top"/>
          </w:tcPr>
          <w:p>
            <w:r/>
            <w:r>
              <w:rPr>
                <w:b w:val="0"/>
                <w:sz w:val="14"/>
              </w:rPr>
              <w:t>Fusion</w:t>
            </w:r>
          </w:p>
        </w:tc>
        <w:tc>
          <w:tcPr>
            <w:tcW w:type="dxa" w:w="3118"/>
            <w:vAlign w:val="top"/>
          </w:tcPr>
          <w:p>
            <w:r/>
            <w:r>
              <w:rPr>
                <w:b w:val="0"/>
                <w:sz w:val="14"/>
              </w:rPr>
              <w:t>Deux ou plusieurs schemes combinés.</w:t>
            </w:r>
          </w:p>
        </w:tc>
        <w:tc>
          <w:tcPr>
            <w:tcW w:type="dxa" w:w="3402"/>
            <w:vAlign w:val="top"/>
          </w:tcPr>
          <w:p>
            <w:r/>
            <w:r>
              <w:rPr>
                <w:b w:val="0"/>
                <w:sz w:val="14"/>
              </w:rPr>
              <w:t>Scheme document, SEC/court.</w:t>
            </w:r>
          </w:p>
        </w:tc>
        <w:tc>
          <w:tcPr>
            <w:tcW w:type="dxa" w:w="3402"/>
            <w:vAlign w:val="top"/>
          </w:tcPr>
          <w:p>
            <w:r/>
            <w:r>
              <w:rPr>
                <w:b w:val="0"/>
                <w:sz w:val="14"/>
              </w:rPr>
              <w:t>Identifier survivant et fonds éteints.</w:t>
            </w:r>
          </w:p>
        </w:tc>
      </w:tr>
      <w:tr>
        <w:trPr>
          <w:cantSplit/>
        </w:trPr>
        <w:tc>
          <w:tcPr>
            <w:tcW w:type="dxa" w:w="1701"/>
            <w:vAlign w:val="top"/>
          </w:tcPr>
          <w:p>
            <w:r/>
            <w:r>
              <w:rPr>
                <w:b w:val="0"/>
                <w:sz w:val="14"/>
              </w:rPr>
              <w:t>ABSORPTION</w:t>
            </w:r>
          </w:p>
        </w:tc>
        <w:tc>
          <w:tcPr>
            <w:tcW w:type="dxa" w:w="2268"/>
            <w:vAlign w:val="top"/>
          </w:tcPr>
          <w:p>
            <w:r/>
            <w:r>
              <w:rPr>
                <w:b w:val="0"/>
                <w:sz w:val="14"/>
              </w:rPr>
              <w:t>Absorption</w:t>
            </w:r>
          </w:p>
        </w:tc>
        <w:tc>
          <w:tcPr>
            <w:tcW w:type="dxa" w:w="3118"/>
            <w:vAlign w:val="top"/>
          </w:tcPr>
          <w:p>
            <w:r/>
            <w:r>
              <w:rPr>
                <w:b w:val="0"/>
                <w:sz w:val="14"/>
              </w:rPr>
              <w:t>Un fonds absorbe un autre.</w:t>
            </w:r>
          </w:p>
        </w:tc>
        <w:tc>
          <w:tcPr>
            <w:tcW w:type="dxa" w:w="3402"/>
            <w:vAlign w:val="top"/>
          </w:tcPr>
          <w:p>
            <w:r/>
            <w:r>
              <w:rPr>
                <w:b w:val="0"/>
                <w:sz w:val="14"/>
              </w:rPr>
              <w:t>Avis officiel.</w:t>
            </w:r>
          </w:p>
        </w:tc>
        <w:tc>
          <w:tcPr>
            <w:tcW w:type="dxa" w:w="3402"/>
            <w:vAlign w:val="top"/>
          </w:tcPr>
          <w:p>
            <w:r/>
            <w:r>
              <w:rPr>
                <w:b w:val="0"/>
                <w:sz w:val="14"/>
              </w:rPr>
              <w:t>Relier séries sans les mélanger.</w:t>
            </w:r>
          </w:p>
        </w:tc>
      </w:tr>
      <w:tr>
        <w:trPr>
          <w:cantSplit/>
        </w:trPr>
        <w:tc>
          <w:tcPr>
            <w:tcW w:type="dxa" w:w="1701"/>
            <w:vAlign w:val="top"/>
          </w:tcPr>
          <w:p>
            <w:r/>
            <w:r>
              <w:rPr>
                <w:b w:val="0"/>
                <w:sz w:val="14"/>
              </w:rPr>
              <w:t>UNIT_SPLIT</w:t>
            </w:r>
          </w:p>
        </w:tc>
        <w:tc>
          <w:tcPr>
            <w:tcW w:type="dxa" w:w="2268"/>
            <w:vAlign w:val="top"/>
          </w:tcPr>
          <w:p>
            <w:r/>
            <w:r>
              <w:rPr>
                <w:b w:val="0"/>
                <w:sz w:val="14"/>
              </w:rPr>
              <w:t>Split de parts</w:t>
            </w:r>
          </w:p>
        </w:tc>
        <w:tc>
          <w:tcPr>
            <w:tcW w:type="dxa" w:w="3118"/>
            <w:vAlign w:val="top"/>
          </w:tcPr>
          <w:p>
            <w:r/>
            <w:r>
              <w:rPr>
                <w:b w:val="0"/>
                <w:sz w:val="14"/>
              </w:rPr>
              <w:t>Modification du nombre de parts et prix unitaire.</w:t>
            </w:r>
          </w:p>
        </w:tc>
        <w:tc>
          <w:tcPr>
            <w:tcW w:type="dxa" w:w="3402"/>
            <w:vAlign w:val="top"/>
          </w:tcPr>
          <w:p>
            <w:r/>
            <w:r>
              <w:rPr>
                <w:b w:val="0"/>
                <w:sz w:val="14"/>
              </w:rPr>
              <w:t>Notice/prospectus.</w:t>
            </w:r>
          </w:p>
        </w:tc>
        <w:tc>
          <w:tcPr>
            <w:tcW w:type="dxa" w:w="3402"/>
            <w:vAlign w:val="top"/>
          </w:tcPr>
          <w:p>
            <w:r/>
            <w:r>
              <w:rPr>
                <w:b w:val="0"/>
                <w:sz w:val="14"/>
              </w:rPr>
              <w:t>Ajuster analyses, jamais les valeurs brutes.</w:t>
            </w:r>
          </w:p>
        </w:tc>
      </w:tr>
      <w:tr>
        <w:trPr>
          <w:cantSplit/>
        </w:trPr>
        <w:tc>
          <w:tcPr>
            <w:tcW w:type="dxa" w:w="1701"/>
            <w:vAlign w:val="top"/>
          </w:tcPr>
          <w:p>
            <w:r/>
            <w:r>
              <w:rPr>
                <w:b w:val="0"/>
                <w:sz w:val="14"/>
              </w:rPr>
              <w:t>UNIT_CONSOLIDATION</w:t>
            </w:r>
          </w:p>
        </w:tc>
        <w:tc>
          <w:tcPr>
            <w:tcW w:type="dxa" w:w="2268"/>
            <w:vAlign w:val="top"/>
          </w:tcPr>
          <w:p>
            <w:r/>
            <w:r>
              <w:rPr>
                <w:b w:val="0"/>
                <w:sz w:val="14"/>
              </w:rPr>
              <w:t>Regroupement de parts</w:t>
            </w:r>
          </w:p>
        </w:tc>
        <w:tc>
          <w:tcPr>
            <w:tcW w:type="dxa" w:w="3118"/>
            <w:vAlign w:val="top"/>
          </w:tcPr>
          <w:p>
            <w:r/>
            <w:r>
              <w:rPr>
                <w:b w:val="0"/>
                <w:sz w:val="14"/>
              </w:rPr>
              <w:t>Réduction du nombre de parts.</w:t>
            </w:r>
          </w:p>
        </w:tc>
        <w:tc>
          <w:tcPr>
            <w:tcW w:type="dxa" w:w="3402"/>
            <w:vAlign w:val="top"/>
          </w:tcPr>
          <w:p>
            <w:r/>
            <w:r>
              <w:rPr>
                <w:b w:val="0"/>
                <w:sz w:val="14"/>
              </w:rPr>
              <w:t>Notice/prospectus.</w:t>
            </w:r>
          </w:p>
        </w:tc>
        <w:tc>
          <w:tcPr>
            <w:tcW w:type="dxa" w:w="3402"/>
            <w:vAlign w:val="top"/>
          </w:tcPr>
          <w:p>
            <w:r/>
            <w:r>
              <w:rPr>
                <w:b w:val="0"/>
                <w:sz w:val="14"/>
              </w:rPr>
              <w:t>Conserver facteur.</w:t>
            </w:r>
          </w:p>
        </w:tc>
      </w:tr>
      <w:tr>
        <w:trPr>
          <w:cantSplit/>
        </w:trPr>
        <w:tc>
          <w:tcPr>
            <w:tcW w:type="dxa" w:w="1701"/>
            <w:vAlign w:val="top"/>
          </w:tcPr>
          <w:p>
            <w:r/>
            <w:r>
              <w:rPr>
                <w:b w:val="0"/>
                <w:sz w:val="14"/>
              </w:rPr>
              <w:t>CURRENCY_CHANGE</w:t>
            </w:r>
          </w:p>
        </w:tc>
        <w:tc>
          <w:tcPr>
            <w:tcW w:type="dxa" w:w="2268"/>
            <w:vAlign w:val="top"/>
          </w:tcPr>
          <w:p>
            <w:r/>
            <w:r>
              <w:rPr>
                <w:b w:val="0"/>
                <w:sz w:val="14"/>
              </w:rPr>
              <w:t>Changement de devise de base/classe</w:t>
            </w:r>
          </w:p>
        </w:tc>
        <w:tc>
          <w:tcPr>
            <w:tcW w:type="dxa" w:w="3118"/>
            <w:vAlign w:val="top"/>
          </w:tcPr>
          <w:p>
            <w:r/>
            <w:r>
              <w:rPr>
                <w:b w:val="0"/>
                <w:sz w:val="14"/>
              </w:rPr>
              <w:t>Nouvelle devise.</w:t>
            </w:r>
          </w:p>
        </w:tc>
        <w:tc>
          <w:tcPr>
            <w:tcW w:type="dxa" w:w="3402"/>
            <w:vAlign w:val="top"/>
          </w:tcPr>
          <w:p>
            <w:r/>
            <w:r>
              <w:rPr>
                <w:b w:val="0"/>
                <w:sz w:val="14"/>
              </w:rPr>
              <w:t>Prospectus/factsheet.</w:t>
            </w:r>
          </w:p>
        </w:tc>
        <w:tc>
          <w:tcPr>
            <w:tcW w:type="dxa" w:w="3402"/>
            <w:vAlign w:val="top"/>
          </w:tcPr>
          <w:p>
            <w:r/>
            <w:r>
              <w:rPr>
                <w:b w:val="0"/>
                <w:sz w:val="14"/>
              </w:rPr>
              <w:t>Créer nouvelle classe si nécessaire.</w:t>
            </w:r>
          </w:p>
        </w:tc>
      </w:tr>
      <w:tr>
        <w:trPr>
          <w:cantSplit/>
        </w:trPr>
        <w:tc>
          <w:tcPr>
            <w:tcW w:type="dxa" w:w="1701"/>
            <w:vAlign w:val="top"/>
          </w:tcPr>
          <w:p>
            <w:r/>
            <w:r>
              <w:rPr>
                <w:b w:val="0"/>
                <w:sz w:val="14"/>
              </w:rPr>
              <w:t>BENCHMARK_CHANGE</w:t>
            </w:r>
          </w:p>
        </w:tc>
        <w:tc>
          <w:tcPr>
            <w:tcW w:type="dxa" w:w="2268"/>
            <w:vAlign w:val="top"/>
          </w:tcPr>
          <w:p>
            <w:r/>
            <w:r>
              <w:rPr>
                <w:b w:val="0"/>
                <w:sz w:val="14"/>
              </w:rPr>
              <w:t>Changement de benchmark</w:t>
            </w:r>
          </w:p>
        </w:tc>
        <w:tc>
          <w:tcPr>
            <w:tcW w:type="dxa" w:w="3118"/>
            <w:vAlign w:val="top"/>
          </w:tcPr>
          <w:p>
            <w:r/>
            <w:r>
              <w:rPr>
                <w:b w:val="0"/>
                <w:sz w:val="14"/>
              </w:rPr>
              <w:t>Indice de référence modifié.</w:t>
            </w:r>
          </w:p>
        </w:tc>
        <w:tc>
          <w:tcPr>
            <w:tcW w:type="dxa" w:w="3402"/>
            <w:vAlign w:val="top"/>
          </w:tcPr>
          <w:p>
            <w:r/>
            <w:r>
              <w:rPr>
                <w:b w:val="0"/>
                <w:sz w:val="14"/>
              </w:rPr>
              <w:t>Prospectus/factsheet datée.</w:t>
            </w:r>
          </w:p>
        </w:tc>
        <w:tc>
          <w:tcPr>
            <w:tcW w:type="dxa" w:w="3402"/>
            <w:vAlign w:val="top"/>
          </w:tcPr>
          <w:p>
            <w:r/>
            <w:r>
              <w:rPr>
                <w:b w:val="0"/>
                <w:sz w:val="14"/>
              </w:rPr>
              <w:t>Périodes de validité obligatoires.</w:t>
            </w:r>
          </w:p>
        </w:tc>
      </w:tr>
      <w:tr>
        <w:trPr>
          <w:cantSplit/>
        </w:trPr>
        <w:tc>
          <w:tcPr>
            <w:tcW w:type="dxa" w:w="1701"/>
            <w:vAlign w:val="top"/>
          </w:tcPr>
          <w:p>
            <w:r/>
            <w:r>
              <w:rPr>
                <w:b w:val="0"/>
                <w:sz w:val="14"/>
              </w:rPr>
              <w:t>OBJECTIVE_CHANGE</w:t>
            </w:r>
          </w:p>
        </w:tc>
        <w:tc>
          <w:tcPr>
            <w:tcW w:type="dxa" w:w="2268"/>
            <w:vAlign w:val="top"/>
          </w:tcPr>
          <w:p>
            <w:r/>
            <w:r>
              <w:rPr>
                <w:b w:val="0"/>
                <w:sz w:val="14"/>
              </w:rPr>
              <w:t>Changement d’objectif</w:t>
            </w:r>
          </w:p>
        </w:tc>
        <w:tc>
          <w:tcPr>
            <w:tcW w:type="dxa" w:w="3118"/>
            <w:vAlign w:val="top"/>
          </w:tcPr>
          <w:p>
            <w:r/>
            <w:r>
              <w:rPr>
                <w:b w:val="0"/>
                <w:sz w:val="14"/>
              </w:rPr>
              <w:t>Mandat ou stratégie modifié.</w:t>
            </w:r>
          </w:p>
        </w:tc>
        <w:tc>
          <w:tcPr>
            <w:tcW w:type="dxa" w:w="3402"/>
            <w:vAlign w:val="top"/>
          </w:tcPr>
          <w:p>
            <w:r/>
            <w:r>
              <w:rPr>
                <w:b w:val="0"/>
                <w:sz w:val="14"/>
              </w:rPr>
              <w:t>Supplemental prospectus.</w:t>
            </w:r>
          </w:p>
        </w:tc>
        <w:tc>
          <w:tcPr>
            <w:tcW w:type="dxa" w:w="3402"/>
            <w:vAlign w:val="top"/>
          </w:tcPr>
          <w:p>
            <w:r/>
            <w:r>
              <w:rPr>
                <w:b w:val="0"/>
                <w:sz w:val="14"/>
              </w:rPr>
              <w:t>Peut créer rupture analytique.</w:t>
            </w:r>
          </w:p>
        </w:tc>
      </w:tr>
      <w:tr>
        <w:trPr>
          <w:cantSplit/>
        </w:trPr>
        <w:tc>
          <w:tcPr>
            <w:tcW w:type="dxa" w:w="1701"/>
            <w:vAlign w:val="top"/>
          </w:tcPr>
          <w:p>
            <w:r/>
            <w:r>
              <w:rPr>
                <w:b w:val="0"/>
                <w:sz w:val="14"/>
              </w:rPr>
              <w:t>CATEGORY_CHANGE</w:t>
            </w:r>
          </w:p>
        </w:tc>
        <w:tc>
          <w:tcPr>
            <w:tcW w:type="dxa" w:w="2268"/>
            <w:vAlign w:val="top"/>
          </w:tcPr>
          <w:p>
            <w:r/>
            <w:r>
              <w:rPr>
                <w:b w:val="0"/>
                <w:sz w:val="14"/>
              </w:rPr>
              <w:t>Reclassification</w:t>
            </w:r>
          </w:p>
        </w:tc>
        <w:tc>
          <w:tcPr>
            <w:tcW w:type="dxa" w:w="3118"/>
            <w:vAlign w:val="top"/>
          </w:tcPr>
          <w:p>
            <w:r/>
            <w:r>
              <w:rPr>
                <w:b w:val="0"/>
                <w:sz w:val="14"/>
              </w:rPr>
              <w:t>Catégorie réglementaire/commerciale modifiée.</w:t>
            </w:r>
          </w:p>
        </w:tc>
        <w:tc>
          <w:tcPr>
            <w:tcW w:type="dxa" w:w="3402"/>
            <w:vAlign w:val="top"/>
          </w:tcPr>
          <w:p>
            <w:r/>
            <w:r>
              <w:rPr>
                <w:b w:val="0"/>
                <w:sz w:val="14"/>
              </w:rPr>
              <w:t>SEC/gestionnaire.</w:t>
            </w:r>
          </w:p>
        </w:tc>
        <w:tc>
          <w:tcPr>
            <w:tcW w:type="dxa" w:w="3402"/>
            <w:vAlign w:val="top"/>
          </w:tcPr>
          <w:p>
            <w:r/>
            <w:r>
              <w:rPr>
                <w:b w:val="0"/>
                <w:sz w:val="14"/>
              </w:rPr>
              <w:t>Conserver ancien et nouveau.</w:t>
            </w:r>
          </w:p>
        </w:tc>
      </w:tr>
      <w:tr>
        <w:trPr>
          <w:cantSplit/>
        </w:trPr>
        <w:tc>
          <w:tcPr>
            <w:tcW w:type="dxa" w:w="1701"/>
            <w:vAlign w:val="top"/>
          </w:tcPr>
          <w:p>
            <w:r/>
            <w:r>
              <w:rPr>
                <w:b w:val="0"/>
                <w:sz w:val="14"/>
              </w:rPr>
              <w:t>FEE_CHANGE</w:t>
            </w:r>
          </w:p>
        </w:tc>
        <w:tc>
          <w:tcPr>
            <w:tcW w:type="dxa" w:w="2268"/>
            <w:vAlign w:val="top"/>
          </w:tcPr>
          <w:p>
            <w:r/>
            <w:r>
              <w:rPr>
                <w:b w:val="0"/>
                <w:sz w:val="14"/>
              </w:rPr>
              <w:t>Changement de frais</w:t>
            </w:r>
          </w:p>
        </w:tc>
        <w:tc>
          <w:tcPr>
            <w:tcW w:type="dxa" w:w="3118"/>
            <w:vAlign w:val="top"/>
          </w:tcPr>
          <w:p>
            <w:r/>
            <w:r>
              <w:rPr>
                <w:b w:val="0"/>
                <w:sz w:val="14"/>
              </w:rPr>
              <w:t>Frais de gestion, trustee, custodian, entry/exit.</w:t>
            </w:r>
          </w:p>
        </w:tc>
        <w:tc>
          <w:tcPr>
            <w:tcW w:type="dxa" w:w="3402"/>
            <w:vAlign w:val="top"/>
          </w:tcPr>
          <w:p>
            <w:r/>
            <w:r>
              <w:rPr>
                <w:b w:val="0"/>
                <w:sz w:val="14"/>
              </w:rPr>
              <w:t>Prospectus/factsheet.</w:t>
            </w:r>
          </w:p>
        </w:tc>
        <w:tc>
          <w:tcPr>
            <w:tcW w:type="dxa" w:w="3402"/>
            <w:vAlign w:val="top"/>
          </w:tcPr>
          <w:p>
            <w:r/>
            <w:r>
              <w:rPr>
                <w:b w:val="0"/>
                <w:sz w:val="14"/>
              </w:rPr>
              <w:t>Date d’effet obligatoire.</w:t>
            </w:r>
          </w:p>
        </w:tc>
      </w:tr>
      <w:tr>
        <w:trPr>
          <w:cantSplit/>
        </w:trPr>
        <w:tc>
          <w:tcPr>
            <w:tcW w:type="dxa" w:w="1701"/>
            <w:vAlign w:val="top"/>
          </w:tcPr>
          <w:p>
            <w:r/>
            <w:r>
              <w:rPr>
                <w:b w:val="0"/>
                <w:sz w:val="14"/>
              </w:rPr>
              <w:t>SUSPENSION</w:t>
            </w:r>
          </w:p>
        </w:tc>
        <w:tc>
          <w:tcPr>
            <w:tcW w:type="dxa" w:w="2268"/>
            <w:vAlign w:val="top"/>
          </w:tcPr>
          <w:p>
            <w:r/>
            <w:r>
              <w:rPr>
                <w:b w:val="0"/>
                <w:sz w:val="14"/>
              </w:rPr>
              <w:t>Suspension</w:t>
            </w:r>
          </w:p>
        </w:tc>
        <w:tc>
          <w:tcPr>
            <w:tcW w:type="dxa" w:w="3118"/>
            <w:vAlign w:val="top"/>
          </w:tcPr>
          <w:p>
            <w:r/>
            <w:r>
              <w:rPr>
                <w:b w:val="0"/>
                <w:sz w:val="14"/>
              </w:rPr>
              <w:t>Souscriptions, rachats ou valorisation suspendus.</w:t>
            </w:r>
          </w:p>
        </w:tc>
        <w:tc>
          <w:tcPr>
            <w:tcW w:type="dxa" w:w="3402"/>
            <w:vAlign w:val="top"/>
          </w:tcPr>
          <w:p>
            <w:r/>
            <w:r>
              <w:rPr>
                <w:b w:val="0"/>
                <w:sz w:val="14"/>
              </w:rPr>
              <w:t>SEC/notice.</w:t>
            </w:r>
          </w:p>
        </w:tc>
        <w:tc>
          <w:tcPr>
            <w:tcW w:type="dxa" w:w="3402"/>
            <w:vAlign w:val="top"/>
          </w:tcPr>
          <w:p>
            <w:r/>
            <w:r>
              <w:rPr>
                <w:b w:val="0"/>
                <w:sz w:val="14"/>
              </w:rPr>
              <w:t>Préciser le périmètre.</w:t>
            </w:r>
          </w:p>
        </w:tc>
      </w:tr>
      <w:tr>
        <w:trPr>
          <w:cantSplit/>
        </w:trPr>
        <w:tc>
          <w:tcPr>
            <w:tcW w:type="dxa" w:w="1701"/>
            <w:vAlign w:val="top"/>
          </w:tcPr>
          <w:p>
            <w:r/>
            <w:r>
              <w:rPr>
                <w:b w:val="0"/>
                <w:sz w:val="14"/>
              </w:rPr>
              <w:t>SOFT_CLOSE</w:t>
            </w:r>
          </w:p>
        </w:tc>
        <w:tc>
          <w:tcPr>
            <w:tcW w:type="dxa" w:w="2268"/>
            <w:vAlign w:val="top"/>
          </w:tcPr>
          <w:p>
            <w:r/>
            <w:r>
              <w:rPr>
                <w:b w:val="0"/>
                <w:sz w:val="14"/>
              </w:rPr>
              <w:t>Fermeture aux nouvelles souscriptions</w:t>
            </w:r>
          </w:p>
        </w:tc>
        <w:tc>
          <w:tcPr>
            <w:tcW w:type="dxa" w:w="3118"/>
            <w:vAlign w:val="top"/>
          </w:tcPr>
          <w:p>
            <w:r/>
            <w:r>
              <w:rPr>
                <w:b w:val="0"/>
                <w:sz w:val="14"/>
              </w:rPr>
              <w:t>Fonds toujours en vie.</w:t>
            </w:r>
          </w:p>
        </w:tc>
        <w:tc>
          <w:tcPr>
            <w:tcW w:type="dxa" w:w="3402"/>
            <w:vAlign w:val="top"/>
          </w:tcPr>
          <w:p>
            <w:r/>
            <w:r>
              <w:rPr>
                <w:b w:val="0"/>
                <w:sz w:val="14"/>
              </w:rPr>
              <w:t>Notice du gestionnaire.</w:t>
            </w:r>
          </w:p>
        </w:tc>
        <w:tc>
          <w:tcPr>
            <w:tcW w:type="dxa" w:w="3402"/>
            <w:vAlign w:val="top"/>
          </w:tcPr>
          <w:p>
            <w:r/>
            <w:r>
              <w:rPr>
                <w:b w:val="0"/>
                <w:sz w:val="14"/>
              </w:rPr>
              <w:t>Ne pas classer liquidé.</w:t>
            </w:r>
          </w:p>
        </w:tc>
      </w:tr>
      <w:tr>
        <w:trPr>
          <w:cantSplit/>
        </w:trPr>
        <w:tc>
          <w:tcPr>
            <w:tcW w:type="dxa" w:w="1701"/>
            <w:vAlign w:val="top"/>
          </w:tcPr>
          <w:p>
            <w:r/>
            <w:r>
              <w:rPr>
                <w:b w:val="0"/>
                <w:sz w:val="14"/>
              </w:rPr>
              <w:t>TERMINATION</w:t>
            </w:r>
          </w:p>
        </w:tc>
        <w:tc>
          <w:tcPr>
            <w:tcW w:type="dxa" w:w="2268"/>
            <w:vAlign w:val="top"/>
          </w:tcPr>
          <w:p>
            <w:r/>
            <w:r>
              <w:rPr>
                <w:b w:val="0"/>
                <w:sz w:val="14"/>
              </w:rPr>
              <w:t>Décision de terminer le scheme</w:t>
            </w:r>
          </w:p>
        </w:tc>
        <w:tc>
          <w:tcPr>
            <w:tcW w:type="dxa" w:w="3118"/>
            <w:vAlign w:val="top"/>
          </w:tcPr>
          <w:p>
            <w:r/>
            <w:r>
              <w:rPr>
                <w:b w:val="0"/>
                <w:sz w:val="14"/>
              </w:rPr>
              <w:t>Début du processus de fin.</w:t>
            </w:r>
          </w:p>
        </w:tc>
        <w:tc>
          <w:tcPr>
            <w:tcW w:type="dxa" w:w="3402"/>
            <w:vAlign w:val="top"/>
          </w:tcPr>
          <w:p>
            <w:r/>
            <w:r>
              <w:rPr>
                <w:b w:val="0"/>
                <w:sz w:val="14"/>
              </w:rPr>
              <w:t>Notice officielle.</w:t>
            </w:r>
          </w:p>
        </w:tc>
        <w:tc>
          <w:tcPr>
            <w:tcW w:type="dxa" w:w="3402"/>
            <w:vAlign w:val="top"/>
          </w:tcPr>
          <w:p>
            <w:r/>
            <w:r>
              <w:rPr>
                <w:b w:val="0"/>
                <w:sz w:val="14"/>
              </w:rPr>
              <w:t>Distinct de liquidation achevée.</w:t>
            </w:r>
          </w:p>
        </w:tc>
      </w:tr>
      <w:tr>
        <w:trPr>
          <w:cantSplit/>
        </w:trPr>
        <w:tc>
          <w:tcPr>
            <w:tcW w:type="dxa" w:w="1701"/>
            <w:vAlign w:val="top"/>
          </w:tcPr>
          <w:p>
            <w:r/>
            <w:r>
              <w:rPr>
                <w:b w:val="0"/>
                <w:sz w:val="14"/>
              </w:rPr>
              <w:t>LIQUIDATION</w:t>
            </w:r>
          </w:p>
        </w:tc>
        <w:tc>
          <w:tcPr>
            <w:tcW w:type="dxa" w:w="2268"/>
            <w:vAlign w:val="top"/>
          </w:tcPr>
          <w:p>
            <w:r/>
            <w:r>
              <w:rPr>
                <w:b w:val="0"/>
                <w:sz w:val="14"/>
              </w:rPr>
              <w:t>Liquidation/winding-up</w:t>
            </w:r>
          </w:p>
        </w:tc>
        <w:tc>
          <w:tcPr>
            <w:tcW w:type="dxa" w:w="3118"/>
            <w:vAlign w:val="top"/>
          </w:tcPr>
          <w:p>
            <w:r/>
            <w:r>
              <w:rPr>
                <w:b w:val="0"/>
                <w:sz w:val="14"/>
              </w:rPr>
              <w:t>Réalisation des actifs et extinction.</w:t>
            </w:r>
          </w:p>
        </w:tc>
        <w:tc>
          <w:tcPr>
            <w:tcW w:type="dxa" w:w="3402"/>
            <w:vAlign w:val="top"/>
          </w:tcPr>
          <w:p>
            <w:r/>
            <w:r>
              <w:rPr>
                <w:b w:val="0"/>
                <w:sz w:val="14"/>
              </w:rPr>
              <w:t>Avis SEC/court, rapport final.</w:t>
            </w:r>
          </w:p>
        </w:tc>
        <w:tc>
          <w:tcPr>
            <w:tcW w:type="dxa" w:w="3402"/>
            <w:vAlign w:val="top"/>
          </w:tcPr>
          <w:p>
            <w:r/>
            <w:r>
              <w:rPr>
                <w:b w:val="0"/>
                <w:sz w:val="14"/>
              </w:rPr>
              <w:t>Conserver dates de début et de clôture.</w:t>
            </w:r>
          </w:p>
        </w:tc>
      </w:tr>
      <w:tr>
        <w:trPr>
          <w:cantSplit/>
        </w:trPr>
        <w:tc>
          <w:tcPr>
            <w:tcW w:type="dxa" w:w="1701"/>
            <w:vAlign w:val="top"/>
          </w:tcPr>
          <w:p>
            <w:r/>
            <w:r>
              <w:rPr>
                <w:b w:val="0"/>
                <w:sz w:val="14"/>
              </w:rPr>
              <w:t>DISTRIBUTION</w:t>
            </w:r>
          </w:p>
        </w:tc>
        <w:tc>
          <w:tcPr>
            <w:tcW w:type="dxa" w:w="2268"/>
            <w:vAlign w:val="top"/>
          </w:tcPr>
          <w:p>
            <w:r/>
            <w:r>
              <w:rPr>
                <w:b w:val="0"/>
                <w:sz w:val="14"/>
              </w:rPr>
              <w:t>Distribution/dividende</w:t>
            </w:r>
          </w:p>
        </w:tc>
        <w:tc>
          <w:tcPr>
            <w:tcW w:type="dxa" w:w="3118"/>
            <w:vAlign w:val="top"/>
          </w:tcPr>
          <w:p>
            <w:r/>
            <w:r>
              <w:rPr>
                <w:b w:val="0"/>
                <w:sz w:val="14"/>
              </w:rPr>
              <w:t>Revenu distribué aux porteurs.</w:t>
            </w:r>
          </w:p>
        </w:tc>
        <w:tc>
          <w:tcPr>
            <w:tcW w:type="dxa" w:w="3402"/>
            <w:vAlign w:val="top"/>
          </w:tcPr>
          <w:p>
            <w:r/>
            <w:r>
              <w:rPr>
                <w:b w:val="0"/>
                <w:sz w:val="14"/>
              </w:rPr>
              <w:t>Notice/rapport.</w:t>
            </w:r>
          </w:p>
        </w:tc>
        <w:tc>
          <w:tcPr>
            <w:tcW w:type="dxa" w:w="3402"/>
            <w:vAlign w:val="top"/>
          </w:tcPr>
          <w:p>
            <w:r/>
            <w:r>
              <w:rPr>
                <w:b w:val="0"/>
                <w:sz w:val="14"/>
              </w:rPr>
              <w:t>Ex-date, record date, payment date.</w:t>
            </w:r>
          </w:p>
        </w:tc>
      </w:tr>
      <w:tr>
        <w:trPr>
          <w:cantSplit/>
        </w:trPr>
        <w:tc>
          <w:tcPr>
            <w:tcW w:type="dxa" w:w="1701"/>
            <w:vAlign w:val="top"/>
          </w:tcPr>
          <w:p>
            <w:r/>
            <w:r>
              <w:rPr>
                <w:b w:val="0"/>
                <w:sz w:val="14"/>
              </w:rPr>
              <w:t>ADDITIONAL_UNITS</w:t>
            </w:r>
          </w:p>
        </w:tc>
        <w:tc>
          <w:tcPr>
            <w:tcW w:type="dxa" w:w="2268"/>
            <w:vAlign w:val="top"/>
          </w:tcPr>
          <w:p>
            <w:r/>
            <w:r>
              <w:rPr>
                <w:b w:val="0"/>
                <w:sz w:val="14"/>
              </w:rPr>
              <w:t>Enregistrement d’unités supplémentaires</w:t>
            </w:r>
          </w:p>
        </w:tc>
        <w:tc>
          <w:tcPr>
            <w:tcW w:type="dxa" w:w="3118"/>
            <w:vAlign w:val="top"/>
          </w:tcPr>
          <w:p>
            <w:r/>
            <w:r>
              <w:rPr>
                <w:b w:val="0"/>
                <w:sz w:val="14"/>
              </w:rPr>
              <w:t>Augmentation de capacité d’émission.</w:t>
            </w:r>
          </w:p>
        </w:tc>
        <w:tc>
          <w:tcPr>
            <w:tcW w:type="dxa" w:w="3402"/>
            <w:vAlign w:val="top"/>
          </w:tcPr>
          <w:p>
            <w:r/>
            <w:r>
              <w:rPr>
                <w:b w:val="0"/>
                <w:sz w:val="14"/>
              </w:rPr>
              <w:t>SEC Form/approval.</w:t>
            </w:r>
          </w:p>
        </w:tc>
        <w:tc>
          <w:tcPr>
            <w:tcW w:type="dxa" w:w="3402"/>
            <w:vAlign w:val="top"/>
          </w:tcPr>
          <w:p>
            <w:r/>
            <w:r>
              <w:rPr>
                <w:b w:val="0"/>
                <w:sz w:val="14"/>
              </w:rPr>
              <w:t>Pas nécessairement création de fonds.</w:t>
            </w:r>
          </w:p>
        </w:tc>
      </w:tr>
      <w:tr>
        <w:trPr>
          <w:cantSplit/>
        </w:trPr>
        <w:tc>
          <w:tcPr>
            <w:tcW w:type="dxa" w:w="1701"/>
            <w:vAlign w:val="top"/>
          </w:tcPr>
          <w:p>
            <w:r/>
            <w:r>
              <w:rPr>
                <w:b w:val="0"/>
                <w:sz w:val="14"/>
              </w:rPr>
              <w:t>LISTING</w:t>
            </w:r>
          </w:p>
        </w:tc>
        <w:tc>
          <w:tcPr>
            <w:tcW w:type="dxa" w:w="2268"/>
            <w:vAlign w:val="top"/>
          </w:tcPr>
          <w:p>
            <w:r/>
            <w:r>
              <w:rPr>
                <w:b w:val="0"/>
                <w:sz w:val="14"/>
              </w:rPr>
              <w:t>Admission à la cote</w:t>
            </w:r>
          </w:p>
        </w:tc>
        <w:tc>
          <w:tcPr>
            <w:tcW w:type="dxa" w:w="3118"/>
            <w:vAlign w:val="top"/>
          </w:tcPr>
          <w:p>
            <w:r/>
            <w:r>
              <w:rPr>
                <w:b w:val="0"/>
                <w:sz w:val="14"/>
              </w:rPr>
              <w:t>ETF/REIT/CEF listé.</w:t>
            </w:r>
          </w:p>
        </w:tc>
        <w:tc>
          <w:tcPr>
            <w:tcW w:type="dxa" w:w="3402"/>
            <w:vAlign w:val="top"/>
          </w:tcPr>
          <w:p>
            <w:r/>
            <w:r>
              <w:rPr>
                <w:b w:val="0"/>
                <w:sz w:val="14"/>
              </w:rPr>
              <w:t>NGX/SEC.</w:t>
            </w:r>
          </w:p>
        </w:tc>
        <w:tc>
          <w:tcPr>
            <w:tcW w:type="dxa" w:w="3402"/>
            <w:vAlign w:val="top"/>
          </w:tcPr>
          <w:p>
            <w:r/>
            <w:r>
              <w:rPr>
                <w:b w:val="0"/>
                <w:sz w:val="14"/>
              </w:rPr>
              <w:t>Distinguer NAV et prix coté.</w:t>
            </w:r>
          </w:p>
        </w:tc>
      </w:tr>
      <w:tr>
        <w:trPr>
          <w:cantSplit/>
        </w:trPr>
        <w:tc>
          <w:tcPr>
            <w:tcW w:type="dxa" w:w="1701"/>
            <w:vAlign w:val="top"/>
          </w:tcPr>
          <w:p>
            <w:r/>
            <w:r>
              <w:rPr>
                <w:b w:val="0"/>
                <w:sz w:val="14"/>
              </w:rPr>
              <w:t>DELISTING</w:t>
            </w:r>
          </w:p>
        </w:tc>
        <w:tc>
          <w:tcPr>
            <w:tcW w:type="dxa" w:w="2268"/>
            <w:vAlign w:val="top"/>
          </w:tcPr>
          <w:p>
            <w:r/>
            <w:r>
              <w:rPr>
                <w:b w:val="0"/>
                <w:sz w:val="14"/>
              </w:rPr>
              <w:t>Retrait de cote</w:t>
            </w:r>
          </w:p>
        </w:tc>
        <w:tc>
          <w:tcPr>
            <w:tcW w:type="dxa" w:w="3118"/>
            <w:vAlign w:val="top"/>
          </w:tcPr>
          <w:p>
            <w:r/>
            <w:r>
              <w:rPr>
                <w:b w:val="0"/>
                <w:sz w:val="14"/>
              </w:rPr>
              <w:t>Fin de cotation.</w:t>
            </w:r>
          </w:p>
        </w:tc>
        <w:tc>
          <w:tcPr>
            <w:tcW w:type="dxa" w:w="3402"/>
            <w:vAlign w:val="top"/>
          </w:tcPr>
          <w:p>
            <w:r/>
            <w:r>
              <w:rPr>
                <w:b w:val="0"/>
                <w:sz w:val="14"/>
              </w:rPr>
              <w:t>NGX/SEC.</w:t>
            </w:r>
          </w:p>
        </w:tc>
        <w:tc>
          <w:tcPr>
            <w:tcW w:type="dxa" w:w="3402"/>
            <w:vAlign w:val="top"/>
          </w:tcPr>
          <w:p>
            <w:r/>
            <w:r>
              <w:rPr>
                <w:b w:val="0"/>
                <w:sz w:val="14"/>
              </w:rPr>
              <w:t>Ne prouve pas liquidation du fonds.</w:t>
            </w:r>
          </w:p>
        </w:tc>
      </w:tr>
      <w:tr>
        <w:trPr>
          <w:cantSplit/>
        </w:trPr>
        <w:tc>
          <w:tcPr>
            <w:tcW w:type="dxa" w:w="1701"/>
            <w:vAlign w:val="top"/>
          </w:tcPr>
          <w:p>
            <w:r/>
            <w:r>
              <w:rPr>
                <w:b w:val="0"/>
                <w:sz w:val="14"/>
              </w:rPr>
              <w:t>REOPENING</w:t>
            </w:r>
          </w:p>
        </w:tc>
        <w:tc>
          <w:tcPr>
            <w:tcW w:type="dxa" w:w="2268"/>
            <w:vAlign w:val="top"/>
          </w:tcPr>
          <w:p>
            <w:r/>
            <w:r>
              <w:rPr>
                <w:b w:val="0"/>
                <w:sz w:val="14"/>
              </w:rPr>
              <w:t>Réouverture</w:t>
            </w:r>
          </w:p>
        </w:tc>
        <w:tc>
          <w:tcPr>
            <w:tcW w:type="dxa" w:w="3118"/>
            <w:vAlign w:val="top"/>
          </w:tcPr>
          <w:p>
            <w:r/>
            <w:r>
              <w:rPr>
                <w:b w:val="0"/>
                <w:sz w:val="14"/>
              </w:rPr>
              <w:t>Fin d’une suspension/soft close.</w:t>
            </w:r>
          </w:p>
        </w:tc>
        <w:tc>
          <w:tcPr>
            <w:tcW w:type="dxa" w:w="3402"/>
            <w:vAlign w:val="top"/>
          </w:tcPr>
          <w:p>
            <w:r/>
            <w:r>
              <w:rPr>
                <w:b w:val="0"/>
                <w:sz w:val="14"/>
              </w:rPr>
              <w:t>Notice.</w:t>
            </w:r>
          </w:p>
        </w:tc>
        <w:tc>
          <w:tcPr>
            <w:tcW w:type="dxa" w:w="3402"/>
            <w:vAlign w:val="top"/>
          </w:tcPr>
          <w:p>
            <w:r/>
            <w:r>
              <w:rPr>
                <w:b w:val="0"/>
                <w:sz w:val="14"/>
              </w:rPr>
              <w:t>Relier à l’événement précédent.</w:t>
            </w:r>
          </w:p>
        </w:tc>
      </w:tr>
    </w:tbl>
    <w:p/>
    <w:tbl>
      <w:tblPr>
        <w:tblStyle w:val="TableGrid"/>
        <w:tblW w:type="auto" w:w="0"/>
        <w:jc w:val="center"/>
        <w:tblLook w:firstColumn="1" w:firstRow="1" w:lastColumn="0" w:lastRow="0" w:noHBand="0" w:noVBand="1" w:val="04A0"/>
      </w:tblPr>
      <w:tblGrid>
        <w:gridCol w:w="6900"/>
        <w:gridCol w:w="6900"/>
      </w:tblGrid>
      <w:tr>
        <w:trPr>
          <w:tblHeader w:val="true"/>
        </w:trPr>
        <w:tc>
          <w:tcPr>
            <w:tcW w:type="dxa" w:w="2835"/>
            <w:vAlign w:val="top"/>
            <w:shd w:fill="1F4E78"/>
          </w:tcPr>
          <w:p>
            <w:r>
              <w:rPr>
                <w:color w:val="FFFFFF"/>
              </w:rPr>
            </w:r>
            <w:r>
              <w:rPr>
                <w:b/>
                <w:color w:val="FFFFFF"/>
                <w:sz w:val="16"/>
              </w:rPr>
              <w:t>Champ événement</w:t>
            </w:r>
          </w:p>
        </w:tc>
        <w:tc>
          <w:tcPr>
            <w:tcW w:type="dxa" w:w="7370"/>
            <w:vAlign w:val="top"/>
            <w:shd w:fill="1F4E78"/>
          </w:tcPr>
          <w:p>
            <w:r>
              <w:rPr>
                <w:color w:val="FFFFFF"/>
              </w:rPr>
            </w:r>
            <w:r>
              <w:rPr>
                <w:b/>
                <w:color w:val="FFFFFF"/>
                <w:sz w:val="16"/>
              </w:rPr>
              <w:t>Règle</w:t>
            </w:r>
          </w:p>
        </w:tc>
      </w:tr>
      <w:tr>
        <w:trPr>
          <w:cantSplit/>
        </w:trPr>
        <w:tc>
          <w:tcPr>
            <w:tcW w:type="dxa" w:w="2835"/>
            <w:vAlign w:val="top"/>
          </w:tcPr>
          <w:p>
            <w:r/>
            <w:r>
              <w:rPr>
                <w:b w:val="0"/>
                <w:sz w:val="16"/>
              </w:rPr>
              <w:t>event_id</w:t>
            </w:r>
          </w:p>
        </w:tc>
        <w:tc>
          <w:tcPr>
            <w:tcW w:type="dxa" w:w="7370"/>
            <w:vAlign w:val="top"/>
          </w:tcPr>
          <w:p>
            <w:r/>
            <w:r>
              <w:rPr>
                <w:b w:val="0"/>
                <w:sz w:val="16"/>
              </w:rPr>
              <w:t>UUID immuable.</w:t>
            </w:r>
          </w:p>
        </w:tc>
      </w:tr>
      <w:tr>
        <w:trPr>
          <w:cantSplit/>
        </w:trPr>
        <w:tc>
          <w:tcPr>
            <w:tcW w:type="dxa" w:w="2835"/>
            <w:vAlign w:val="top"/>
          </w:tcPr>
          <w:p>
            <w:r/>
            <w:r>
              <w:rPr>
                <w:b w:val="0"/>
                <w:sz w:val="16"/>
              </w:rPr>
              <w:t>fund_id</w:t>
            </w:r>
          </w:p>
        </w:tc>
        <w:tc>
          <w:tcPr>
            <w:tcW w:type="dxa" w:w="7370"/>
            <w:vAlign w:val="top"/>
          </w:tcPr>
          <w:p>
            <w:r/>
            <w:r>
              <w:rPr>
                <w:b w:val="0"/>
                <w:sz w:val="16"/>
              </w:rPr>
              <w:t>Fonds juridique concerné.</w:t>
            </w:r>
          </w:p>
        </w:tc>
      </w:tr>
      <w:tr>
        <w:trPr>
          <w:cantSplit/>
        </w:trPr>
        <w:tc>
          <w:tcPr>
            <w:tcW w:type="dxa" w:w="2835"/>
            <w:vAlign w:val="top"/>
          </w:tcPr>
          <w:p>
            <w:r/>
            <w:r>
              <w:rPr>
                <w:b w:val="0"/>
                <w:sz w:val="16"/>
              </w:rPr>
              <w:t>share_class_id</w:t>
            </w:r>
          </w:p>
        </w:tc>
        <w:tc>
          <w:tcPr>
            <w:tcW w:type="dxa" w:w="7370"/>
            <w:vAlign w:val="top"/>
          </w:tcPr>
          <w:p>
            <w:r/>
            <w:r>
              <w:rPr>
                <w:b w:val="0"/>
                <w:sz w:val="16"/>
              </w:rPr>
              <w:t>Classe si événement limité.</w:t>
            </w:r>
          </w:p>
        </w:tc>
      </w:tr>
      <w:tr>
        <w:trPr>
          <w:cantSplit/>
        </w:trPr>
        <w:tc>
          <w:tcPr>
            <w:tcW w:type="dxa" w:w="2835"/>
            <w:vAlign w:val="top"/>
          </w:tcPr>
          <w:p>
            <w:r/>
            <w:r>
              <w:rPr>
                <w:b w:val="0"/>
                <w:sz w:val="16"/>
              </w:rPr>
              <w:t>event_type</w:t>
            </w:r>
          </w:p>
        </w:tc>
        <w:tc>
          <w:tcPr>
            <w:tcW w:type="dxa" w:w="7370"/>
            <w:vAlign w:val="top"/>
          </w:tcPr>
          <w:p>
            <w:r/>
            <w:r>
              <w:rPr>
                <w:b w:val="0"/>
                <w:sz w:val="16"/>
              </w:rPr>
              <w:t>Code contrôlé.</w:t>
            </w:r>
          </w:p>
        </w:tc>
      </w:tr>
      <w:tr>
        <w:trPr>
          <w:cantSplit/>
        </w:trPr>
        <w:tc>
          <w:tcPr>
            <w:tcW w:type="dxa" w:w="2835"/>
            <w:vAlign w:val="top"/>
          </w:tcPr>
          <w:p>
            <w:r/>
            <w:r>
              <w:rPr>
                <w:b w:val="0"/>
                <w:sz w:val="16"/>
              </w:rPr>
              <w:t>announcement_date</w:t>
            </w:r>
          </w:p>
        </w:tc>
        <w:tc>
          <w:tcPr>
            <w:tcW w:type="dxa" w:w="7370"/>
            <w:vAlign w:val="top"/>
          </w:tcPr>
          <w:p>
            <w:r/>
            <w:r>
              <w:rPr>
                <w:b w:val="0"/>
                <w:sz w:val="16"/>
              </w:rPr>
              <w:t>Date d’annonce.</w:t>
            </w:r>
          </w:p>
        </w:tc>
      </w:tr>
      <w:tr>
        <w:trPr>
          <w:cantSplit/>
        </w:trPr>
        <w:tc>
          <w:tcPr>
            <w:tcW w:type="dxa" w:w="2835"/>
            <w:vAlign w:val="top"/>
          </w:tcPr>
          <w:p>
            <w:r/>
            <w:r>
              <w:rPr>
                <w:b w:val="0"/>
                <w:sz w:val="16"/>
              </w:rPr>
              <w:t>effective_date</w:t>
            </w:r>
          </w:p>
        </w:tc>
        <w:tc>
          <w:tcPr>
            <w:tcW w:type="dxa" w:w="7370"/>
            <w:vAlign w:val="top"/>
          </w:tcPr>
          <w:p>
            <w:r/>
            <w:r>
              <w:rPr>
                <w:b w:val="0"/>
                <w:sz w:val="16"/>
              </w:rPr>
              <w:t>Date d’effet.</w:t>
            </w:r>
          </w:p>
        </w:tc>
      </w:tr>
      <w:tr>
        <w:trPr>
          <w:cantSplit/>
        </w:trPr>
        <w:tc>
          <w:tcPr>
            <w:tcW w:type="dxa" w:w="2835"/>
            <w:vAlign w:val="top"/>
          </w:tcPr>
          <w:p>
            <w:r/>
            <w:r>
              <w:rPr>
                <w:b w:val="0"/>
                <w:sz w:val="16"/>
              </w:rPr>
              <w:t>end_date</w:t>
            </w:r>
          </w:p>
        </w:tc>
        <w:tc>
          <w:tcPr>
            <w:tcW w:type="dxa" w:w="7370"/>
            <w:vAlign w:val="top"/>
          </w:tcPr>
          <w:p>
            <w:r/>
            <w:r>
              <w:rPr>
                <w:b w:val="0"/>
                <w:sz w:val="16"/>
              </w:rPr>
              <w:t>Fin, si temporaire.</w:t>
            </w:r>
          </w:p>
        </w:tc>
      </w:tr>
      <w:tr>
        <w:trPr>
          <w:cantSplit/>
        </w:trPr>
        <w:tc>
          <w:tcPr>
            <w:tcW w:type="dxa" w:w="2835"/>
            <w:vAlign w:val="top"/>
          </w:tcPr>
          <w:p>
            <w:r/>
            <w:r>
              <w:rPr>
                <w:b w:val="0"/>
                <w:sz w:val="16"/>
              </w:rPr>
              <w:t>date_precision</w:t>
            </w:r>
          </w:p>
        </w:tc>
        <w:tc>
          <w:tcPr>
            <w:tcW w:type="dxa" w:w="7370"/>
            <w:vAlign w:val="top"/>
          </w:tcPr>
          <w:p>
            <w:r/>
            <w:r>
              <w:rPr>
                <w:b w:val="0"/>
                <w:sz w:val="16"/>
              </w:rPr>
              <w:t>day/month/year, month/year, year, unknown.</w:t>
            </w:r>
          </w:p>
        </w:tc>
      </w:tr>
      <w:tr>
        <w:trPr>
          <w:cantSplit/>
        </w:trPr>
        <w:tc>
          <w:tcPr>
            <w:tcW w:type="dxa" w:w="2835"/>
            <w:vAlign w:val="top"/>
          </w:tcPr>
          <w:p>
            <w:r/>
            <w:r>
              <w:rPr>
                <w:b w:val="0"/>
                <w:sz w:val="16"/>
              </w:rPr>
              <w:t>pre_state</w:t>
            </w:r>
          </w:p>
        </w:tc>
        <w:tc>
          <w:tcPr>
            <w:tcW w:type="dxa" w:w="7370"/>
            <w:vAlign w:val="top"/>
          </w:tcPr>
          <w:p>
            <w:r/>
            <w:r>
              <w:rPr>
                <w:b w:val="0"/>
                <w:sz w:val="16"/>
              </w:rPr>
              <w:t>État avant.</w:t>
            </w:r>
          </w:p>
        </w:tc>
      </w:tr>
      <w:tr>
        <w:trPr>
          <w:cantSplit/>
        </w:trPr>
        <w:tc>
          <w:tcPr>
            <w:tcW w:type="dxa" w:w="2835"/>
            <w:vAlign w:val="top"/>
          </w:tcPr>
          <w:p>
            <w:r/>
            <w:r>
              <w:rPr>
                <w:b w:val="0"/>
                <w:sz w:val="16"/>
              </w:rPr>
              <w:t>post_state</w:t>
            </w:r>
          </w:p>
        </w:tc>
        <w:tc>
          <w:tcPr>
            <w:tcW w:type="dxa" w:w="7370"/>
            <w:vAlign w:val="top"/>
          </w:tcPr>
          <w:p>
            <w:r/>
            <w:r>
              <w:rPr>
                <w:b w:val="0"/>
                <w:sz w:val="16"/>
              </w:rPr>
              <w:t>État après.</w:t>
            </w:r>
          </w:p>
        </w:tc>
      </w:tr>
      <w:tr>
        <w:trPr>
          <w:cantSplit/>
        </w:trPr>
        <w:tc>
          <w:tcPr>
            <w:tcW w:type="dxa" w:w="2835"/>
            <w:vAlign w:val="top"/>
          </w:tcPr>
          <w:p>
            <w:r/>
            <w:r>
              <w:rPr>
                <w:b w:val="0"/>
                <w:sz w:val="16"/>
              </w:rPr>
              <w:t>source_document_id</w:t>
            </w:r>
          </w:p>
        </w:tc>
        <w:tc>
          <w:tcPr>
            <w:tcW w:type="dxa" w:w="7370"/>
            <w:vAlign w:val="top"/>
          </w:tcPr>
          <w:p>
            <w:r/>
            <w:r>
              <w:rPr>
                <w:b w:val="0"/>
                <w:sz w:val="16"/>
              </w:rPr>
              <w:t>Document primaire.</w:t>
            </w:r>
          </w:p>
        </w:tc>
      </w:tr>
      <w:tr>
        <w:trPr>
          <w:cantSplit/>
        </w:trPr>
        <w:tc>
          <w:tcPr>
            <w:tcW w:type="dxa" w:w="2835"/>
            <w:vAlign w:val="top"/>
          </w:tcPr>
          <w:p>
            <w:r/>
            <w:r>
              <w:rPr>
                <w:b w:val="0"/>
                <w:sz w:val="16"/>
              </w:rPr>
              <w:t>source_page</w:t>
            </w:r>
          </w:p>
        </w:tc>
        <w:tc>
          <w:tcPr>
            <w:tcW w:type="dxa" w:w="7370"/>
            <w:vAlign w:val="top"/>
          </w:tcPr>
          <w:p>
            <w:r/>
            <w:r>
              <w:rPr>
                <w:b w:val="0"/>
                <w:sz w:val="16"/>
              </w:rPr>
              <w:t>Page/section exacte.</w:t>
            </w:r>
          </w:p>
        </w:tc>
      </w:tr>
      <w:tr>
        <w:trPr>
          <w:cantSplit/>
        </w:trPr>
        <w:tc>
          <w:tcPr>
            <w:tcW w:type="dxa" w:w="2835"/>
            <w:vAlign w:val="top"/>
          </w:tcPr>
          <w:p>
            <w:r/>
            <w:r>
              <w:rPr>
                <w:b w:val="0"/>
                <w:sz w:val="16"/>
              </w:rPr>
              <w:t>quote_excerpt</w:t>
            </w:r>
          </w:p>
        </w:tc>
        <w:tc>
          <w:tcPr>
            <w:tcW w:type="dxa" w:w="7370"/>
            <w:vAlign w:val="top"/>
          </w:tcPr>
          <w:p>
            <w:r/>
            <w:r>
              <w:rPr>
                <w:b w:val="0"/>
                <w:sz w:val="16"/>
              </w:rPr>
              <w:t>Court extrait probant, dans les limites de citation.</w:t>
            </w:r>
          </w:p>
        </w:tc>
      </w:tr>
      <w:tr>
        <w:trPr>
          <w:cantSplit/>
        </w:trPr>
        <w:tc>
          <w:tcPr>
            <w:tcW w:type="dxa" w:w="2835"/>
            <w:vAlign w:val="top"/>
          </w:tcPr>
          <w:p>
            <w:r/>
            <w:r>
              <w:rPr>
                <w:b w:val="0"/>
                <w:sz w:val="16"/>
              </w:rPr>
              <w:t>confidence</w:t>
            </w:r>
          </w:p>
        </w:tc>
        <w:tc>
          <w:tcPr>
            <w:tcW w:type="dxa" w:w="7370"/>
            <w:vAlign w:val="top"/>
          </w:tcPr>
          <w:p>
            <w:r/>
            <w:r>
              <w:rPr>
                <w:b w:val="0"/>
                <w:sz w:val="16"/>
              </w:rPr>
              <w:t>Score et justification.</w:t>
            </w:r>
          </w:p>
        </w:tc>
      </w:tr>
      <w:tr>
        <w:trPr>
          <w:cantSplit/>
        </w:trPr>
        <w:tc>
          <w:tcPr>
            <w:tcW w:type="dxa" w:w="2835"/>
            <w:vAlign w:val="top"/>
          </w:tcPr>
          <w:p>
            <w:r/>
            <w:r>
              <w:rPr>
                <w:b w:val="0"/>
                <w:sz w:val="16"/>
              </w:rPr>
              <w:t>review_status</w:t>
            </w:r>
          </w:p>
        </w:tc>
        <w:tc>
          <w:tcPr>
            <w:tcW w:type="dxa" w:w="7370"/>
            <w:vAlign w:val="top"/>
          </w:tcPr>
          <w:p>
            <w:r/>
            <w:r>
              <w:rPr>
                <w:b w:val="0"/>
                <w:sz w:val="16"/>
              </w:rPr>
              <w:t>Proposé, confirmé, rejeté.</w:t>
            </w:r>
          </w:p>
        </w:tc>
      </w:tr>
      <w:tr>
        <w:trPr>
          <w:cantSplit/>
        </w:trPr>
        <w:tc>
          <w:tcPr>
            <w:tcW w:type="dxa" w:w="2835"/>
            <w:vAlign w:val="top"/>
          </w:tcPr>
          <w:p>
            <w:r/>
            <w:r>
              <w:rPr>
                <w:b w:val="0"/>
                <w:sz w:val="16"/>
              </w:rPr>
              <w:t>notes</w:t>
            </w:r>
          </w:p>
        </w:tc>
        <w:tc>
          <w:tcPr>
            <w:tcW w:type="dxa" w:w="7370"/>
            <w:vAlign w:val="top"/>
          </w:tcPr>
          <w:p>
            <w:r/>
            <w:r>
              <w:rPr>
                <w:b w:val="0"/>
                <w:sz w:val="16"/>
              </w:rPr>
              <w:t>Conflits et réserves.</w:t>
            </w:r>
          </w:p>
        </w:tc>
      </w:tr>
    </w:tbl>
    <w:p/>
    <w:p>
      <w:pPr>
        <w:sectPr>
          <w:pgSz w:w="15840" w:h="12240"/>
          <w:pgMar w:top="1020" w:right="1020" w:bottom="1020" w:left="1020" w:header="397" w:footer="397" w:gutter="0"/>
          <w:cols w:space="720"/>
          <w:docGrid w:linePitch="360"/>
        </w:sectPr>
      </w:pPr>
    </w:p>
    <w:p>
      <w:pPr>
        <w:pStyle w:val="Heading1"/>
      </w:pPr>
      <w:r>
        <w:t>PARTIE XXIII — MATRICE DE COLLECTE PAR FAMILLE DE DOCUMENTS</w:t>
      </w:r>
    </w:p>
    <w:p>
      <w:r>
        <w:t>Chaque document doit être exploité selon ce qu’il peut réellement prouver. La matrice suivante évite de remplir une cellule avec une source qui n’a pas l’autorité nécessaire.</w:t>
      </w:r>
    </w:p>
    <w:tbl>
      <w:tblPr>
        <w:tblStyle w:val="TableGrid"/>
        <w:tblW w:type="auto" w:w="0"/>
        <w:jc w:val="center"/>
        <w:tblLook w:firstColumn="1" w:firstRow="1" w:lastColumn="0" w:lastRow="0" w:noHBand="0" w:noVBand="1" w:val="04A0"/>
      </w:tblPr>
      <w:tblGrid>
        <w:gridCol w:w="3589"/>
        <w:gridCol w:w="3589"/>
        <w:gridCol w:w="3589"/>
      </w:tblGrid>
      <w:tr>
        <w:trPr>
          <w:tblHeader w:val="true"/>
        </w:trPr>
        <w:tc>
          <w:tcPr>
            <w:tcW w:type="dxa" w:w="2835"/>
            <w:vAlign w:val="top"/>
            <w:shd w:fill="1F4E78"/>
          </w:tcPr>
          <w:p>
            <w:r>
              <w:rPr>
                <w:color w:val="FFFFFF"/>
              </w:rPr>
            </w:r>
            <w:r>
              <w:rPr>
                <w:b/>
                <w:color w:val="FFFFFF"/>
                <w:sz w:val="14"/>
              </w:rPr>
              <w:t>Type de document</w:t>
            </w:r>
          </w:p>
        </w:tc>
        <w:tc>
          <w:tcPr>
            <w:tcW w:type="dxa" w:w="7370"/>
            <w:vAlign w:val="top"/>
            <w:shd w:fill="1F4E78"/>
          </w:tcPr>
          <w:p>
            <w:r>
              <w:rPr>
                <w:color w:val="FFFFFF"/>
              </w:rPr>
            </w:r>
            <w:r>
              <w:rPr>
                <w:b/>
                <w:color w:val="FFFFFF"/>
                <w:sz w:val="14"/>
              </w:rPr>
              <w:t>Champs soutenus</w:t>
            </w:r>
          </w:p>
        </w:tc>
        <w:tc>
          <w:tcPr>
            <w:tcW w:type="dxa" w:w="6803"/>
            <w:vAlign w:val="top"/>
            <w:shd w:fill="1F4E78"/>
          </w:tcPr>
          <w:p>
            <w:r>
              <w:rPr>
                <w:color w:val="FFFFFF"/>
              </w:rPr>
            </w:r>
            <w:r>
              <w:rPr>
                <w:b/>
                <w:color w:val="FFFFFF"/>
                <w:sz w:val="14"/>
              </w:rPr>
              <w:t>Risques / contrôles</w:t>
            </w:r>
          </w:p>
        </w:tc>
      </w:tr>
      <w:tr>
        <w:trPr>
          <w:cantSplit/>
        </w:trPr>
        <w:tc>
          <w:tcPr>
            <w:tcW w:type="dxa" w:w="2835"/>
            <w:vAlign w:val="top"/>
          </w:tcPr>
          <w:p>
            <w:r/>
            <w:r>
              <w:rPr>
                <w:b w:val="0"/>
                <w:sz w:val="14"/>
              </w:rPr>
              <w:t>SEC Weekly NAV XLS/XLSX</w:t>
            </w:r>
          </w:p>
        </w:tc>
        <w:tc>
          <w:tcPr>
            <w:tcW w:type="dxa" w:w="7370"/>
            <w:vAlign w:val="top"/>
          </w:tcPr>
          <w:p>
            <w:r/>
            <w:r>
              <w:rPr>
                <w:b w:val="0"/>
                <w:sz w:val="14"/>
              </w:rPr>
              <w:t>Nom publié, date de valeur, NAV, Unit Price, Bid, Offer, devise, gestionnaire/catégorie selon format.</w:t>
            </w:r>
          </w:p>
        </w:tc>
        <w:tc>
          <w:tcPr>
            <w:tcW w:type="dxa" w:w="6803"/>
            <w:vAlign w:val="top"/>
          </w:tcPr>
          <w:p>
            <w:r/>
            <w:r>
              <w:rPr>
                <w:b w:val="0"/>
                <w:sz w:val="14"/>
              </w:rPr>
              <w:t>Structure de feuille variable; en-têtes multi-niveaux; deux blocs de dates; formules; totaux.</w:t>
            </w:r>
          </w:p>
        </w:tc>
      </w:tr>
      <w:tr>
        <w:trPr>
          <w:cantSplit/>
        </w:trPr>
        <w:tc>
          <w:tcPr>
            <w:tcW w:type="dxa" w:w="2835"/>
            <w:vAlign w:val="top"/>
          </w:tcPr>
          <w:p>
            <w:r/>
            <w:r>
              <w:rPr>
                <w:b w:val="0"/>
                <w:sz w:val="14"/>
              </w:rPr>
              <w:t>SEC Monthly CIS XLSX</w:t>
            </w:r>
          </w:p>
        </w:tc>
        <w:tc>
          <w:tcPr>
            <w:tcW w:type="dxa" w:w="7370"/>
            <w:vAlign w:val="top"/>
          </w:tcPr>
          <w:p>
            <w:r/>
            <w:r>
              <w:rPr>
                <w:b w:val="0"/>
                <w:sz w:val="14"/>
              </w:rPr>
              <w:t>Photographie des fonds, gestionnaires, actifs, prix, unités, porteurs, ratios.</w:t>
            </w:r>
          </w:p>
        </w:tc>
        <w:tc>
          <w:tcPr>
            <w:tcW w:type="dxa" w:w="6803"/>
            <w:vAlign w:val="top"/>
          </w:tcPr>
          <w:p>
            <w:r/>
            <w:r>
              <w:rPr>
                <w:b w:val="0"/>
                <w:sz w:val="14"/>
              </w:rPr>
              <w:t>Catégories et libellés non harmonisés; valeurs mensuelles ne remplacent pas l’historique hebdomadaire.</w:t>
            </w:r>
          </w:p>
        </w:tc>
      </w:tr>
      <w:tr>
        <w:trPr>
          <w:cantSplit/>
        </w:trPr>
        <w:tc>
          <w:tcPr>
            <w:tcW w:type="dxa" w:w="2835"/>
            <w:vAlign w:val="top"/>
          </w:tcPr>
          <w:p>
            <w:r/>
            <w:r>
              <w:rPr>
                <w:b w:val="0"/>
                <w:sz w:val="14"/>
              </w:rPr>
              <w:t>SEC Monthly ETF</w:t>
            </w:r>
          </w:p>
        </w:tc>
        <w:tc>
          <w:tcPr>
            <w:tcW w:type="dxa" w:w="7370"/>
            <w:vAlign w:val="top"/>
          </w:tcPr>
          <w:p>
            <w:r/>
            <w:r>
              <w:rPr>
                <w:b w:val="0"/>
                <w:sz w:val="14"/>
              </w:rPr>
              <w:t>NAV ETF, actifs, unités et données publiées.</w:t>
            </w:r>
          </w:p>
        </w:tc>
        <w:tc>
          <w:tcPr>
            <w:tcW w:type="dxa" w:w="6803"/>
            <w:vAlign w:val="top"/>
          </w:tcPr>
          <w:p>
            <w:r/>
            <w:r>
              <w:rPr>
                <w:b w:val="0"/>
                <w:sz w:val="14"/>
              </w:rPr>
              <w:t>Croiser avec prix NGX pour premium/discount.</w:t>
            </w:r>
          </w:p>
        </w:tc>
      </w:tr>
      <w:tr>
        <w:trPr>
          <w:cantSplit/>
        </w:trPr>
        <w:tc>
          <w:tcPr>
            <w:tcW w:type="dxa" w:w="2835"/>
            <w:vAlign w:val="top"/>
          </w:tcPr>
          <w:p>
            <w:r/>
            <w:r>
              <w:rPr>
                <w:b w:val="0"/>
                <w:sz w:val="14"/>
              </w:rPr>
              <w:t>Registered Operators</w:t>
            </w:r>
          </w:p>
        </w:tc>
        <w:tc>
          <w:tcPr>
            <w:tcW w:type="dxa" w:w="7370"/>
            <w:vAlign w:val="top"/>
          </w:tcPr>
          <w:p>
            <w:r/>
            <w:r>
              <w:rPr>
                <w:b w:val="0"/>
                <w:sz w:val="14"/>
              </w:rPr>
              <w:t>Nom d’opérateur, fonction, CAC, statut, registration date, dirigeants, coordonnées.</w:t>
            </w:r>
          </w:p>
        </w:tc>
        <w:tc>
          <w:tcPr>
            <w:tcW w:type="dxa" w:w="6803"/>
            <w:vAlign w:val="top"/>
          </w:tcPr>
          <w:p>
            <w:r/>
            <w:r>
              <w:rPr>
                <w:b w:val="0"/>
                <w:sz w:val="14"/>
              </w:rPr>
              <w:t>Snapshot daté; l’interface peut évoluer; archiver chaque capture.</w:t>
            </w:r>
          </w:p>
        </w:tc>
      </w:tr>
      <w:tr>
        <w:trPr>
          <w:cantSplit/>
        </w:trPr>
        <w:tc>
          <w:tcPr>
            <w:tcW w:type="dxa" w:w="2835"/>
            <w:vAlign w:val="top"/>
          </w:tcPr>
          <w:p>
            <w:r/>
            <w:r>
              <w:rPr>
                <w:b w:val="0"/>
                <w:sz w:val="14"/>
              </w:rPr>
              <w:t>Prospectus initial</w:t>
            </w:r>
          </w:p>
        </w:tc>
        <w:tc>
          <w:tcPr>
            <w:tcW w:type="dxa" w:w="7370"/>
            <w:vAlign w:val="top"/>
          </w:tcPr>
          <w:p>
            <w:r/>
            <w:r>
              <w:rPr>
                <w:b w:val="0"/>
                <w:sz w:val="14"/>
              </w:rPr>
              <w:t>Nom légal, lancement, prix initial, objectif, benchmark, frais, acteurs, devise, opérations.</w:t>
            </w:r>
          </w:p>
        </w:tc>
        <w:tc>
          <w:tcPr>
            <w:tcW w:type="dxa" w:w="6803"/>
            <w:vAlign w:val="top"/>
          </w:tcPr>
          <w:p>
            <w:r/>
            <w:r>
              <w:rPr>
                <w:b w:val="0"/>
                <w:sz w:val="14"/>
              </w:rPr>
              <w:t>Vérifier version, date d’approbation et fonds exact.</w:t>
            </w:r>
          </w:p>
        </w:tc>
      </w:tr>
      <w:tr>
        <w:trPr>
          <w:cantSplit/>
        </w:trPr>
        <w:tc>
          <w:tcPr>
            <w:tcW w:type="dxa" w:w="2835"/>
            <w:vAlign w:val="top"/>
          </w:tcPr>
          <w:p>
            <w:r/>
            <w:r>
              <w:rPr>
                <w:b w:val="0"/>
                <w:sz w:val="14"/>
              </w:rPr>
              <w:t>Supplemental prospectus</w:t>
            </w:r>
          </w:p>
        </w:tc>
        <w:tc>
          <w:tcPr>
            <w:tcW w:type="dxa" w:w="7370"/>
            <w:vAlign w:val="top"/>
          </w:tcPr>
          <w:p>
            <w:r/>
            <w:r>
              <w:rPr>
                <w:b w:val="0"/>
                <w:sz w:val="14"/>
              </w:rPr>
              <w:t>Changements de nom, frais, gestionnaire, acteurs, objectif, benchmark.</w:t>
            </w:r>
          </w:p>
        </w:tc>
        <w:tc>
          <w:tcPr>
            <w:tcW w:type="dxa" w:w="6803"/>
            <w:vAlign w:val="top"/>
          </w:tcPr>
          <w:p>
            <w:r/>
            <w:r>
              <w:rPr>
                <w:b w:val="0"/>
                <w:sz w:val="14"/>
              </w:rPr>
              <w:t>Relier au prospectus de base et à la date d’effet.</w:t>
            </w:r>
          </w:p>
        </w:tc>
      </w:tr>
      <w:tr>
        <w:trPr>
          <w:cantSplit/>
        </w:trPr>
        <w:tc>
          <w:tcPr>
            <w:tcW w:type="dxa" w:w="2835"/>
            <w:vAlign w:val="top"/>
          </w:tcPr>
          <w:p>
            <w:r/>
            <w:r>
              <w:rPr>
                <w:b w:val="0"/>
                <w:sz w:val="14"/>
              </w:rPr>
              <w:t>Trust deed</w:t>
            </w:r>
          </w:p>
        </w:tc>
        <w:tc>
          <w:tcPr>
            <w:tcW w:type="dxa" w:w="7370"/>
            <w:vAlign w:val="top"/>
          </w:tcPr>
          <w:p>
            <w:r/>
            <w:r>
              <w:rPr>
                <w:b w:val="0"/>
                <w:sz w:val="14"/>
              </w:rPr>
              <w:t>Structure juridique, droits, trustee, règles de termination.</w:t>
            </w:r>
          </w:p>
        </w:tc>
        <w:tc>
          <w:tcPr>
            <w:tcW w:type="dxa" w:w="6803"/>
            <w:vAlign w:val="top"/>
          </w:tcPr>
          <w:p>
            <w:r/>
            <w:r>
              <w:rPr>
                <w:b w:val="0"/>
                <w:sz w:val="14"/>
              </w:rPr>
              <w:t>Parfois non public; page juridique complexe.</w:t>
            </w:r>
          </w:p>
        </w:tc>
      </w:tr>
      <w:tr>
        <w:trPr>
          <w:cantSplit/>
        </w:trPr>
        <w:tc>
          <w:tcPr>
            <w:tcW w:type="dxa" w:w="2835"/>
            <w:vAlign w:val="top"/>
          </w:tcPr>
          <w:p>
            <w:r/>
            <w:r>
              <w:rPr>
                <w:b w:val="0"/>
                <w:sz w:val="14"/>
              </w:rPr>
              <w:t>Factsheet mensuelle</w:t>
            </w:r>
          </w:p>
        </w:tc>
        <w:tc>
          <w:tcPr>
            <w:tcW w:type="dxa" w:w="7370"/>
            <w:vAlign w:val="top"/>
          </w:tcPr>
          <w:p>
            <w:r/>
            <w:r>
              <w:rPr>
                <w:b w:val="0"/>
                <w:sz w:val="14"/>
              </w:rPr>
              <w:t>Performance, AUM, prix, allocation, benchmark, minimum, contacts.</w:t>
            </w:r>
          </w:p>
        </w:tc>
        <w:tc>
          <w:tcPr>
            <w:tcW w:type="dxa" w:w="6803"/>
            <w:vAlign w:val="top"/>
          </w:tcPr>
          <w:p>
            <w:r/>
            <w:r>
              <w:rPr>
                <w:b w:val="0"/>
                <w:sz w:val="14"/>
              </w:rPr>
              <w:t>Document marketing; données valables à la date; changements possibles.</w:t>
            </w:r>
          </w:p>
        </w:tc>
      </w:tr>
      <w:tr>
        <w:trPr>
          <w:cantSplit/>
        </w:trPr>
        <w:tc>
          <w:tcPr>
            <w:tcW w:type="dxa" w:w="2835"/>
            <w:vAlign w:val="top"/>
          </w:tcPr>
          <w:p>
            <w:r/>
            <w:r>
              <w:rPr>
                <w:b w:val="0"/>
                <w:sz w:val="14"/>
              </w:rPr>
              <w:t>Rapport annuel audité</w:t>
            </w:r>
          </w:p>
        </w:tc>
        <w:tc>
          <w:tcPr>
            <w:tcW w:type="dxa" w:w="7370"/>
            <w:vAlign w:val="top"/>
          </w:tcPr>
          <w:p>
            <w:r/>
            <w:r>
              <w:rPr>
                <w:b w:val="0"/>
                <w:sz w:val="14"/>
              </w:rPr>
              <w:t>États financiers, distributions, actifs, événements, auditeur, parties liées.</w:t>
            </w:r>
          </w:p>
        </w:tc>
        <w:tc>
          <w:tcPr>
            <w:tcW w:type="dxa" w:w="6803"/>
            <w:vAlign w:val="top"/>
          </w:tcPr>
          <w:p>
            <w:r/>
            <w:r>
              <w:rPr>
                <w:b w:val="0"/>
                <w:sz w:val="14"/>
              </w:rPr>
              <w:t>Date de clôture différente de publication; unités et devises.</w:t>
            </w:r>
          </w:p>
        </w:tc>
      </w:tr>
      <w:tr>
        <w:trPr>
          <w:cantSplit/>
        </w:trPr>
        <w:tc>
          <w:tcPr>
            <w:tcW w:type="dxa" w:w="2835"/>
            <w:vAlign w:val="top"/>
          </w:tcPr>
          <w:p>
            <w:r/>
            <w:r>
              <w:rPr>
                <w:b w:val="0"/>
                <w:sz w:val="14"/>
              </w:rPr>
              <w:t>Notice/communiqué officiel</w:t>
            </w:r>
          </w:p>
        </w:tc>
        <w:tc>
          <w:tcPr>
            <w:tcW w:type="dxa" w:w="7370"/>
            <w:vAlign w:val="top"/>
          </w:tcPr>
          <w:p>
            <w:r/>
            <w:r>
              <w:rPr>
                <w:b w:val="0"/>
                <w:sz w:val="14"/>
              </w:rPr>
              <w:t>Événement précis et date.</w:t>
            </w:r>
          </w:p>
        </w:tc>
        <w:tc>
          <w:tcPr>
            <w:tcW w:type="dxa" w:w="6803"/>
            <w:vAlign w:val="top"/>
          </w:tcPr>
          <w:p>
            <w:r/>
            <w:r>
              <w:rPr>
                <w:b w:val="0"/>
                <w:sz w:val="14"/>
              </w:rPr>
              <w:t>Conserver texte intégral et vérifier autorité de l’émetteur.</w:t>
            </w:r>
          </w:p>
        </w:tc>
      </w:tr>
      <w:tr>
        <w:trPr>
          <w:cantSplit/>
        </w:trPr>
        <w:tc>
          <w:tcPr>
            <w:tcW w:type="dxa" w:w="2835"/>
            <w:vAlign w:val="top"/>
          </w:tcPr>
          <w:p>
            <w:r/>
            <w:r>
              <w:rPr>
                <w:b w:val="0"/>
                <w:sz w:val="14"/>
              </w:rPr>
              <w:t>NGX</w:t>
            </w:r>
          </w:p>
        </w:tc>
        <w:tc>
          <w:tcPr>
            <w:tcW w:type="dxa" w:w="7370"/>
            <w:vAlign w:val="top"/>
          </w:tcPr>
          <w:p>
            <w:r/>
            <w:r>
              <w:rPr>
                <w:b w:val="0"/>
                <w:sz w:val="14"/>
              </w:rPr>
              <w:t>Cours, cotation, ISIN, listing/delisting, annonces pour ETF/REIT/CEF.</w:t>
            </w:r>
          </w:p>
        </w:tc>
        <w:tc>
          <w:tcPr>
            <w:tcW w:type="dxa" w:w="6803"/>
            <w:vAlign w:val="top"/>
          </w:tcPr>
          <w:p>
            <w:r/>
            <w:r>
              <w:rPr>
                <w:b w:val="0"/>
                <w:sz w:val="14"/>
              </w:rPr>
              <w:t>Cours de marché ≠ NAV.</w:t>
            </w:r>
          </w:p>
        </w:tc>
      </w:tr>
      <w:tr>
        <w:trPr>
          <w:cantSplit/>
        </w:trPr>
        <w:tc>
          <w:tcPr>
            <w:tcW w:type="dxa" w:w="2835"/>
            <w:vAlign w:val="top"/>
          </w:tcPr>
          <w:p>
            <w:r/>
            <w:r>
              <w:rPr>
                <w:b w:val="0"/>
                <w:sz w:val="14"/>
              </w:rPr>
              <w:t>FMDQ/CBN/DMO</w:t>
            </w:r>
          </w:p>
        </w:tc>
        <w:tc>
          <w:tcPr>
            <w:tcW w:type="dxa" w:w="7370"/>
            <w:vAlign w:val="top"/>
          </w:tcPr>
          <w:p>
            <w:r/>
            <w:r>
              <w:rPr>
                <w:b w:val="0"/>
                <w:sz w:val="14"/>
              </w:rPr>
              <w:t>Taux, courbes, références fixed income et FX.</w:t>
            </w:r>
          </w:p>
        </w:tc>
        <w:tc>
          <w:tcPr>
            <w:tcW w:type="dxa" w:w="6803"/>
            <w:vAlign w:val="top"/>
          </w:tcPr>
          <w:p>
            <w:r/>
            <w:r>
              <w:rPr>
                <w:b w:val="0"/>
                <w:sz w:val="14"/>
              </w:rPr>
              <w:t>Définition et convention de taux obligatoires.</w:t>
            </w:r>
          </w:p>
        </w:tc>
      </w:tr>
      <w:tr>
        <w:trPr>
          <w:cantSplit/>
        </w:trPr>
        <w:tc>
          <w:tcPr>
            <w:tcW w:type="dxa" w:w="2835"/>
            <w:vAlign w:val="top"/>
          </w:tcPr>
          <w:p>
            <w:r/>
            <w:r>
              <w:rPr>
                <w:b w:val="0"/>
                <w:sz w:val="14"/>
              </w:rPr>
              <w:t>CAC/CSCS LEI</w:t>
            </w:r>
          </w:p>
        </w:tc>
        <w:tc>
          <w:tcPr>
            <w:tcW w:type="dxa" w:w="7370"/>
            <w:vAlign w:val="top"/>
          </w:tcPr>
          <w:p>
            <w:r/>
            <w:r>
              <w:rPr>
                <w:b w:val="0"/>
                <w:sz w:val="14"/>
              </w:rPr>
              <w:t>Nom légal, RC/LEI, statut d’entité.</w:t>
            </w:r>
          </w:p>
        </w:tc>
        <w:tc>
          <w:tcPr>
            <w:tcW w:type="dxa" w:w="6803"/>
            <w:vAlign w:val="top"/>
          </w:tcPr>
          <w:p>
            <w:r/>
            <w:r>
              <w:rPr>
                <w:b w:val="0"/>
                <w:sz w:val="14"/>
              </w:rPr>
              <w:t>Une personne morale n’est pas automatiquement le fonds.</w:t>
            </w:r>
          </w:p>
        </w:tc>
      </w:tr>
      <w:tr>
        <w:trPr>
          <w:cantSplit/>
        </w:trPr>
        <w:tc>
          <w:tcPr>
            <w:tcW w:type="dxa" w:w="2835"/>
            <w:vAlign w:val="top"/>
          </w:tcPr>
          <w:p>
            <w:r/>
            <w:r>
              <w:rPr>
                <w:b w:val="0"/>
                <w:sz w:val="14"/>
              </w:rPr>
              <w:t>Wayback</w:t>
            </w:r>
          </w:p>
        </w:tc>
        <w:tc>
          <w:tcPr>
            <w:tcW w:type="dxa" w:w="7370"/>
            <w:vAlign w:val="top"/>
          </w:tcPr>
          <w:p>
            <w:r/>
            <w:r>
              <w:rPr>
                <w:b w:val="0"/>
                <w:sz w:val="14"/>
              </w:rPr>
              <w:t>Anciennes pages et documents.</w:t>
            </w:r>
          </w:p>
        </w:tc>
        <w:tc>
          <w:tcPr>
            <w:tcW w:type="dxa" w:w="6803"/>
            <w:vAlign w:val="top"/>
          </w:tcPr>
          <w:p>
            <w:r/>
            <w:r>
              <w:rPr>
                <w:b w:val="0"/>
                <w:sz w:val="14"/>
              </w:rPr>
              <w:t>Capture ≠ date d’effet; intégrité et date de capture.</w:t>
            </w:r>
          </w:p>
        </w:tc>
      </w:tr>
      <w:tr>
        <w:trPr>
          <w:cantSplit/>
        </w:trPr>
        <w:tc>
          <w:tcPr>
            <w:tcW w:type="dxa" w:w="2835"/>
            <w:vAlign w:val="top"/>
          </w:tcPr>
          <w:p>
            <w:r/>
            <w:r>
              <w:rPr>
                <w:b w:val="0"/>
                <w:sz w:val="14"/>
              </w:rPr>
              <w:t>Presse financière</w:t>
            </w:r>
          </w:p>
        </w:tc>
        <w:tc>
          <w:tcPr>
            <w:tcW w:type="dxa" w:w="7370"/>
            <w:vAlign w:val="top"/>
          </w:tcPr>
          <w:p>
            <w:r/>
            <w:r>
              <w:rPr>
                <w:b w:val="0"/>
                <w:sz w:val="14"/>
              </w:rPr>
              <w:t>Découverte d’événements et contexte.</w:t>
            </w:r>
          </w:p>
        </w:tc>
        <w:tc>
          <w:tcPr>
            <w:tcW w:type="dxa" w:w="6803"/>
            <w:vAlign w:val="top"/>
          </w:tcPr>
          <w:p>
            <w:r/>
            <w:r>
              <w:rPr>
                <w:b w:val="0"/>
                <w:sz w:val="14"/>
              </w:rPr>
              <w:t>Toujours remonter à la source primaire.</w:t>
            </w:r>
          </w:p>
        </w:tc>
      </w:tr>
    </w:tbl>
    <w:p/>
    <w:p>
      <w:pPr>
        <w:sectPr>
          <w:pgSz w:w="12240" w:h="15840" w:orient="landscape"/>
          <w:pgMar w:top="850" w:right="737" w:bottom="850" w:left="737" w:header="397" w:footer="397" w:gutter="0"/>
          <w:cols w:space="720"/>
          <w:docGrid w:linePitch="360"/>
        </w:sectPr>
      </w:pPr>
    </w:p>
    <w:p>
      <w:pPr>
        <w:pStyle w:val="Heading1"/>
      </w:pPr>
      <w:r>
        <w:t>PARTIE XXIV — RÈGLES TECHNIQUES DE COLLECTE ET DE PARSING</w:t>
      </w:r>
    </w:p>
    <w:p>
      <w:pPr>
        <w:pStyle w:val="Heading2"/>
      </w:pPr>
      <w:r>
        <w:t>27. Détection des feuilles et des blocs</w:t>
      </w:r>
    </w:p>
    <w:p>
      <w:pPr>
        <w:pStyle w:val="ListBullet"/>
      </w:pPr>
      <w:r>
        <w:t>Le nom du fichier n’impose jamais la logique. Le nom et surtout la structure de la feuille déterminent le parseur.</w:t>
      </w:r>
    </w:p>
    <w:p>
      <w:pPr>
        <w:pStyle w:val="ListBullet"/>
      </w:pPr>
      <w:r>
        <w:t>Scanner toutes les feuilles visibles et masquées ; conserver ordre, nom, dimensions, cellules fusionnées, formules et styles significatifs.</w:t>
      </w:r>
    </w:p>
    <w:p>
      <w:pPr>
        <w:pStyle w:val="ListBullet"/>
      </w:pPr>
      <w:r>
        <w:t>Identifier les lignes d’en-tête par motifs sémantiques : Fund Name, NAV, Unit Price, Bid, Offer, Date, Currency, Fund Manager.</w:t>
      </w:r>
    </w:p>
    <w:p>
      <w:pPr>
        <w:pStyle w:val="ListBullet"/>
      </w:pPr>
      <w:r>
        <w:t>Ne jamais dissocier une ligne d’intérêt et la ligne de bloc qui porte sa date ou sa mesure.</w:t>
      </w:r>
    </w:p>
    <w:p>
      <w:pPr>
        <w:pStyle w:val="ListBullet"/>
      </w:pPr>
      <w:r>
        <w:t>Pour les feuilles horizontales, associer chaque groupe de colonnes à sa date avant de dérouler les fonds.</w:t>
      </w:r>
    </w:p>
    <w:p>
      <w:pPr>
        <w:pStyle w:val="ListBullet"/>
      </w:pPr>
      <w:r>
        <w:t>Pour deux blocs de dates dans une même feuille, produire deux ensembles d’observations puis les concaténer avec provenance distincte.</w:t>
      </w:r>
    </w:p>
    <w:p>
      <w:pPr>
        <w:pStyle w:val="ListBullet"/>
      </w:pPr>
      <w:r>
        <w:t>Valider que « Fund » apparaît sous le niveau « Fund Name » ou équivalent, afin de ne pas prendre une catégorie, un total ou un gestionnaire pour un fonds.</w:t>
      </w:r>
    </w:p>
    <w:p>
      <w:pPr>
        <w:pStyle w:val="ListBullet"/>
      </w:pPr>
      <w:r>
        <w:t>Conserver les cellules brutes même lorsque la normalisation échoue.</w:t>
      </w:r>
    </w:p>
    <w:p>
      <w:pPr>
        <w:pStyle w:val="Heading2"/>
      </w:pPr>
      <w:r>
        <w:t>28. Nombres, devises et séparateurs</w:t>
      </w:r>
    </w:p>
    <w:tbl>
      <w:tblPr>
        <w:tblStyle w:val="TableGrid"/>
        <w:tblW w:type="auto" w:w="0"/>
        <w:jc w:val="center"/>
        <w:tblLook w:firstColumn="1" w:firstRow="1" w:lastColumn="0" w:lastRow="0" w:noHBand="0" w:noVBand="1" w:val="04A0"/>
      </w:tblPr>
      <w:tblGrid>
        <w:gridCol w:w="6900"/>
        <w:gridCol w:w="6900"/>
      </w:tblGrid>
      <w:tr>
        <w:trPr>
          <w:tblHeader w:val="true"/>
        </w:trPr>
        <w:tc>
          <w:tcPr>
            <w:tcW w:type="dxa" w:w="3402"/>
            <w:vAlign w:val="top"/>
            <w:shd w:fill="1F4E78"/>
          </w:tcPr>
          <w:p>
            <w:r>
              <w:rPr>
                <w:color w:val="FFFFFF"/>
              </w:rPr>
            </w:r>
            <w:r>
              <w:rPr>
                <w:b/>
                <w:color w:val="FFFFFF"/>
                <w:sz w:val="16"/>
              </w:rPr>
              <w:t>Cas</w:t>
            </w:r>
          </w:p>
        </w:tc>
        <w:tc>
          <w:tcPr>
            <w:tcW w:type="dxa" w:w="6803"/>
            <w:vAlign w:val="top"/>
            <w:shd w:fill="1F4E78"/>
          </w:tcPr>
          <w:p>
            <w:r>
              <w:rPr>
                <w:color w:val="FFFFFF"/>
              </w:rPr>
            </w:r>
            <w:r>
              <w:rPr>
                <w:b/>
                <w:color w:val="FFFFFF"/>
                <w:sz w:val="16"/>
              </w:rPr>
              <w:t>Traitement</w:t>
            </w:r>
          </w:p>
        </w:tc>
      </w:tr>
      <w:tr>
        <w:trPr>
          <w:cantSplit/>
        </w:trPr>
        <w:tc>
          <w:tcPr>
            <w:tcW w:type="dxa" w:w="3402"/>
            <w:vAlign w:val="top"/>
          </w:tcPr>
          <w:p>
            <w:r/>
            <w:r>
              <w:rPr>
                <w:b w:val="0"/>
                <w:sz w:val="16"/>
              </w:rPr>
              <w:t>Espaces ordinaires/insécables</w:t>
            </w:r>
          </w:p>
        </w:tc>
        <w:tc>
          <w:tcPr>
            <w:tcW w:type="dxa" w:w="6803"/>
            <w:vAlign w:val="top"/>
          </w:tcPr>
          <w:p>
            <w:r/>
            <w:r>
              <w:rPr>
                <w:b w:val="0"/>
                <w:sz w:val="16"/>
              </w:rPr>
              <w:t>Supprimer uniquement pour le parsing, conserver raw_value.</w:t>
            </w:r>
          </w:p>
        </w:tc>
      </w:tr>
      <w:tr>
        <w:trPr>
          <w:cantSplit/>
        </w:trPr>
        <w:tc>
          <w:tcPr>
            <w:tcW w:type="dxa" w:w="3402"/>
            <w:vAlign w:val="top"/>
          </w:tcPr>
          <w:p>
            <w:r/>
            <w:r>
              <w:rPr>
                <w:b w:val="0"/>
                <w:sz w:val="16"/>
              </w:rPr>
              <w:t>Virgule milliers</w:t>
            </w:r>
          </w:p>
        </w:tc>
        <w:tc>
          <w:tcPr>
            <w:tcW w:type="dxa" w:w="6803"/>
            <w:vAlign w:val="top"/>
          </w:tcPr>
          <w:p>
            <w:r/>
            <w:r>
              <w:rPr>
                <w:b w:val="0"/>
                <w:sz w:val="16"/>
              </w:rPr>
              <w:t>1,234,567.89 → 1234567.89 si convention confirmée.</w:t>
            </w:r>
          </w:p>
        </w:tc>
      </w:tr>
      <w:tr>
        <w:trPr>
          <w:cantSplit/>
        </w:trPr>
        <w:tc>
          <w:tcPr>
            <w:tcW w:type="dxa" w:w="3402"/>
            <w:vAlign w:val="top"/>
          </w:tcPr>
          <w:p>
            <w:r/>
            <w:r>
              <w:rPr>
                <w:b w:val="0"/>
                <w:sz w:val="16"/>
              </w:rPr>
              <w:t>Point milliers / virgule décimale</w:t>
            </w:r>
          </w:p>
        </w:tc>
        <w:tc>
          <w:tcPr>
            <w:tcW w:type="dxa" w:w="6803"/>
            <w:vAlign w:val="top"/>
          </w:tcPr>
          <w:p>
            <w:r/>
            <w:r>
              <w:rPr>
                <w:b w:val="0"/>
                <w:sz w:val="16"/>
              </w:rPr>
              <w:t>1.234.567,89 → 1234567.89 si convention confirmée.</w:t>
            </w:r>
          </w:p>
        </w:tc>
      </w:tr>
      <w:tr>
        <w:trPr>
          <w:cantSplit/>
        </w:trPr>
        <w:tc>
          <w:tcPr>
            <w:tcW w:type="dxa" w:w="3402"/>
            <w:vAlign w:val="top"/>
          </w:tcPr>
          <w:p>
            <w:r/>
            <w:r>
              <w:rPr>
                <w:b w:val="0"/>
                <w:sz w:val="16"/>
              </w:rPr>
              <w:t>Parenthèses</w:t>
            </w:r>
          </w:p>
        </w:tc>
        <w:tc>
          <w:tcPr>
            <w:tcW w:type="dxa" w:w="6803"/>
            <w:vAlign w:val="top"/>
          </w:tcPr>
          <w:p>
            <w:r/>
            <w:r>
              <w:rPr>
                <w:b w:val="0"/>
                <w:sz w:val="16"/>
              </w:rPr>
              <w:t>(1,234.50) → -1234.50 si le document utilise cette convention.</w:t>
            </w:r>
          </w:p>
        </w:tc>
      </w:tr>
      <w:tr>
        <w:trPr>
          <w:cantSplit/>
        </w:trPr>
        <w:tc>
          <w:tcPr>
            <w:tcW w:type="dxa" w:w="3402"/>
            <w:vAlign w:val="top"/>
          </w:tcPr>
          <w:p>
            <w:r/>
            <w:r>
              <w:rPr>
                <w:b w:val="0"/>
                <w:sz w:val="16"/>
              </w:rPr>
              <w:t>Tiret</w:t>
            </w:r>
          </w:p>
        </w:tc>
        <w:tc>
          <w:tcPr>
            <w:tcW w:type="dxa" w:w="6803"/>
            <w:vAlign w:val="top"/>
          </w:tcPr>
          <w:p>
            <w:r/>
            <w:r>
              <w:rPr>
                <w:b w:val="0"/>
                <w:sz w:val="16"/>
              </w:rPr>
              <w:t>Ne pas transformer automatiquement en zéro; classer missing_marker.</w:t>
            </w:r>
          </w:p>
        </w:tc>
      </w:tr>
      <w:tr>
        <w:trPr>
          <w:cantSplit/>
        </w:trPr>
        <w:tc>
          <w:tcPr>
            <w:tcW w:type="dxa" w:w="3402"/>
            <w:vAlign w:val="top"/>
          </w:tcPr>
          <w:p>
            <w:r/>
            <w:r>
              <w:rPr>
                <w:b w:val="0"/>
                <w:sz w:val="16"/>
              </w:rPr>
              <w:t>N/A, Nil, None</w:t>
            </w:r>
          </w:p>
        </w:tc>
        <w:tc>
          <w:tcPr>
            <w:tcW w:type="dxa" w:w="6803"/>
            <w:vAlign w:val="top"/>
          </w:tcPr>
          <w:p>
            <w:r/>
            <w:r>
              <w:rPr>
                <w:b w:val="0"/>
                <w:sz w:val="16"/>
              </w:rPr>
              <w:t>Valeur manquante explicite avec code source.</w:t>
            </w:r>
          </w:p>
        </w:tc>
      </w:tr>
      <w:tr>
        <w:trPr>
          <w:cantSplit/>
        </w:trPr>
        <w:tc>
          <w:tcPr>
            <w:tcW w:type="dxa" w:w="3402"/>
            <w:vAlign w:val="top"/>
          </w:tcPr>
          <w:p>
            <w:r/>
            <w:r>
              <w:rPr>
                <w:b w:val="0"/>
                <w:sz w:val="16"/>
              </w:rPr>
              <w:t>0 / 0.00</w:t>
            </w:r>
          </w:p>
        </w:tc>
        <w:tc>
          <w:tcPr>
            <w:tcW w:type="dxa" w:w="6803"/>
            <w:vAlign w:val="top"/>
          </w:tcPr>
          <w:p>
            <w:r/>
            <w:r>
              <w:rPr>
                <w:b w:val="0"/>
                <w:sz w:val="16"/>
              </w:rPr>
              <w:t>Zéro publié, à conserver comme zéro source.</w:t>
            </w:r>
          </w:p>
        </w:tc>
      </w:tr>
      <w:tr>
        <w:trPr>
          <w:cantSplit/>
        </w:trPr>
        <w:tc>
          <w:tcPr>
            <w:tcW w:type="dxa" w:w="3402"/>
            <w:vAlign w:val="top"/>
          </w:tcPr>
          <w:p>
            <w:r/>
            <w:r>
              <w:rPr>
                <w:b w:val="0"/>
                <w:sz w:val="16"/>
              </w:rPr>
              <w:t>Formule Excel</w:t>
            </w:r>
          </w:p>
        </w:tc>
        <w:tc>
          <w:tcPr>
            <w:tcW w:type="dxa" w:w="6803"/>
            <w:vAlign w:val="top"/>
          </w:tcPr>
          <w:p>
            <w:r/>
            <w:r>
              <w:rPr>
                <w:b w:val="0"/>
                <w:sz w:val="16"/>
              </w:rPr>
              <w:t>Conserver formule et valeur calculée; signaler si cache absent.</w:t>
            </w:r>
          </w:p>
        </w:tc>
      </w:tr>
      <w:tr>
        <w:trPr>
          <w:cantSplit/>
        </w:trPr>
        <w:tc>
          <w:tcPr>
            <w:tcW w:type="dxa" w:w="3402"/>
            <w:vAlign w:val="top"/>
          </w:tcPr>
          <w:p>
            <w:r/>
            <w:r>
              <w:rPr>
                <w:b w:val="0"/>
                <w:sz w:val="16"/>
              </w:rPr>
              <w:t>NGN / ₦ / N</w:t>
            </w:r>
          </w:p>
        </w:tc>
        <w:tc>
          <w:tcPr>
            <w:tcW w:type="dxa" w:w="6803"/>
            <w:vAlign w:val="top"/>
          </w:tcPr>
          <w:p>
            <w:r/>
            <w:r>
              <w:rPr>
                <w:b w:val="0"/>
                <w:sz w:val="16"/>
              </w:rPr>
              <w:t>Normaliser devise NGN sans modifier la valeur brute.</w:t>
            </w:r>
          </w:p>
        </w:tc>
      </w:tr>
      <w:tr>
        <w:trPr>
          <w:cantSplit/>
        </w:trPr>
        <w:tc>
          <w:tcPr>
            <w:tcW w:type="dxa" w:w="3402"/>
            <w:vAlign w:val="top"/>
          </w:tcPr>
          <w:p>
            <w:r/>
            <w:r>
              <w:rPr>
                <w:b w:val="0"/>
                <w:sz w:val="16"/>
              </w:rPr>
              <w:t>USD / $</w:t>
            </w:r>
          </w:p>
        </w:tc>
        <w:tc>
          <w:tcPr>
            <w:tcW w:type="dxa" w:w="6803"/>
            <w:vAlign w:val="top"/>
          </w:tcPr>
          <w:p>
            <w:r/>
            <w:r>
              <w:rPr>
                <w:b w:val="0"/>
                <w:sz w:val="16"/>
              </w:rPr>
              <w:t>Ne conclure USD que si contexte et en-tête le confirment.</w:t>
            </w:r>
          </w:p>
        </w:tc>
      </w:tr>
      <w:tr>
        <w:trPr>
          <w:cantSplit/>
        </w:trPr>
        <w:tc>
          <w:tcPr>
            <w:tcW w:type="dxa" w:w="3402"/>
            <w:vAlign w:val="top"/>
          </w:tcPr>
          <w:p>
            <w:r/>
            <w:r>
              <w:rPr>
                <w:b w:val="0"/>
                <w:sz w:val="16"/>
              </w:rPr>
              <w:t>Pourcentage</w:t>
            </w:r>
          </w:p>
        </w:tc>
        <w:tc>
          <w:tcPr>
            <w:tcW w:type="dxa" w:w="6803"/>
            <w:vAlign w:val="top"/>
          </w:tcPr>
          <w:p>
            <w:r/>
            <w:r>
              <w:rPr>
                <w:b w:val="0"/>
                <w:sz w:val="16"/>
              </w:rPr>
              <w:t>Conserver valeur numérique et échelle; 12% ≠ 12 sans métadonnée.</w:t>
            </w:r>
          </w:p>
        </w:tc>
      </w:tr>
      <w:tr>
        <w:trPr>
          <w:cantSplit/>
        </w:trPr>
        <w:tc>
          <w:tcPr>
            <w:tcW w:type="dxa" w:w="3402"/>
            <w:vAlign w:val="top"/>
          </w:tcPr>
          <w:p>
            <w:r/>
            <w:r>
              <w:rPr>
                <w:b w:val="0"/>
                <w:sz w:val="16"/>
              </w:rPr>
              <w:t>Date Excel sérielle</w:t>
            </w:r>
          </w:p>
        </w:tc>
        <w:tc>
          <w:tcPr>
            <w:tcW w:type="dxa" w:w="6803"/>
            <w:vAlign w:val="top"/>
          </w:tcPr>
          <w:p>
            <w:r/>
            <w:r>
              <w:rPr>
                <w:b w:val="0"/>
                <w:sz w:val="16"/>
              </w:rPr>
              <w:t>Convertir selon système 1900/1904 du classeur.</w:t>
            </w:r>
          </w:p>
        </w:tc>
      </w:tr>
      <w:tr>
        <w:trPr>
          <w:cantSplit/>
        </w:trPr>
        <w:tc>
          <w:tcPr>
            <w:tcW w:type="dxa" w:w="3402"/>
            <w:vAlign w:val="top"/>
          </w:tcPr>
          <w:p>
            <w:r/>
            <w:r>
              <w:rPr>
                <w:b w:val="0"/>
                <w:sz w:val="16"/>
              </w:rPr>
              <w:t>Date dans nom de fichier</w:t>
            </w:r>
          </w:p>
        </w:tc>
        <w:tc>
          <w:tcPr>
            <w:tcW w:type="dxa" w:w="6803"/>
            <w:vAlign w:val="top"/>
          </w:tcPr>
          <w:p>
            <w:r/>
            <w:r>
              <w:rPr>
                <w:b w:val="0"/>
                <w:sz w:val="16"/>
              </w:rPr>
              <w:t>Indice seulement; priorité à la date du bloc/feuille si cohérente.</w:t>
            </w:r>
          </w:p>
        </w:tc>
      </w:tr>
      <w:tr>
        <w:trPr>
          <w:cantSplit/>
        </w:trPr>
        <w:tc>
          <w:tcPr>
            <w:tcW w:type="dxa" w:w="3402"/>
            <w:vAlign w:val="top"/>
          </w:tcPr>
          <w:p>
            <w:r/>
            <w:r>
              <w:rPr>
                <w:b w:val="0"/>
                <w:sz w:val="16"/>
              </w:rPr>
              <w:t>Double date</w:t>
            </w:r>
          </w:p>
        </w:tc>
        <w:tc>
          <w:tcPr>
            <w:tcW w:type="dxa" w:w="6803"/>
            <w:vAlign w:val="top"/>
          </w:tcPr>
          <w:p>
            <w:r/>
            <w:r>
              <w:rPr>
                <w:b w:val="0"/>
                <w:sz w:val="16"/>
              </w:rPr>
              <w:t>Stocker valuation_date et publication_date séparément.</w:t>
            </w:r>
          </w:p>
        </w:tc>
      </w:tr>
    </w:tbl>
    <w:p/>
    <w:tbl>
      <w:tblPr>
        <w:tblStyle w:val="TableGrid"/>
        <w:tblW w:type="auto" w:w="0"/>
        <w:jc w:val="center"/>
        <w:tblLook w:firstColumn="1" w:firstRow="1" w:lastColumn="0" w:lastRow="0" w:noHBand="0" w:noVBand="1" w:val="04A0"/>
      </w:tblPr>
      <w:tblGrid>
        <w:gridCol w:w="6900"/>
        <w:gridCol w:w="6900"/>
      </w:tblGrid>
      <w:tr>
        <w:trPr>
          <w:tblHeader w:val="true"/>
        </w:trPr>
        <w:tc>
          <w:tcPr>
            <w:tcW w:type="dxa" w:w="2835"/>
            <w:vAlign w:val="top"/>
            <w:shd w:fill="1F4E78"/>
          </w:tcPr>
          <w:p>
            <w:r>
              <w:rPr>
                <w:color w:val="FFFFFF"/>
              </w:rPr>
            </w:r>
            <w:r>
              <w:rPr>
                <w:b/>
                <w:color w:val="FFFFFF"/>
                <w:sz w:val="16"/>
              </w:rPr>
              <w:t>Champ observation</w:t>
            </w:r>
          </w:p>
        </w:tc>
        <w:tc>
          <w:tcPr>
            <w:tcW w:type="dxa" w:w="7370"/>
            <w:vAlign w:val="top"/>
            <w:shd w:fill="1F4E78"/>
          </w:tcPr>
          <w:p>
            <w:r>
              <w:rPr>
                <w:color w:val="FFFFFF"/>
              </w:rPr>
            </w:r>
            <w:r>
              <w:rPr>
                <w:b/>
                <w:color w:val="FFFFFF"/>
                <w:sz w:val="16"/>
              </w:rPr>
              <w:t>Description</w:t>
            </w:r>
          </w:p>
        </w:tc>
      </w:tr>
      <w:tr>
        <w:trPr>
          <w:cantSplit/>
        </w:trPr>
        <w:tc>
          <w:tcPr>
            <w:tcW w:type="dxa" w:w="2835"/>
            <w:vAlign w:val="top"/>
          </w:tcPr>
          <w:p>
            <w:r/>
            <w:r>
              <w:rPr>
                <w:b w:val="0"/>
                <w:sz w:val="16"/>
              </w:rPr>
              <w:t>observation_id</w:t>
            </w:r>
          </w:p>
        </w:tc>
        <w:tc>
          <w:tcPr>
            <w:tcW w:type="dxa" w:w="7370"/>
            <w:vAlign w:val="top"/>
          </w:tcPr>
          <w:p>
            <w:r/>
            <w:r>
              <w:rPr>
                <w:b w:val="0"/>
                <w:sz w:val="16"/>
              </w:rPr>
              <w:t>Identifiant immuable.</w:t>
            </w:r>
          </w:p>
        </w:tc>
      </w:tr>
      <w:tr>
        <w:trPr>
          <w:cantSplit/>
        </w:trPr>
        <w:tc>
          <w:tcPr>
            <w:tcW w:type="dxa" w:w="2835"/>
            <w:vAlign w:val="top"/>
          </w:tcPr>
          <w:p>
            <w:r/>
            <w:r>
              <w:rPr>
                <w:b w:val="0"/>
                <w:sz w:val="16"/>
              </w:rPr>
              <w:t>fund_id</w:t>
            </w:r>
          </w:p>
        </w:tc>
        <w:tc>
          <w:tcPr>
            <w:tcW w:type="dxa" w:w="7370"/>
            <w:vAlign w:val="top"/>
          </w:tcPr>
          <w:p>
            <w:r/>
            <w:r>
              <w:rPr>
                <w:b w:val="0"/>
                <w:sz w:val="16"/>
              </w:rPr>
              <w:t>Entité canonique, nullable en staging.</w:t>
            </w:r>
          </w:p>
        </w:tc>
      </w:tr>
      <w:tr>
        <w:trPr>
          <w:cantSplit/>
        </w:trPr>
        <w:tc>
          <w:tcPr>
            <w:tcW w:type="dxa" w:w="2835"/>
            <w:vAlign w:val="top"/>
          </w:tcPr>
          <w:p>
            <w:r/>
            <w:r>
              <w:rPr>
                <w:b w:val="0"/>
                <w:sz w:val="16"/>
              </w:rPr>
              <w:t>fund_name_raw</w:t>
            </w:r>
          </w:p>
        </w:tc>
        <w:tc>
          <w:tcPr>
            <w:tcW w:type="dxa" w:w="7370"/>
            <w:vAlign w:val="top"/>
          </w:tcPr>
          <w:p>
            <w:r/>
            <w:r>
              <w:rPr>
                <w:b w:val="0"/>
                <w:sz w:val="16"/>
              </w:rPr>
              <w:t>Nom exact source.</w:t>
            </w:r>
          </w:p>
        </w:tc>
      </w:tr>
      <w:tr>
        <w:trPr>
          <w:cantSplit/>
        </w:trPr>
        <w:tc>
          <w:tcPr>
            <w:tcW w:type="dxa" w:w="2835"/>
            <w:vAlign w:val="top"/>
          </w:tcPr>
          <w:p>
            <w:r/>
            <w:r>
              <w:rPr>
                <w:b w:val="0"/>
                <w:sz w:val="16"/>
              </w:rPr>
              <w:t>manager_name_raw</w:t>
            </w:r>
          </w:p>
        </w:tc>
        <w:tc>
          <w:tcPr>
            <w:tcW w:type="dxa" w:w="7370"/>
            <w:vAlign w:val="top"/>
          </w:tcPr>
          <w:p>
            <w:r/>
            <w:r>
              <w:rPr>
                <w:b w:val="0"/>
                <w:sz w:val="16"/>
              </w:rPr>
              <w:t>Gestionnaire exact source.</w:t>
            </w:r>
          </w:p>
        </w:tc>
      </w:tr>
      <w:tr>
        <w:trPr>
          <w:cantSplit/>
        </w:trPr>
        <w:tc>
          <w:tcPr>
            <w:tcW w:type="dxa" w:w="2835"/>
            <w:vAlign w:val="top"/>
          </w:tcPr>
          <w:p>
            <w:r/>
            <w:r>
              <w:rPr>
                <w:b w:val="0"/>
                <w:sz w:val="16"/>
              </w:rPr>
              <w:t>valuation_date</w:t>
            </w:r>
          </w:p>
        </w:tc>
        <w:tc>
          <w:tcPr>
            <w:tcW w:type="dxa" w:w="7370"/>
            <w:vAlign w:val="top"/>
          </w:tcPr>
          <w:p>
            <w:r/>
            <w:r>
              <w:rPr>
                <w:b w:val="0"/>
                <w:sz w:val="16"/>
              </w:rPr>
              <w:t>Date de valeur.</w:t>
            </w:r>
          </w:p>
        </w:tc>
      </w:tr>
      <w:tr>
        <w:trPr>
          <w:cantSplit/>
        </w:trPr>
        <w:tc>
          <w:tcPr>
            <w:tcW w:type="dxa" w:w="2835"/>
            <w:vAlign w:val="top"/>
          </w:tcPr>
          <w:p>
            <w:r/>
            <w:r>
              <w:rPr>
                <w:b w:val="0"/>
                <w:sz w:val="16"/>
              </w:rPr>
              <w:t>publication_date</w:t>
            </w:r>
          </w:p>
        </w:tc>
        <w:tc>
          <w:tcPr>
            <w:tcW w:type="dxa" w:w="7370"/>
            <w:vAlign w:val="top"/>
          </w:tcPr>
          <w:p>
            <w:r/>
            <w:r>
              <w:rPr>
                <w:b w:val="0"/>
                <w:sz w:val="16"/>
              </w:rPr>
              <w:t>Date de publication si connue.</w:t>
            </w:r>
          </w:p>
        </w:tc>
      </w:tr>
      <w:tr>
        <w:trPr>
          <w:cantSplit/>
        </w:trPr>
        <w:tc>
          <w:tcPr>
            <w:tcW w:type="dxa" w:w="2835"/>
            <w:vAlign w:val="top"/>
          </w:tcPr>
          <w:p>
            <w:r/>
            <w:r>
              <w:rPr>
                <w:b w:val="0"/>
                <w:sz w:val="16"/>
              </w:rPr>
              <w:t>measure_type</w:t>
            </w:r>
          </w:p>
        </w:tc>
        <w:tc>
          <w:tcPr>
            <w:tcW w:type="dxa" w:w="7370"/>
            <w:vAlign w:val="top"/>
          </w:tcPr>
          <w:p>
            <w:r/>
            <w:r>
              <w:rPr>
                <w:b w:val="0"/>
                <w:sz w:val="16"/>
              </w:rPr>
              <w:t>NET_ASSET_VALUE, UNIT_PRICE, BID_PRICE, OFFER_PRICE, etc.</w:t>
            </w:r>
          </w:p>
        </w:tc>
      </w:tr>
      <w:tr>
        <w:trPr>
          <w:cantSplit/>
        </w:trPr>
        <w:tc>
          <w:tcPr>
            <w:tcW w:type="dxa" w:w="2835"/>
            <w:vAlign w:val="top"/>
          </w:tcPr>
          <w:p>
            <w:r/>
            <w:r>
              <w:rPr>
                <w:b w:val="0"/>
                <w:sz w:val="16"/>
              </w:rPr>
              <w:t>currency</w:t>
            </w:r>
          </w:p>
        </w:tc>
        <w:tc>
          <w:tcPr>
            <w:tcW w:type="dxa" w:w="7370"/>
            <w:vAlign w:val="top"/>
          </w:tcPr>
          <w:p>
            <w:r/>
            <w:r>
              <w:rPr>
                <w:b w:val="0"/>
                <w:sz w:val="16"/>
              </w:rPr>
              <w:t>NGN, USD ou autre.</w:t>
            </w:r>
          </w:p>
        </w:tc>
      </w:tr>
      <w:tr>
        <w:trPr>
          <w:cantSplit/>
        </w:trPr>
        <w:tc>
          <w:tcPr>
            <w:tcW w:type="dxa" w:w="2835"/>
            <w:vAlign w:val="top"/>
          </w:tcPr>
          <w:p>
            <w:r/>
            <w:r>
              <w:rPr>
                <w:b w:val="0"/>
                <w:sz w:val="16"/>
              </w:rPr>
              <w:t>raw_value</w:t>
            </w:r>
          </w:p>
        </w:tc>
        <w:tc>
          <w:tcPr>
            <w:tcW w:type="dxa" w:w="7370"/>
            <w:vAlign w:val="top"/>
          </w:tcPr>
          <w:p>
            <w:r/>
            <w:r>
              <w:rPr>
                <w:b w:val="0"/>
                <w:sz w:val="16"/>
              </w:rPr>
              <w:t>Texte/cellule brut.</w:t>
            </w:r>
          </w:p>
        </w:tc>
      </w:tr>
      <w:tr>
        <w:trPr>
          <w:cantSplit/>
        </w:trPr>
        <w:tc>
          <w:tcPr>
            <w:tcW w:type="dxa" w:w="2835"/>
            <w:vAlign w:val="top"/>
          </w:tcPr>
          <w:p>
            <w:r/>
            <w:r>
              <w:rPr>
                <w:b w:val="0"/>
                <w:sz w:val="16"/>
              </w:rPr>
              <w:t>numeric_value</w:t>
            </w:r>
          </w:p>
        </w:tc>
        <w:tc>
          <w:tcPr>
            <w:tcW w:type="dxa" w:w="7370"/>
            <w:vAlign w:val="top"/>
          </w:tcPr>
          <w:p>
            <w:r/>
            <w:r>
              <w:rPr>
                <w:b w:val="0"/>
                <w:sz w:val="16"/>
              </w:rPr>
              <w:t>Valeur parsée.</w:t>
            </w:r>
          </w:p>
        </w:tc>
      </w:tr>
      <w:tr>
        <w:trPr>
          <w:cantSplit/>
        </w:trPr>
        <w:tc>
          <w:tcPr>
            <w:tcW w:type="dxa" w:w="2835"/>
            <w:vAlign w:val="top"/>
          </w:tcPr>
          <w:p>
            <w:r/>
            <w:r>
              <w:rPr>
                <w:b w:val="0"/>
                <w:sz w:val="16"/>
              </w:rPr>
              <w:t>unit_scale</w:t>
            </w:r>
          </w:p>
        </w:tc>
        <w:tc>
          <w:tcPr>
            <w:tcW w:type="dxa" w:w="7370"/>
            <w:vAlign w:val="top"/>
          </w:tcPr>
          <w:p>
            <w:r/>
            <w:r>
              <w:rPr>
                <w:b w:val="0"/>
                <w:sz w:val="16"/>
              </w:rPr>
              <w:t>unit, thousand, million, percentage.</w:t>
            </w:r>
          </w:p>
        </w:tc>
      </w:tr>
      <w:tr>
        <w:trPr>
          <w:cantSplit/>
        </w:trPr>
        <w:tc>
          <w:tcPr>
            <w:tcW w:type="dxa" w:w="2835"/>
            <w:vAlign w:val="top"/>
          </w:tcPr>
          <w:p>
            <w:r/>
            <w:r>
              <w:rPr>
                <w:b w:val="0"/>
                <w:sz w:val="16"/>
              </w:rPr>
              <w:t>source_file_id</w:t>
            </w:r>
          </w:p>
        </w:tc>
        <w:tc>
          <w:tcPr>
            <w:tcW w:type="dxa" w:w="7370"/>
            <w:vAlign w:val="top"/>
          </w:tcPr>
          <w:p>
            <w:r/>
            <w:r>
              <w:rPr>
                <w:b w:val="0"/>
                <w:sz w:val="16"/>
              </w:rPr>
              <w:t>Fichier hashé.</w:t>
            </w:r>
          </w:p>
        </w:tc>
      </w:tr>
      <w:tr>
        <w:trPr>
          <w:cantSplit/>
        </w:trPr>
        <w:tc>
          <w:tcPr>
            <w:tcW w:type="dxa" w:w="2835"/>
            <w:vAlign w:val="top"/>
          </w:tcPr>
          <w:p>
            <w:r/>
            <w:r>
              <w:rPr>
                <w:b w:val="0"/>
                <w:sz w:val="16"/>
              </w:rPr>
              <w:t>sheet_name</w:t>
            </w:r>
          </w:p>
        </w:tc>
        <w:tc>
          <w:tcPr>
            <w:tcW w:type="dxa" w:w="7370"/>
            <w:vAlign w:val="top"/>
          </w:tcPr>
          <w:p>
            <w:r/>
            <w:r>
              <w:rPr>
                <w:b w:val="0"/>
                <w:sz w:val="16"/>
              </w:rPr>
              <w:t>Feuille.</w:t>
            </w:r>
          </w:p>
        </w:tc>
      </w:tr>
      <w:tr>
        <w:trPr>
          <w:cantSplit/>
        </w:trPr>
        <w:tc>
          <w:tcPr>
            <w:tcW w:type="dxa" w:w="2835"/>
            <w:vAlign w:val="top"/>
          </w:tcPr>
          <w:p>
            <w:r/>
            <w:r>
              <w:rPr>
                <w:b w:val="0"/>
                <w:sz w:val="16"/>
              </w:rPr>
              <w:t>cell_address</w:t>
            </w:r>
          </w:p>
        </w:tc>
        <w:tc>
          <w:tcPr>
            <w:tcW w:type="dxa" w:w="7370"/>
            <w:vAlign w:val="top"/>
          </w:tcPr>
          <w:p>
            <w:r/>
            <w:r>
              <w:rPr>
                <w:b w:val="0"/>
                <w:sz w:val="16"/>
              </w:rPr>
              <w:t>Cellule ou plage.</w:t>
            </w:r>
          </w:p>
        </w:tc>
      </w:tr>
      <w:tr>
        <w:trPr>
          <w:cantSplit/>
        </w:trPr>
        <w:tc>
          <w:tcPr>
            <w:tcW w:type="dxa" w:w="2835"/>
            <w:vAlign w:val="top"/>
          </w:tcPr>
          <w:p>
            <w:r/>
            <w:r>
              <w:rPr>
                <w:b w:val="0"/>
                <w:sz w:val="16"/>
              </w:rPr>
              <w:t>block_id</w:t>
            </w:r>
          </w:p>
        </w:tc>
        <w:tc>
          <w:tcPr>
            <w:tcW w:type="dxa" w:w="7370"/>
            <w:vAlign w:val="top"/>
          </w:tcPr>
          <w:p>
            <w:r/>
            <w:r>
              <w:rPr>
                <w:b w:val="0"/>
                <w:sz w:val="16"/>
              </w:rPr>
              <w:t>Bloc de date/mesure.</w:t>
            </w:r>
          </w:p>
        </w:tc>
      </w:tr>
      <w:tr>
        <w:trPr>
          <w:cantSplit/>
        </w:trPr>
        <w:tc>
          <w:tcPr>
            <w:tcW w:type="dxa" w:w="2835"/>
            <w:vAlign w:val="top"/>
          </w:tcPr>
          <w:p>
            <w:r/>
            <w:r>
              <w:rPr>
                <w:b w:val="0"/>
                <w:sz w:val="16"/>
              </w:rPr>
              <w:t>parser_rule_id</w:t>
            </w:r>
          </w:p>
        </w:tc>
        <w:tc>
          <w:tcPr>
            <w:tcW w:type="dxa" w:w="7370"/>
            <w:vAlign w:val="top"/>
          </w:tcPr>
          <w:p>
            <w:r/>
            <w:r>
              <w:rPr>
                <w:b w:val="0"/>
                <w:sz w:val="16"/>
              </w:rPr>
              <w:t>Règle utilisée.</w:t>
            </w:r>
          </w:p>
        </w:tc>
      </w:tr>
      <w:tr>
        <w:trPr>
          <w:cantSplit/>
        </w:trPr>
        <w:tc>
          <w:tcPr>
            <w:tcW w:type="dxa" w:w="2835"/>
            <w:vAlign w:val="top"/>
          </w:tcPr>
          <w:p>
            <w:r/>
            <w:r>
              <w:rPr>
                <w:b w:val="0"/>
                <w:sz w:val="16"/>
              </w:rPr>
              <w:t>quality_flags</w:t>
            </w:r>
          </w:p>
        </w:tc>
        <w:tc>
          <w:tcPr>
            <w:tcW w:type="dxa" w:w="7370"/>
            <w:vAlign w:val="top"/>
          </w:tcPr>
          <w:p>
            <w:r/>
            <w:r>
              <w:rPr>
                <w:b w:val="0"/>
                <w:sz w:val="16"/>
              </w:rPr>
              <w:t>Liste de signaux.</w:t>
            </w:r>
          </w:p>
        </w:tc>
      </w:tr>
      <w:tr>
        <w:trPr>
          <w:cantSplit/>
        </w:trPr>
        <w:tc>
          <w:tcPr>
            <w:tcW w:type="dxa" w:w="2835"/>
            <w:vAlign w:val="top"/>
          </w:tcPr>
          <w:p>
            <w:r/>
            <w:r>
              <w:rPr>
                <w:b w:val="0"/>
                <w:sz w:val="16"/>
              </w:rPr>
              <w:t>is_published</w:t>
            </w:r>
          </w:p>
        </w:tc>
        <w:tc>
          <w:tcPr>
            <w:tcW w:type="dxa" w:w="7370"/>
            <w:vAlign w:val="top"/>
          </w:tcPr>
          <w:p>
            <w:r/>
            <w:r>
              <w:rPr>
                <w:b w:val="0"/>
                <w:sz w:val="16"/>
              </w:rPr>
              <w:t>Publié vs calculé.</w:t>
            </w:r>
          </w:p>
        </w:tc>
      </w:tr>
      <w:tr>
        <w:trPr>
          <w:cantSplit/>
        </w:trPr>
        <w:tc>
          <w:tcPr>
            <w:tcW w:type="dxa" w:w="2835"/>
            <w:vAlign w:val="top"/>
          </w:tcPr>
          <w:p>
            <w:r/>
            <w:r>
              <w:rPr>
                <w:b w:val="0"/>
                <w:sz w:val="16"/>
              </w:rPr>
              <w:t>supersedes_id</w:t>
            </w:r>
          </w:p>
        </w:tc>
        <w:tc>
          <w:tcPr>
            <w:tcW w:type="dxa" w:w="7370"/>
            <w:vAlign w:val="top"/>
          </w:tcPr>
          <w:p>
            <w:r/>
            <w:r>
              <w:rPr>
                <w:b w:val="0"/>
                <w:sz w:val="16"/>
              </w:rPr>
              <w:t>Correction sans suppression.</w:t>
            </w:r>
          </w:p>
        </w:tc>
      </w:tr>
      <w:tr>
        <w:trPr>
          <w:cantSplit/>
        </w:trPr>
        <w:tc>
          <w:tcPr>
            <w:tcW w:type="dxa" w:w="2835"/>
            <w:vAlign w:val="top"/>
          </w:tcPr>
          <w:p>
            <w:r/>
            <w:r>
              <w:rPr>
                <w:b w:val="0"/>
                <w:sz w:val="16"/>
              </w:rPr>
              <w:t>created_at</w:t>
            </w:r>
          </w:p>
        </w:tc>
        <w:tc>
          <w:tcPr>
            <w:tcW w:type="dxa" w:w="7370"/>
            <w:vAlign w:val="top"/>
          </w:tcPr>
          <w:p>
            <w:r/>
            <w:r>
              <w:rPr>
                <w:b w:val="0"/>
                <w:sz w:val="16"/>
              </w:rPr>
              <w:t>Horodatage ingestion.</w:t>
            </w:r>
          </w:p>
        </w:tc>
      </w:tr>
    </w:tbl>
    <w:p/>
    <w:p>
      <w:pPr>
        <w:sectPr>
          <w:pgSz w:w="15840" w:h="12240"/>
          <w:pgMar w:top="1020" w:right="1020" w:bottom="1020" w:left="1020" w:header="397" w:footer="397" w:gutter="0"/>
          <w:cols w:space="720"/>
          <w:docGrid w:linePitch="360"/>
        </w:sectPr>
      </w:pPr>
    </w:p>
    <w:p>
      <w:pPr>
        <w:pStyle w:val="Heading1"/>
      </w:pPr>
      <w:r>
        <w:t>PARTIE XXV — CONTRÔLES QUALITÉ ÉTENDUS ET NON-RÉGRESSION</w:t>
      </w:r>
    </w:p>
    <w:tbl>
      <w:tblPr>
        <w:tblStyle w:val="TableGrid"/>
        <w:tblW w:type="auto" w:w="0"/>
        <w:jc w:val="center"/>
        <w:tblLook w:firstColumn="1" w:firstRow="1" w:lastColumn="0" w:lastRow="0" w:noHBand="0" w:noVBand="1" w:val="04A0"/>
      </w:tblPr>
      <w:tblGrid>
        <w:gridCol w:w="3589"/>
        <w:gridCol w:w="3589"/>
        <w:gridCol w:w="3589"/>
      </w:tblGrid>
      <w:tr>
        <w:trPr>
          <w:tblHeader w:val="true"/>
        </w:trPr>
        <w:tc>
          <w:tcPr>
            <w:tcW w:type="dxa" w:w="1701"/>
            <w:vAlign w:val="top"/>
            <w:shd w:fill="1F4E78"/>
          </w:tcPr>
          <w:p>
            <w:r>
              <w:rPr>
                <w:color w:val="FFFFFF"/>
              </w:rPr>
            </w:r>
            <w:r>
              <w:rPr>
                <w:b/>
                <w:color w:val="FFFFFF"/>
                <w:sz w:val="14"/>
              </w:rPr>
              <w:t>Code</w:t>
            </w:r>
          </w:p>
        </w:tc>
        <w:tc>
          <w:tcPr>
            <w:tcW w:type="dxa" w:w="13039"/>
            <w:vAlign w:val="top"/>
            <w:shd w:fill="1F4E78"/>
          </w:tcPr>
          <w:p>
            <w:r>
              <w:rPr>
                <w:color w:val="FFFFFF"/>
              </w:rPr>
            </w:r>
            <w:r>
              <w:rPr>
                <w:b/>
                <w:color w:val="FFFFFF"/>
                <w:sz w:val="14"/>
              </w:rPr>
              <w:t>Contrôle</w:t>
            </w:r>
          </w:p>
        </w:tc>
        <w:tc>
          <w:tcPr>
            <w:tcW w:type="dxa" w:w="2268"/>
            <w:vAlign w:val="top"/>
            <w:shd w:fill="1F4E78"/>
          </w:tcPr>
          <w:p>
            <w:r>
              <w:rPr>
                <w:color w:val="FFFFFF"/>
              </w:rPr>
            </w:r>
            <w:r>
              <w:rPr>
                <w:b/>
                <w:color w:val="FFFFFF"/>
                <w:sz w:val="14"/>
              </w:rPr>
              <w:t>Sévérité</w:t>
            </w:r>
          </w:p>
        </w:tc>
      </w:tr>
      <w:tr>
        <w:trPr>
          <w:cantSplit/>
        </w:trPr>
        <w:tc>
          <w:tcPr>
            <w:tcW w:type="dxa" w:w="1701"/>
            <w:vAlign w:val="top"/>
          </w:tcPr>
          <w:p>
            <w:r/>
            <w:r>
              <w:rPr>
                <w:b w:val="0"/>
                <w:sz w:val="14"/>
              </w:rPr>
              <w:t>SRC-01</w:t>
            </w:r>
          </w:p>
        </w:tc>
        <w:tc>
          <w:tcPr>
            <w:tcW w:type="dxa" w:w="13039"/>
            <w:vAlign w:val="top"/>
          </w:tcPr>
          <w:p>
            <w:r/>
            <w:r>
              <w:rPr>
                <w:b w:val="0"/>
                <w:sz w:val="14"/>
              </w:rPr>
              <w:t>Chaque fichier a URL source, date d’accès, statut HTTP, taille et SHA-256.</w:t>
            </w:r>
          </w:p>
        </w:tc>
        <w:tc>
          <w:tcPr>
            <w:tcW w:type="dxa" w:w="2268"/>
            <w:vAlign w:val="top"/>
          </w:tcPr>
          <w:p>
            <w:r/>
            <w:r>
              <w:rPr>
                <w:b w:val="0"/>
                <w:sz w:val="14"/>
              </w:rPr>
              <w:t>Bloquant</w:t>
            </w:r>
          </w:p>
        </w:tc>
      </w:tr>
      <w:tr>
        <w:trPr>
          <w:cantSplit/>
        </w:trPr>
        <w:tc>
          <w:tcPr>
            <w:tcW w:type="dxa" w:w="1701"/>
            <w:vAlign w:val="top"/>
          </w:tcPr>
          <w:p>
            <w:r/>
            <w:r>
              <w:rPr>
                <w:b w:val="0"/>
                <w:sz w:val="14"/>
              </w:rPr>
              <w:t>SRC-02</w:t>
            </w:r>
          </w:p>
        </w:tc>
        <w:tc>
          <w:tcPr>
            <w:tcW w:type="dxa" w:w="13039"/>
            <w:vAlign w:val="top"/>
          </w:tcPr>
          <w:p>
            <w:r/>
            <w:r>
              <w:rPr>
                <w:b w:val="0"/>
                <w:sz w:val="14"/>
              </w:rPr>
              <w:t>Aucune URL finale vide après redirection.</w:t>
            </w:r>
          </w:p>
        </w:tc>
        <w:tc>
          <w:tcPr>
            <w:tcW w:type="dxa" w:w="2268"/>
            <w:vAlign w:val="top"/>
          </w:tcPr>
          <w:p>
            <w:r/>
            <w:r>
              <w:rPr>
                <w:b w:val="0"/>
                <w:sz w:val="14"/>
              </w:rPr>
              <w:t>Bloquant</w:t>
            </w:r>
          </w:p>
        </w:tc>
      </w:tr>
      <w:tr>
        <w:trPr>
          <w:cantSplit/>
        </w:trPr>
        <w:tc>
          <w:tcPr>
            <w:tcW w:type="dxa" w:w="1701"/>
            <w:vAlign w:val="top"/>
          </w:tcPr>
          <w:p>
            <w:r/>
            <w:r>
              <w:rPr>
                <w:b w:val="0"/>
                <w:sz w:val="14"/>
              </w:rPr>
              <w:t>SRC-03</w:t>
            </w:r>
          </w:p>
        </w:tc>
        <w:tc>
          <w:tcPr>
            <w:tcW w:type="dxa" w:w="13039"/>
            <w:vAlign w:val="top"/>
          </w:tcPr>
          <w:p>
            <w:r/>
            <w:r>
              <w:rPr>
                <w:b w:val="0"/>
                <w:sz w:val="14"/>
              </w:rPr>
              <w:t>Les liens cassés déclenchent une recherche sitemap, parent page et Wayback.</w:t>
            </w:r>
          </w:p>
        </w:tc>
        <w:tc>
          <w:tcPr>
            <w:tcW w:type="dxa" w:w="2268"/>
            <w:vAlign w:val="top"/>
          </w:tcPr>
          <w:p>
            <w:r/>
            <w:r>
              <w:rPr>
                <w:b w:val="0"/>
                <w:sz w:val="14"/>
              </w:rPr>
              <w:t>Bloquant</w:t>
            </w:r>
          </w:p>
        </w:tc>
      </w:tr>
      <w:tr>
        <w:trPr>
          <w:cantSplit/>
        </w:trPr>
        <w:tc>
          <w:tcPr>
            <w:tcW w:type="dxa" w:w="1701"/>
            <w:vAlign w:val="top"/>
          </w:tcPr>
          <w:p>
            <w:r/>
            <w:r>
              <w:rPr>
                <w:b w:val="0"/>
                <w:sz w:val="14"/>
              </w:rPr>
              <w:t>SRC-04</w:t>
            </w:r>
          </w:p>
        </w:tc>
        <w:tc>
          <w:tcPr>
            <w:tcW w:type="dxa" w:w="13039"/>
            <w:vAlign w:val="top"/>
          </w:tcPr>
          <w:p>
            <w:r/>
            <w:r>
              <w:rPr>
                <w:b w:val="0"/>
                <w:sz w:val="14"/>
              </w:rPr>
              <w:t>Toute pièce remplacée avec même nom mais hash différent est versionnée.</w:t>
            </w:r>
          </w:p>
        </w:tc>
        <w:tc>
          <w:tcPr>
            <w:tcW w:type="dxa" w:w="2268"/>
            <w:vAlign w:val="top"/>
          </w:tcPr>
          <w:p>
            <w:r/>
            <w:r>
              <w:rPr>
                <w:b w:val="0"/>
                <w:sz w:val="14"/>
              </w:rPr>
              <w:t>Bloquant</w:t>
            </w:r>
          </w:p>
        </w:tc>
      </w:tr>
      <w:tr>
        <w:trPr>
          <w:cantSplit/>
        </w:trPr>
        <w:tc>
          <w:tcPr>
            <w:tcW w:type="dxa" w:w="1701"/>
            <w:vAlign w:val="top"/>
          </w:tcPr>
          <w:p>
            <w:r/>
            <w:r>
              <w:rPr>
                <w:b w:val="0"/>
                <w:sz w:val="14"/>
              </w:rPr>
              <w:t>XLS-01</w:t>
            </w:r>
          </w:p>
        </w:tc>
        <w:tc>
          <w:tcPr>
            <w:tcW w:type="dxa" w:w="13039"/>
            <w:vAlign w:val="top"/>
          </w:tcPr>
          <w:p>
            <w:r/>
            <w:r>
              <w:rPr>
                <w:b w:val="0"/>
                <w:sz w:val="14"/>
              </w:rPr>
              <w:t>Toutes les feuilles ont été inventoriées, y compris hidden/veryHidden.</w:t>
            </w:r>
          </w:p>
        </w:tc>
        <w:tc>
          <w:tcPr>
            <w:tcW w:type="dxa" w:w="2268"/>
            <w:vAlign w:val="top"/>
          </w:tcPr>
          <w:p>
            <w:r/>
            <w:r>
              <w:rPr>
                <w:b w:val="0"/>
                <w:sz w:val="14"/>
              </w:rPr>
              <w:t>Majeur</w:t>
            </w:r>
          </w:p>
        </w:tc>
      </w:tr>
      <w:tr>
        <w:trPr>
          <w:cantSplit/>
        </w:trPr>
        <w:tc>
          <w:tcPr>
            <w:tcW w:type="dxa" w:w="1701"/>
            <w:vAlign w:val="top"/>
          </w:tcPr>
          <w:p>
            <w:r/>
            <w:r>
              <w:rPr>
                <w:b w:val="0"/>
                <w:sz w:val="14"/>
              </w:rPr>
              <w:t>XLS-02</w:t>
            </w:r>
          </w:p>
        </w:tc>
        <w:tc>
          <w:tcPr>
            <w:tcW w:type="dxa" w:w="13039"/>
            <w:vAlign w:val="top"/>
          </w:tcPr>
          <w:p>
            <w:r/>
            <w:r>
              <w:rPr>
                <w:b w:val="0"/>
                <w:sz w:val="14"/>
              </w:rPr>
              <w:t>Les cellules fusionnées et formules sont enregistrées.</w:t>
            </w:r>
          </w:p>
        </w:tc>
        <w:tc>
          <w:tcPr>
            <w:tcW w:type="dxa" w:w="2268"/>
            <w:vAlign w:val="top"/>
          </w:tcPr>
          <w:p>
            <w:r/>
            <w:r>
              <w:rPr>
                <w:b w:val="0"/>
                <w:sz w:val="14"/>
              </w:rPr>
              <w:t>Majeur</w:t>
            </w:r>
          </w:p>
        </w:tc>
      </w:tr>
      <w:tr>
        <w:trPr>
          <w:cantSplit/>
        </w:trPr>
        <w:tc>
          <w:tcPr>
            <w:tcW w:type="dxa" w:w="1701"/>
            <w:vAlign w:val="top"/>
          </w:tcPr>
          <w:p>
            <w:r/>
            <w:r>
              <w:rPr>
                <w:b w:val="0"/>
                <w:sz w:val="14"/>
              </w:rPr>
              <w:t>XLS-03</w:t>
            </w:r>
          </w:p>
        </w:tc>
        <w:tc>
          <w:tcPr>
            <w:tcW w:type="dxa" w:w="13039"/>
            <w:vAlign w:val="top"/>
          </w:tcPr>
          <w:p>
            <w:r/>
            <w:r>
              <w:rPr>
                <w:b w:val="0"/>
                <w:sz w:val="14"/>
              </w:rPr>
              <w:t>Chaque observation est rattachée à une date et une mesure explicites.</w:t>
            </w:r>
          </w:p>
        </w:tc>
        <w:tc>
          <w:tcPr>
            <w:tcW w:type="dxa" w:w="2268"/>
            <w:vAlign w:val="top"/>
          </w:tcPr>
          <w:p>
            <w:r/>
            <w:r>
              <w:rPr>
                <w:b w:val="0"/>
                <w:sz w:val="14"/>
              </w:rPr>
              <w:t>Majeur</w:t>
            </w:r>
          </w:p>
        </w:tc>
      </w:tr>
      <w:tr>
        <w:trPr>
          <w:cantSplit/>
        </w:trPr>
        <w:tc>
          <w:tcPr>
            <w:tcW w:type="dxa" w:w="1701"/>
            <w:vAlign w:val="top"/>
          </w:tcPr>
          <w:p>
            <w:r/>
            <w:r>
              <w:rPr>
                <w:b w:val="0"/>
                <w:sz w:val="14"/>
              </w:rPr>
              <w:t>XLS-04</w:t>
            </w:r>
          </w:p>
        </w:tc>
        <w:tc>
          <w:tcPr>
            <w:tcW w:type="dxa" w:w="13039"/>
            <w:vAlign w:val="top"/>
          </w:tcPr>
          <w:p>
            <w:r/>
            <w:r>
              <w:rPr>
                <w:b w:val="0"/>
                <w:sz w:val="14"/>
              </w:rPr>
              <w:t>Aucune catégorie ou ligne Total n’est importée comme fonds.</w:t>
            </w:r>
          </w:p>
        </w:tc>
        <w:tc>
          <w:tcPr>
            <w:tcW w:type="dxa" w:w="2268"/>
            <w:vAlign w:val="top"/>
          </w:tcPr>
          <w:p>
            <w:r/>
            <w:r>
              <w:rPr>
                <w:b w:val="0"/>
                <w:sz w:val="14"/>
              </w:rPr>
              <w:t>Majeur</w:t>
            </w:r>
          </w:p>
        </w:tc>
      </w:tr>
      <w:tr>
        <w:trPr>
          <w:cantSplit/>
        </w:trPr>
        <w:tc>
          <w:tcPr>
            <w:tcW w:type="dxa" w:w="1701"/>
            <w:vAlign w:val="top"/>
          </w:tcPr>
          <w:p>
            <w:r/>
            <w:r>
              <w:rPr>
                <w:b w:val="0"/>
                <w:sz w:val="14"/>
              </w:rPr>
              <w:t>NUM-01</w:t>
            </w:r>
          </w:p>
        </w:tc>
        <w:tc>
          <w:tcPr>
            <w:tcW w:type="dxa" w:w="13039"/>
            <w:vAlign w:val="top"/>
          </w:tcPr>
          <w:p>
            <w:r/>
            <w:r>
              <w:rPr>
                <w:b w:val="0"/>
                <w:sz w:val="14"/>
              </w:rPr>
              <w:t>Aucune chaîne non vide n’est silencieusement transformée en zéro.</w:t>
            </w:r>
          </w:p>
        </w:tc>
        <w:tc>
          <w:tcPr>
            <w:tcW w:type="dxa" w:w="2268"/>
            <w:vAlign w:val="top"/>
          </w:tcPr>
          <w:p>
            <w:r/>
            <w:r>
              <w:rPr>
                <w:b w:val="0"/>
                <w:sz w:val="14"/>
              </w:rPr>
              <w:t>Majeur</w:t>
            </w:r>
          </w:p>
        </w:tc>
      </w:tr>
      <w:tr>
        <w:trPr>
          <w:cantSplit/>
        </w:trPr>
        <w:tc>
          <w:tcPr>
            <w:tcW w:type="dxa" w:w="1701"/>
            <w:vAlign w:val="top"/>
          </w:tcPr>
          <w:p>
            <w:r/>
            <w:r>
              <w:rPr>
                <w:b w:val="0"/>
                <w:sz w:val="14"/>
              </w:rPr>
              <w:t>NUM-02</w:t>
            </w:r>
          </w:p>
        </w:tc>
        <w:tc>
          <w:tcPr>
            <w:tcW w:type="dxa" w:w="13039"/>
            <w:vAlign w:val="top"/>
          </w:tcPr>
          <w:p>
            <w:r/>
            <w:r>
              <w:rPr>
                <w:b w:val="0"/>
                <w:sz w:val="14"/>
              </w:rPr>
              <w:t>Les séparateurs milliers/décimaux sont validés par contexte.</w:t>
            </w:r>
          </w:p>
        </w:tc>
        <w:tc>
          <w:tcPr>
            <w:tcW w:type="dxa" w:w="2268"/>
            <w:vAlign w:val="top"/>
          </w:tcPr>
          <w:p>
            <w:r/>
            <w:r>
              <w:rPr>
                <w:b w:val="0"/>
                <w:sz w:val="14"/>
              </w:rPr>
              <w:t>Majeur</w:t>
            </w:r>
          </w:p>
        </w:tc>
      </w:tr>
      <w:tr>
        <w:trPr>
          <w:cantSplit/>
        </w:trPr>
        <w:tc>
          <w:tcPr>
            <w:tcW w:type="dxa" w:w="1701"/>
            <w:vAlign w:val="top"/>
          </w:tcPr>
          <w:p>
            <w:r/>
            <w:r>
              <w:rPr>
                <w:b w:val="0"/>
                <w:sz w:val="14"/>
              </w:rPr>
              <w:t>NUM-03</w:t>
            </w:r>
          </w:p>
        </w:tc>
        <w:tc>
          <w:tcPr>
            <w:tcW w:type="dxa" w:w="13039"/>
            <w:vAlign w:val="top"/>
          </w:tcPr>
          <w:p>
            <w:r/>
            <w:r>
              <w:rPr>
                <w:b w:val="0"/>
                <w:sz w:val="14"/>
              </w:rPr>
              <w:t>Raw, normalized et numeric sont conservés séparément.</w:t>
            </w:r>
          </w:p>
        </w:tc>
        <w:tc>
          <w:tcPr>
            <w:tcW w:type="dxa" w:w="2268"/>
            <w:vAlign w:val="top"/>
          </w:tcPr>
          <w:p>
            <w:r/>
            <w:r>
              <w:rPr>
                <w:b w:val="0"/>
                <w:sz w:val="14"/>
              </w:rPr>
              <w:t>Majeur</w:t>
            </w:r>
          </w:p>
        </w:tc>
      </w:tr>
      <w:tr>
        <w:trPr>
          <w:cantSplit/>
        </w:trPr>
        <w:tc>
          <w:tcPr>
            <w:tcW w:type="dxa" w:w="1701"/>
            <w:vAlign w:val="top"/>
          </w:tcPr>
          <w:p>
            <w:r/>
            <w:r>
              <w:rPr>
                <w:b w:val="0"/>
                <w:sz w:val="14"/>
              </w:rPr>
              <w:t>NUM-04</w:t>
            </w:r>
          </w:p>
        </w:tc>
        <w:tc>
          <w:tcPr>
            <w:tcW w:type="dxa" w:w="13039"/>
            <w:vAlign w:val="top"/>
          </w:tcPr>
          <w:p>
            <w:r/>
            <w:r>
              <w:rPr>
                <w:b w:val="0"/>
                <w:sz w:val="14"/>
              </w:rPr>
              <w:t>Les valeurs extrêmes sont signalées, non supprimées.</w:t>
            </w:r>
          </w:p>
        </w:tc>
        <w:tc>
          <w:tcPr>
            <w:tcW w:type="dxa" w:w="2268"/>
            <w:vAlign w:val="top"/>
          </w:tcPr>
          <w:p>
            <w:r/>
            <w:r>
              <w:rPr>
                <w:b w:val="0"/>
                <w:sz w:val="14"/>
              </w:rPr>
              <w:t>Majeur</w:t>
            </w:r>
          </w:p>
        </w:tc>
      </w:tr>
      <w:tr>
        <w:trPr>
          <w:cantSplit/>
        </w:trPr>
        <w:tc>
          <w:tcPr>
            <w:tcW w:type="dxa" w:w="1701"/>
            <w:vAlign w:val="top"/>
          </w:tcPr>
          <w:p>
            <w:r/>
            <w:r>
              <w:rPr>
                <w:b w:val="0"/>
                <w:sz w:val="14"/>
              </w:rPr>
              <w:t>NAV-01</w:t>
            </w:r>
          </w:p>
        </w:tc>
        <w:tc>
          <w:tcPr>
            <w:tcW w:type="dxa" w:w="13039"/>
            <w:vAlign w:val="top"/>
          </w:tcPr>
          <w:p>
            <w:r/>
            <w:r>
              <w:rPr>
                <w:b w:val="0"/>
                <w:sz w:val="14"/>
              </w:rPr>
              <w:t>NAV total et Unit Price ne partagent jamais le même measure_type.</w:t>
            </w:r>
          </w:p>
        </w:tc>
        <w:tc>
          <w:tcPr>
            <w:tcW w:type="dxa" w:w="2268"/>
            <w:vAlign w:val="top"/>
          </w:tcPr>
          <w:p>
            <w:r/>
            <w:r>
              <w:rPr>
                <w:b w:val="0"/>
                <w:sz w:val="14"/>
              </w:rPr>
              <w:t>Bloquant</w:t>
            </w:r>
          </w:p>
        </w:tc>
      </w:tr>
      <w:tr>
        <w:trPr>
          <w:cantSplit/>
        </w:trPr>
        <w:tc>
          <w:tcPr>
            <w:tcW w:type="dxa" w:w="1701"/>
            <w:vAlign w:val="top"/>
          </w:tcPr>
          <w:p>
            <w:r/>
            <w:r>
              <w:rPr>
                <w:b w:val="0"/>
                <w:sz w:val="14"/>
              </w:rPr>
              <w:t>NAV-02</w:t>
            </w:r>
          </w:p>
        </w:tc>
        <w:tc>
          <w:tcPr>
            <w:tcW w:type="dxa" w:w="13039"/>
            <w:vAlign w:val="top"/>
          </w:tcPr>
          <w:p>
            <w:r/>
            <w:r>
              <w:rPr>
                <w:b w:val="0"/>
                <w:sz w:val="14"/>
              </w:rPr>
              <w:t>Bid et Offer restent distincts de Unit Price.</w:t>
            </w:r>
          </w:p>
        </w:tc>
        <w:tc>
          <w:tcPr>
            <w:tcW w:type="dxa" w:w="2268"/>
            <w:vAlign w:val="top"/>
          </w:tcPr>
          <w:p>
            <w:r/>
            <w:r>
              <w:rPr>
                <w:b w:val="0"/>
                <w:sz w:val="14"/>
              </w:rPr>
              <w:t>Bloquant</w:t>
            </w:r>
          </w:p>
        </w:tc>
      </w:tr>
      <w:tr>
        <w:trPr>
          <w:cantSplit/>
        </w:trPr>
        <w:tc>
          <w:tcPr>
            <w:tcW w:type="dxa" w:w="1701"/>
            <w:vAlign w:val="top"/>
          </w:tcPr>
          <w:p>
            <w:r/>
            <w:r>
              <w:rPr>
                <w:b w:val="0"/>
                <w:sz w:val="14"/>
              </w:rPr>
              <w:t>NAV-03</w:t>
            </w:r>
          </w:p>
        </w:tc>
        <w:tc>
          <w:tcPr>
            <w:tcW w:type="dxa" w:w="13039"/>
            <w:vAlign w:val="top"/>
          </w:tcPr>
          <w:p>
            <w:r/>
            <w:r>
              <w:rPr>
                <w:b w:val="0"/>
                <w:sz w:val="14"/>
              </w:rPr>
              <w:t>La devise est requise pour toute mesure monétaire canonique.</w:t>
            </w:r>
          </w:p>
        </w:tc>
        <w:tc>
          <w:tcPr>
            <w:tcW w:type="dxa" w:w="2268"/>
            <w:vAlign w:val="top"/>
          </w:tcPr>
          <w:p>
            <w:r/>
            <w:r>
              <w:rPr>
                <w:b w:val="0"/>
                <w:sz w:val="14"/>
              </w:rPr>
              <w:t>Bloquant</w:t>
            </w:r>
          </w:p>
        </w:tc>
      </w:tr>
      <w:tr>
        <w:trPr>
          <w:cantSplit/>
        </w:trPr>
        <w:tc>
          <w:tcPr>
            <w:tcW w:type="dxa" w:w="1701"/>
            <w:vAlign w:val="top"/>
          </w:tcPr>
          <w:p>
            <w:r/>
            <w:r>
              <w:rPr>
                <w:b w:val="0"/>
                <w:sz w:val="14"/>
              </w:rPr>
              <w:t>NAV-04</w:t>
            </w:r>
          </w:p>
        </w:tc>
        <w:tc>
          <w:tcPr>
            <w:tcW w:type="dxa" w:w="13039"/>
            <w:vAlign w:val="top"/>
          </w:tcPr>
          <w:p>
            <w:r/>
            <w:r>
              <w:rPr>
                <w:b w:val="0"/>
                <w:sz w:val="14"/>
              </w:rPr>
              <w:t>Un saut de prix est testé contre split, distribution, erreur de date et changement de classe.</w:t>
            </w:r>
          </w:p>
        </w:tc>
        <w:tc>
          <w:tcPr>
            <w:tcW w:type="dxa" w:w="2268"/>
            <w:vAlign w:val="top"/>
          </w:tcPr>
          <w:p>
            <w:r/>
            <w:r>
              <w:rPr>
                <w:b w:val="0"/>
                <w:sz w:val="14"/>
              </w:rPr>
              <w:t>Bloquant</w:t>
            </w:r>
          </w:p>
        </w:tc>
      </w:tr>
      <w:tr>
        <w:trPr>
          <w:cantSplit/>
        </w:trPr>
        <w:tc>
          <w:tcPr>
            <w:tcW w:type="dxa" w:w="1701"/>
            <w:vAlign w:val="top"/>
          </w:tcPr>
          <w:p>
            <w:r/>
            <w:r>
              <w:rPr>
                <w:b w:val="0"/>
                <w:sz w:val="14"/>
              </w:rPr>
              <w:t>ID-01</w:t>
            </w:r>
          </w:p>
        </w:tc>
        <w:tc>
          <w:tcPr>
            <w:tcW w:type="dxa" w:w="13039"/>
            <w:vAlign w:val="top"/>
          </w:tcPr>
          <w:p>
            <w:r/>
            <w:r>
              <w:rPr>
                <w:b w:val="0"/>
                <w:sz w:val="14"/>
              </w:rPr>
              <w:t>Le nom brut est immuable.</w:t>
            </w:r>
          </w:p>
        </w:tc>
        <w:tc>
          <w:tcPr>
            <w:tcW w:type="dxa" w:w="2268"/>
            <w:vAlign w:val="top"/>
          </w:tcPr>
          <w:p>
            <w:r/>
            <w:r>
              <w:rPr>
                <w:b w:val="0"/>
                <w:sz w:val="14"/>
              </w:rPr>
              <w:t>Bloquant</w:t>
            </w:r>
          </w:p>
        </w:tc>
      </w:tr>
      <w:tr>
        <w:trPr>
          <w:cantSplit/>
        </w:trPr>
        <w:tc>
          <w:tcPr>
            <w:tcW w:type="dxa" w:w="1701"/>
            <w:vAlign w:val="top"/>
          </w:tcPr>
          <w:p>
            <w:r/>
            <w:r>
              <w:rPr>
                <w:b w:val="0"/>
                <w:sz w:val="14"/>
              </w:rPr>
              <w:t>ID-02</w:t>
            </w:r>
          </w:p>
        </w:tc>
        <w:tc>
          <w:tcPr>
            <w:tcW w:type="dxa" w:w="13039"/>
            <w:vAlign w:val="top"/>
          </w:tcPr>
          <w:p>
            <w:r/>
            <w:r>
              <w:rPr>
                <w:b w:val="0"/>
                <w:sz w:val="14"/>
              </w:rPr>
              <w:t>Aucun fuzzy match seul ne crée un fund_id.</w:t>
            </w:r>
          </w:p>
        </w:tc>
        <w:tc>
          <w:tcPr>
            <w:tcW w:type="dxa" w:w="2268"/>
            <w:vAlign w:val="top"/>
          </w:tcPr>
          <w:p>
            <w:r/>
            <w:r>
              <w:rPr>
                <w:b w:val="0"/>
                <w:sz w:val="14"/>
              </w:rPr>
              <w:t>Bloquant</w:t>
            </w:r>
          </w:p>
        </w:tc>
      </w:tr>
      <w:tr>
        <w:trPr>
          <w:cantSplit/>
        </w:trPr>
        <w:tc>
          <w:tcPr>
            <w:tcW w:type="dxa" w:w="1701"/>
            <w:vAlign w:val="top"/>
          </w:tcPr>
          <w:p>
            <w:r/>
            <w:r>
              <w:rPr>
                <w:b w:val="0"/>
                <w:sz w:val="14"/>
              </w:rPr>
              <w:t>ID-03</w:t>
            </w:r>
          </w:p>
        </w:tc>
        <w:tc>
          <w:tcPr>
            <w:tcW w:type="dxa" w:w="13039"/>
            <w:vAlign w:val="top"/>
          </w:tcPr>
          <w:p>
            <w:r/>
            <w:r>
              <w:rPr>
                <w:b w:val="0"/>
                <w:sz w:val="14"/>
              </w:rPr>
              <w:t>Toute fusion d’alias dispose d’une preuve et d’un score.</w:t>
            </w:r>
          </w:p>
        </w:tc>
        <w:tc>
          <w:tcPr>
            <w:tcW w:type="dxa" w:w="2268"/>
            <w:vAlign w:val="top"/>
          </w:tcPr>
          <w:p>
            <w:r/>
            <w:r>
              <w:rPr>
                <w:b w:val="0"/>
                <w:sz w:val="14"/>
              </w:rPr>
              <w:t>Bloquant</w:t>
            </w:r>
          </w:p>
        </w:tc>
      </w:tr>
      <w:tr>
        <w:trPr>
          <w:cantSplit/>
        </w:trPr>
        <w:tc>
          <w:tcPr>
            <w:tcW w:type="dxa" w:w="1701"/>
            <w:vAlign w:val="top"/>
          </w:tcPr>
          <w:p>
            <w:r/>
            <w:r>
              <w:rPr>
                <w:b w:val="0"/>
                <w:sz w:val="14"/>
              </w:rPr>
              <w:t>ID-04</w:t>
            </w:r>
          </w:p>
        </w:tc>
        <w:tc>
          <w:tcPr>
            <w:tcW w:type="dxa" w:w="13039"/>
            <w:vAlign w:val="top"/>
          </w:tcPr>
          <w:p>
            <w:r/>
            <w:r>
              <w:rPr>
                <w:b w:val="0"/>
                <w:sz w:val="14"/>
              </w:rPr>
              <w:t>Les classes de parts ne sont pas écrasées dans le fonds.</w:t>
            </w:r>
          </w:p>
        </w:tc>
        <w:tc>
          <w:tcPr>
            <w:tcW w:type="dxa" w:w="2268"/>
            <w:vAlign w:val="top"/>
          </w:tcPr>
          <w:p>
            <w:r/>
            <w:r>
              <w:rPr>
                <w:b w:val="0"/>
                <w:sz w:val="14"/>
              </w:rPr>
              <w:t>Bloquant</w:t>
            </w:r>
          </w:p>
        </w:tc>
      </w:tr>
      <w:tr>
        <w:trPr>
          <w:cantSplit/>
        </w:trPr>
        <w:tc>
          <w:tcPr>
            <w:tcW w:type="dxa" w:w="1701"/>
            <w:vAlign w:val="top"/>
          </w:tcPr>
          <w:p>
            <w:r/>
            <w:r>
              <w:rPr>
                <w:b w:val="0"/>
                <w:sz w:val="14"/>
              </w:rPr>
              <w:t>EVT-01</w:t>
            </w:r>
          </w:p>
        </w:tc>
        <w:tc>
          <w:tcPr>
            <w:tcW w:type="dxa" w:w="13039"/>
            <w:vAlign w:val="top"/>
          </w:tcPr>
          <w:p>
            <w:r/>
            <w:r>
              <w:rPr>
                <w:b w:val="0"/>
                <w:sz w:val="14"/>
              </w:rPr>
              <w:t>Chaque événement a type, date, source et état avant/après.</w:t>
            </w:r>
          </w:p>
        </w:tc>
        <w:tc>
          <w:tcPr>
            <w:tcW w:type="dxa" w:w="2268"/>
            <w:vAlign w:val="top"/>
          </w:tcPr>
          <w:p>
            <w:r/>
            <w:r>
              <w:rPr>
                <w:b w:val="0"/>
                <w:sz w:val="14"/>
              </w:rPr>
              <w:t>Majeur</w:t>
            </w:r>
          </w:p>
        </w:tc>
      </w:tr>
      <w:tr>
        <w:trPr>
          <w:cantSplit/>
        </w:trPr>
        <w:tc>
          <w:tcPr>
            <w:tcW w:type="dxa" w:w="1701"/>
            <w:vAlign w:val="top"/>
          </w:tcPr>
          <w:p>
            <w:r/>
            <w:r>
              <w:rPr>
                <w:b w:val="0"/>
                <w:sz w:val="14"/>
              </w:rPr>
              <w:t>EVT-02</w:t>
            </w:r>
          </w:p>
        </w:tc>
        <w:tc>
          <w:tcPr>
            <w:tcW w:type="dxa" w:w="13039"/>
            <w:vAlign w:val="top"/>
          </w:tcPr>
          <w:p>
            <w:r/>
            <w:r>
              <w:rPr>
                <w:b w:val="0"/>
                <w:sz w:val="14"/>
              </w:rPr>
              <w:t>Une absence de NAV ne crée pas un événement de liquidation.</w:t>
            </w:r>
          </w:p>
        </w:tc>
        <w:tc>
          <w:tcPr>
            <w:tcW w:type="dxa" w:w="2268"/>
            <w:vAlign w:val="top"/>
          </w:tcPr>
          <w:p>
            <w:r/>
            <w:r>
              <w:rPr>
                <w:b w:val="0"/>
                <w:sz w:val="14"/>
              </w:rPr>
              <w:t>Majeur</w:t>
            </w:r>
          </w:p>
        </w:tc>
      </w:tr>
      <w:tr>
        <w:trPr>
          <w:cantSplit/>
        </w:trPr>
        <w:tc>
          <w:tcPr>
            <w:tcW w:type="dxa" w:w="1701"/>
            <w:vAlign w:val="top"/>
          </w:tcPr>
          <w:p>
            <w:r/>
            <w:r>
              <w:rPr>
                <w:b w:val="0"/>
                <w:sz w:val="14"/>
              </w:rPr>
              <w:t>EVT-03</w:t>
            </w:r>
          </w:p>
        </w:tc>
        <w:tc>
          <w:tcPr>
            <w:tcW w:type="dxa" w:w="13039"/>
            <w:vAlign w:val="top"/>
          </w:tcPr>
          <w:p>
            <w:r/>
            <w:r>
              <w:rPr>
                <w:b w:val="0"/>
                <w:sz w:val="14"/>
              </w:rPr>
              <w:t>Les événements contradictoires restent en conflit jusqu’à revue.</w:t>
            </w:r>
          </w:p>
        </w:tc>
        <w:tc>
          <w:tcPr>
            <w:tcW w:type="dxa" w:w="2268"/>
            <w:vAlign w:val="top"/>
          </w:tcPr>
          <w:p>
            <w:r/>
            <w:r>
              <w:rPr>
                <w:b w:val="0"/>
                <w:sz w:val="14"/>
              </w:rPr>
              <w:t>Majeur</w:t>
            </w:r>
          </w:p>
        </w:tc>
      </w:tr>
      <w:tr>
        <w:trPr>
          <w:cantSplit/>
        </w:trPr>
        <w:tc>
          <w:tcPr>
            <w:tcW w:type="dxa" w:w="1701"/>
            <w:vAlign w:val="top"/>
          </w:tcPr>
          <w:p>
            <w:r/>
            <w:r>
              <w:rPr>
                <w:b w:val="0"/>
                <w:sz w:val="14"/>
              </w:rPr>
              <w:t>DOC-01</w:t>
            </w:r>
          </w:p>
        </w:tc>
        <w:tc>
          <w:tcPr>
            <w:tcW w:type="dxa" w:w="13039"/>
            <w:vAlign w:val="top"/>
          </w:tcPr>
          <w:p>
            <w:r/>
            <w:r>
              <w:rPr>
                <w:b w:val="0"/>
                <w:sz w:val="14"/>
              </w:rPr>
              <w:t>Chaque cellule complétée référence une preuve ou un calcul documenté.</w:t>
            </w:r>
          </w:p>
        </w:tc>
        <w:tc>
          <w:tcPr>
            <w:tcW w:type="dxa" w:w="2268"/>
            <w:vAlign w:val="top"/>
          </w:tcPr>
          <w:p>
            <w:r/>
            <w:r>
              <w:rPr>
                <w:b w:val="0"/>
                <w:sz w:val="14"/>
              </w:rPr>
              <w:t>Majeur</w:t>
            </w:r>
          </w:p>
        </w:tc>
      </w:tr>
      <w:tr>
        <w:trPr>
          <w:cantSplit/>
        </w:trPr>
        <w:tc>
          <w:tcPr>
            <w:tcW w:type="dxa" w:w="1701"/>
            <w:vAlign w:val="top"/>
          </w:tcPr>
          <w:p>
            <w:r/>
            <w:r>
              <w:rPr>
                <w:b w:val="0"/>
                <w:sz w:val="14"/>
              </w:rPr>
              <w:t>DOC-02</w:t>
            </w:r>
          </w:p>
        </w:tc>
        <w:tc>
          <w:tcPr>
            <w:tcW w:type="dxa" w:w="13039"/>
            <w:vAlign w:val="top"/>
          </w:tcPr>
          <w:p>
            <w:r/>
            <w:r>
              <w:rPr>
                <w:b w:val="0"/>
                <w:sz w:val="14"/>
              </w:rPr>
              <w:t>Le document applicable à la période est utilisé, pas seulement le plus récent.</w:t>
            </w:r>
          </w:p>
        </w:tc>
        <w:tc>
          <w:tcPr>
            <w:tcW w:type="dxa" w:w="2268"/>
            <w:vAlign w:val="top"/>
          </w:tcPr>
          <w:p>
            <w:r/>
            <w:r>
              <w:rPr>
                <w:b w:val="0"/>
                <w:sz w:val="14"/>
              </w:rPr>
              <w:t>Majeur</w:t>
            </w:r>
          </w:p>
        </w:tc>
      </w:tr>
      <w:tr>
        <w:trPr>
          <w:cantSplit/>
        </w:trPr>
        <w:tc>
          <w:tcPr>
            <w:tcW w:type="dxa" w:w="1701"/>
            <w:vAlign w:val="top"/>
          </w:tcPr>
          <w:p>
            <w:r/>
            <w:r>
              <w:rPr>
                <w:b w:val="0"/>
                <w:sz w:val="14"/>
              </w:rPr>
              <w:t>DOC-03</w:t>
            </w:r>
          </w:p>
        </w:tc>
        <w:tc>
          <w:tcPr>
            <w:tcW w:type="dxa" w:w="13039"/>
            <w:vAlign w:val="top"/>
          </w:tcPr>
          <w:p>
            <w:r/>
            <w:r>
              <w:rPr>
                <w:b w:val="0"/>
                <w:sz w:val="14"/>
              </w:rPr>
              <w:t>Les citations de pages sont enregistrées.</w:t>
            </w:r>
          </w:p>
        </w:tc>
        <w:tc>
          <w:tcPr>
            <w:tcW w:type="dxa" w:w="2268"/>
            <w:vAlign w:val="top"/>
          </w:tcPr>
          <w:p>
            <w:r/>
            <w:r>
              <w:rPr>
                <w:b w:val="0"/>
                <w:sz w:val="14"/>
              </w:rPr>
              <w:t>Majeur</w:t>
            </w:r>
          </w:p>
        </w:tc>
      </w:tr>
      <w:tr>
        <w:trPr>
          <w:cantSplit/>
        </w:trPr>
        <w:tc>
          <w:tcPr>
            <w:tcW w:type="dxa" w:w="1701"/>
            <w:vAlign w:val="top"/>
          </w:tcPr>
          <w:p>
            <w:r/>
            <w:r>
              <w:rPr>
                <w:b w:val="0"/>
                <w:sz w:val="14"/>
              </w:rPr>
              <w:t>TIME-01</w:t>
            </w:r>
          </w:p>
        </w:tc>
        <w:tc>
          <w:tcPr>
            <w:tcW w:type="dxa" w:w="13039"/>
            <w:vAlign w:val="top"/>
          </w:tcPr>
          <w:p>
            <w:r/>
            <w:r>
              <w:rPr>
                <w:b w:val="0"/>
                <w:sz w:val="14"/>
              </w:rPr>
              <w:t>Inception, SEC approval, first valuation, publication et effective date restent distinctes.</w:t>
            </w:r>
          </w:p>
        </w:tc>
        <w:tc>
          <w:tcPr>
            <w:tcW w:type="dxa" w:w="2268"/>
            <w:vAlign w:val="top"/>
          </w:tcPr>
          <w:p>
            <w:r/>
            <w:r>
              <w:rPr>
                <w:b w:val="0"/>
                <w:sz w:val="14"/>
              </w:rPr>
              <w:t>Majeur</w:t>
            </w:r>
          </w:p>
        </w:tc>
      </w:tr>
      <w:tr>
        <w:trPr>
          <w:cantSplit/>
        </w:trPr>
        <w:tc>
          <w:tcPr>
            <w:tcW w:type="dxa" w:w="1701"/>
            <w:vAlign w:val="top"/>
          </w:tcPr>
          <w:p>
            <w:r/>
            <w:r>
              <w:rPr>
                <w:b w:val="0"/>
                <w:sz w:val="14"/>
              </w:rPr>
              <w:t>TIME-02</w:t>
            </w:r>
          </w:p>
        </w:tc>
        <w:tc>
          <w:tcPr>
            <w:tcW w:type="dxa" w:w="13039"/>
            <w:vAlign w:val="top"/>
          </w:tcPr>
          <w:p>
            <w:r/>
            <w:r>
              <w:rPr>
                <w:b w:val="0"/>
                <w:sz w:val="14"/>
              </w:rPr>
              <w:t>Une date partielle conserve sa précision.</w:t>
            </w:r>
          </w:p>
        </w:tc>
        <w:tc>
          <w:tcPr>
            <w:tcW w:type="dxa" w:w="2268"/>
            <w:vAlign w:val="top"/>
          </w:tcPr>
          <w:p>
            <w:r/>
            <w:r>
              <w:rPr>
                <w:b w:val="0"/>
                <w:sz w:val="14"/>
              </w:rPr>
              <w:t>Majeur</w:t>
            </w:r>
          </w:p>
        </w:tc>
      </w:tr>
      <w:tr>
        <w:trPr>
          <w:cantSplit/>
        </w:trPr>
        <w:tc>
          <w:tcPr>
            <w:tcW w:type="dxa" w:w="1701"/>
            <w:vAlign w:val="top"/>
          </w:tcPr>
          <w:p>
            <w:r/>
            <w:r>
              <w:rPr>
                <w:b w:val="0"/>
                <w:sz w:val="14"/>
              </w:rPr>
              <w:t>TIME-03</w:t>
            </w:r>
          </w:p>
        </w:tc>
        <w:tc>
          <w:tcPr>
            <w:tcW w:type="dxa" w:w="13039"/>
            <w:vAlign w:val="top"/>
          </w:tcPr>
          <w:p>
            <w:r/>
            <w:r>
              <w:rPr>
                <w:b w:val="0"/>
                <w:sz w:val="14"/>
              </w:rPr>
              <w:t>Les séries sont triées et les doublons exacts identifiés.</w:t>
            </w:r>
          </w:p>
        </w:tc>
        <w:tc>
          <w:tcPr>
            <w:tcW w:type="dxa" w:w="2268"/>
            <w:vAlign w:val="top"/>
          </w:tcPr>
          <w:p>
            <w:r/>
            <w:r>
              <w:rPr>
                <w:b w:val="0"/>
                <w:sz w:val="14"/>
              </w:rPr>
              <w:t>Majeur</w:t>
            </w:r>
          </w:p>
        </w:tc>
      </w:tr>
      <w:tr>
        <w:trPr>
          <w:cantSplit/>
        </w:trPr>
        <w:tc>
          <w:tcPr>
            <w:tcW w:type="dxa" w:w="1701"/>
            <w:vAlign w:val="top"/>
          </w:tcPr>
          <w:p>
            <w:r/>
            <w:r>
              <w:rPr>
                <w:b w:val="0"/>
                <w:sz w:val="14"/>
              </w:rPr>
              <w:t>PROD-01</w:t>
            </w:r>
          </w:p>
        </w:tc>
        <w:tc>
          <w:tcPr>
            <w:tcW w:type="dxa" w:w="13039"/>
            <w:vAlign w:val="top"/>
          </w:tcPr>
          <w:p>
            <w:r/>
            <w:r>
              <w:rPr>
                <w:b w:val="0"/>
                <w:sz w:val="14"/>
              </w:rPr>
              <w:t>Import idempotent : rejouer le même lot ne change pas le résultat.</w:t>
            </w:r>
          </w:p>
        </w:tc>
        <w:tc>
          <w:tcPr>
            <w:tcW w:type="dxa" w:w="2268"/>
            <w:vAlign w:val="top"/>
          </w:tcPr>
          <w:p>
            <w:r/>
            <w:r>
              <w:rPr>
                <w:b w:val="0"/>
                <w:sz w:val="14"/>
              </w:rPr>
              <w:t>Bloquant</w:t>
            </w:r>
          </w:p>
        </w:tc>
      </w:tr>
      <w:tr>
        <w:trPr>
          <w:cantSplit/>
        </w:trPr>
        <w:tc>
          <w:tcPr>
            <w:tcW w:type="dxa" w:w="1701"/>
            <w:vAlign w:val="top"/>
          </w:tcPr>
          <w:p>
            <w:r/>
            <w:r>
              <w:rPr>
                <w:b w:val="0"/>
                <w:sz w:val="14"/>
              </w:rPr>
              <w:t>PROD-02</w:t>
            </w:r>
          </w:p>
        </w:tc>
        <w:tc>
          <w:tcPr>
            <w:tcW w:type="dxa" w:w="13039"/>
            <w:vAlign w:val="top"/>
          </w:tcPr>
          <w:p>
            <w:r/>
            <w:r>
              <w:rPr>
                <w:b w:val="0"/>
                <w:sz w:val="14"/>
              </w:rPr>
              <w:t>Dry-run et rapport avant/après obligatoires.</w:t>
            </w:r>
          </w:p>
        </w:tc>
        <w:tc>
          <w:tcPr>
            <w:tcW w:type="dxa" w:w="2268"/>
            <w:vAlign w:val="top"/>
          </w:tcPr>
          <w:p>
            <w:r/>
            <w:r>
              <w:rPr>
                <w:b w:val="0"/>
                <w:sz w:val="14"/>
              </w:rPr>
              <w:t>Bloquant</w:t>
            </w:r>
          </w:p>
        </w:tc>
      </w:tr>
      <w:tr>
        <w:trPr>
          <w:cantSplit/>
        </w:trPr>
        <w:tc>
          <w:tcPr>
            <w:tcW w:type="dxa" w:w="1701"/>
            <w:vAlign w:val="top"/>
          </w:tcPr>
          <w:p>
            <w:r/>
            <w:r>
              <w:rPr>
                <w:b w:val="0"/>
                <w:sz w:val="14"/>
              </w:rPr>
              <w:t>PROD-03</w:t>
            </w:r>
          </w:p>
        </w:tc>
        <w:tc>
          <w:tcPr>
            <w:tcW w:type="dxa" w:w="13039"/>
            <w:vAlign w:val="top"/>
          </w:tcPr>
          <w:p>
            <w:r/>
            <w:r>
              <w:rPr>
                <w:b w:val="0"/>
                <w:sz w:val="14"/>
              </w:rPr>
              <w:t>Rollback testé sur snapshot ciblé.</w:t>
            </w:r>
          </w:p>
        </w:tc>
        <w:tc>
          <w:tcPr>
            <w:tcW w:type="dxa" w:w="2268"/>
            <w:vAlign w:val="top"/>
          </w:tcPr>
          <w:p>
            <w:r/>
            <w:r>
              <w:rPr>
                <w:b w:val="0"/>
                <w:sz w:val="14"/>
              </w:rPr>
              <w:t>Bloquant</w:t>
            </w:r>
          </w:p>
        </w:tc>
      </w:tr>
      <w:tr>
        <w:trPr>
          <w:cantSplit/>
        </w:trPr>
        <w:tc>
          <w:tcPr>
            <w:tcW w:type="dxa" w:w="1701"/>
            <w:vAlign w:val="top"/>
          </w:tcPr>
          <w:p>
            <w:r/>
            <w:r>
              <w:rPr>
                <w:b w:val="0"/>
                <w:sz w:val="14"/>
              </w:rPr>
              <w:t>PROD-04</w:t>
            </w:r>
          </w:p>
        </w:tc>
        <w:tc>
          <w:tcPr>
            <w:tcW w:type="dxa" w:w="13039"/>
            <w:vAlign w:val="top"/>
          </w:tcPr>
          <w:p>
            <w:r/>
            <w:r>
              <w:rPr>
                <w:b w:val="0"/>
                <w:sz w:val="14"/>
              </w:rPr>
              <w:t>Aucune régression sur les pays et fonds hors Nigeria.</w:t>
            </w:r>
          </w:p>
        </w:tc>
        <w:tc>
          <w:tcPr>
            <w:tcW w:type="dxa" w:w="2268"/>
            <w:vAlign w:val="top"/>
          </w:tcPr>
          <w:p>
            <w:r/>
            <w:r>
              <w:rPr>
                <w:b w:val="0"/>
                <w:sz w:val="14"/>
              </w:rPr>
              <w:t>Bloquant</w:t>
            </w:r>
          </w:p>
        </w:tc>
      </w:tr>
      <w:tr>
        <w:trPr>
          <w:cantSplit/>
        </w:trPr>
        <w:tc>
          <w:tcPr>
            <w:tcW w:type="dxa" w:w="1701"/>
            <w:vAlign w:val="top"/>
          </w:tcPr>
          <w:p>
            <w:r/>
            <w:r>
              <w:rPr>
                <w:b w:val="0"/>
                <w:sz w:val="14"/>
              </w:rPr>
              <w:t>PROD-05</w:t>
            </w:r>
          </w:p>
        </w:tc>
        <w:tc>
          <w:tcPr>
            <w:tcW w:type="dxa" w:w="13039"/>
            <w:vAlign w:val="top"/>
          </w:tcPr>
          <w:p>
            <w:r/>
            <w:r>
              <w:rPr>
                <w:b w:val="0"/>
                <w:sz w:val="14"/>
              </w:rPr>
              <w:t>Aucune modification à l’aveugle des mappings existants.</w:t>
            </w:r>
          </w:p>
        </w:tc>
        <w:tc>
          <w:tcPr>
            <w:tcW w:type="dxa" w:w="2268"/>
            <w:vAlign w:val="top"/>
          </w:tcPr>
          <w:p>
            <w:r/>
            <w:r>
              <w:rPr>
                <w:b w:val="0"/>
                <w:sz w:val="14"/>
              </w:rPr>
              <w:t>Bloquant</w:t>
            </w:r>
          </w:p>
        </w:tc>
      </w:tr>
      <w:tr>
        <w:trPr>
          <w:cantSplit/>
        </w:trPr>
        <w:tc>
          <w:tcPr>
            <w:tcW w:type="dxa" w:w="1701"/>
            <w:vAlign w:val="top"/>
          </w:tcPr>
          <w:p>
            <w:r/>
            <w:r>
              <w:rPr>
                <w:b w:val="0"/>
                <w:sz w:val="14"/>
              </w:rPr>
              <w:t>WEB-01</w:t>
            </w:r>
          </w:p>
        </w:tc>
        <w:tc>
          <w:tcPr>
            <w:tcW w:type="dxa" w:w="13039"/>
            <w:vAlign w:val="top"/>
          </w:tcPr>
          <w:p>
            <w:r/>
            <w:r>
              <w:rPr>
                <w:b w:val="0"/>
                <w:sz w:val="14"/>
              </w:rPr>
              <w:t>Le crawler respecte robots, délais, reprise et journalisation.</w:t>
            </w:r>
          </w:p>
        </w:tc>
        <w:tc>
          <w:tcPr>
            <w:tcW w:type="dxa" w:w="2268"/>
            <w:vAlign w:val="top"/>
          </w:tcPr>
          <w:p>
            <w:r/>
            <w:r>
              <w:rPr>
                <w:b w:val="0"/>
                <w:sz w:val="14"/>
              </w:rPr>
              <w:t>Majeur</w:t>
            </w:r>
          </w:p>
        </w:tc>
      </w:tr>
      <w:tr>
        <w:trPr>
          <w:cantSplit/>
        </w:trPr>
        <w:tc>
          <w:tcPr>
            <w:tcW w:type="dxa" w:w="1701"/>
            <w:vAlign w:val="top"/>
          </w:tcPr>
          <w:p>
            <w:r/>
            <w:r>
              <w:rPr>
                <w:b w:val="0"/>
                <w:sz w:val="14"/>
              </w:rPr>
              <w:t>WEB-02</w:t>
            </w:r>
          </w:p>
        </w:tc>
        <w:tc>
          <w:tcPr>
            <w:tcW w:type="dxa" w:w="13039"/>
            <w:vAlign w:val="top"/>
          </w:tcPr>
          <w:p>
            <w:r/>
            <w:r>
              <w:rPr>
                <w:b w:val="0"/>
                <w:sz w:val="14"/>
              </w:rPr>
              <w:t>Les téléchargements utilisent content-type et magic bytes.</w:t>
            </w:r>
          </w:p>
        </w:tc>
        <w:tc>
          <w:tcPr>
            <w:tcW w:type="dxa" w:w="2268"/>
            <w:vAlign w:val="top"/>
          </w:tcPr>
          <w:p>
            <w:r/>
            <w:r>
              <w:rPr>
                <w:b w:val="0"/>
                <w:sz w:val="14"/>
              </w:rPr>
              <w:t>Majeur</w:t>
            </w:r>
          </w:p>
        </w:tc>
      </w:tr>
      <w:tr>
        <w:trPr>
          <w:cantSplit/>
        </w:trPr>
        <w:tc>
          <w:tcPr>
            <w:tcW w:type="dxa" w:w="1701"/>
            <w:vAlign w:val="top"/>
          </w:tcPr>
          <w:p>
            <w:r/>
            <w:r>
              <w:rPr>
                <w:b w:val="0"/>
                <w:sz w:val="14"/>
              </w:rPr>
              <w:t>WEB-03</w:t>
            </w:r>
          </w:p>
        </w:tc>
        <w:tc>
          <w:tcPr>
            <w:tcW w:type="dxa" w:w="13039"/>
            <w:vAlign w:val="top"/>
          </w:tcPr>
          <w:p>
            <w:r/>
            <w:r>
              <w:rPr>
                <w:b w:val="0"/>
                <w:sz w:val="14"/>
              </w:rPr>
              <w:t>Les pages JavaScript ont un fallback navigateur ou endpoint de données.</w:t>
            </w:r>
          </w:p>
        </w:tc>
        <w:tc>
          <w:tcPr>
            <w:tcW w:type="dxa" w:w="2268"/>
            <w:vAlign w:val="top"/>
          </w:tcPr>
          <w:p>
            <w:r/>
            <w:r>
              <w:rPr>
                <w:b w:val="0"/>
                <w:sz w:val="14"/>
              </w:rPr>
              <w:t>Majeur</w:t>
            </w:r>
          </w:p>
        </w:tc>
      </w:tr>
      <w:tr>
        <w:trPr>
          <w:cantSplit/>
        </w:trPr>
        <w:tc>
          <w:tcPr>
            <w:tcW w:type="dxa" w:w="1701"/>
            <w:vAlign w:val="top"/>
          </w:tcPr>
          <w:p>
            <w:r/>
            <w:r>
              <w:rPr>
                <w:b w:val="0"/>
                <w:sz w:val="14"/>
              </w:rPr>
              <w:t>WEB-04</w:t>
            </w:r>
          </w:p>
        </w:tc>
        <w:tc>
          <w:tcPr>
            <w:tcW w:type="dxa" w:w="13039"/>
            <w:vAlign w:val="top"/>
          </w:tcPr>
          <w:p>
            <w:r/>
            <w:r>
              <w:rPr>
                <w:b w:val="0"/>
                <w:sz w:val="14"/>
              </w:rPr>
              <w:t>Les variations de domaine home.sec.gov.ng/sec.gov.ng sont gérées.</w:t>
            </w:r>
          </w:p>
        </w:tc>
        <w:tc>
          <w:tcPr>
            <w:tcW w:type="dxa" w:w="2268"/>
            <w:vAlign w:val="top"/>
          </w:tcPr>
          <w:p>
            <w:r/>
            <w:r>
              <w:rPr>
                <w:b w:val="0"/>
                <w:sz w:val="14"/>
              </w:rPr>
              <w:t>Majeur</w:t>
            </w:r>
          </w:p>
        </w:tc>
      </w:tr>
      <w:tr>
        <w:trPr>
          <w:cantSplit/>
        </w:trPr>
        <w:tc>
          <w:tcPr>
            <w:tcW w:type="dxa" w:w="1701"/>
            <w:vAlign w:val="top"/>
          </w:tcPr>
          <w:p>
            <w:r/>
            <w:r>
              <w:rPr>
                <w:b w:val="0"/>
                <w:sz w:val="14"/>
              </w:rPr>
              <w:t>WEB-05</w:t>
            </w:r>
          </w:p>
        </w:tc>
        <w:tc>
          <w:tcPr>
            <w:tcW w:type="dxa" w:w="13039"/>
            <w:vAlign w:val="top"/>
          </w:tcPr>
          <w:p>
            <w:r/>
            <w:r>
              <w:rPr>
                <w:b w:val="0"/>
                <w:sz w:val="14"/>
              </w:rPr>
              <w:t>Le sitemap est comparé au dernier snapshot pour détecter de nouvelles routes.</w:t>
            </w:r>
          </w:p>
        </w:tc>
        <w:tc>
          <w:tcPr>
            <w:tcW w:type="dxa" w:w="2268"/>
            <w:vAlign w:val="top"/>
          </w:tcPr>
          <w:p>
            <w:r/>
            <w:r>
              <w:rPr>
                <w:b w:val="0"/>
                <w:sz w:val="14"/>
              </w:rPr>
              <w:t>Majeur</w:t>
            </w:r>
          </w:p>
        </w:tc>
      </w:tr>
      <w:tr>
        <w:trPr>
          <w:cantSplit/>
        </w:trPr>
        <w:tc>
          <w:tcPr>
            <w:tcW w:type="dxa" w:w="1701"/>
            <w:vAlign w:val="top"/>
          </w:tcPr>
          <w:p>
            <w:r/>
            <w:r>
              <w:rPr>
                <w:b w:val="0"/>
                <w:sz w:val="14"/>
              </w:rPr>
              <w:t>CUR-01</w:t>
            </w:r>
          </w:p>
        </w:tc>
        <w:tc>
          <w:tcPr>
            <w:tcW w:type="dxa" w:w="13039"/>
            <w:vAlign w:val="top"/>
          </w:tcPr>
          <w:p>
            <w:r/>
            <w:r>
              <w:rPr>
                <w:b w:val="0"/>
                <w:sz w:val="14"/>
              </w:rPr>
              <w:t>Les taux FX utilisés portent source, date, convention et type.</w:t>
            </w:r>
          </w:p>
        </w:tc>
        <w:tc>
          <w:tcPr>
            <w:tcW w:type="dxa" w:w="2268"/>
            <w:vAlign w:val="top"/>
          </w:tcPr>
          <w:p>
            <w:r/>
            <w:r>
              <w:rPr>
                <w:b w:val="0"/>
                <w:sz w:val="14"/>
              </w:rPr>
              <w:t>Majeur</w:t>
            </w:r>
          </w:p>
        </w:tc>
      </w:tr>
      <w:tr>
        <w:trPr>
          <w:cantSplit/>
        </w:trPr>
        <w:tc>
          <w:tcPr>
            <w:tcW w:type="dxa" w:w="1701"/>
            <w:vAlign w:val="top"/>
          </w:tcPr>
          <w:p>
            <w:r/>
            <w:r>
              <w:rPr>
                <w:b w:val="0"/>
                <w:sz w:val="14"/>
              </w:rPr>
              <w:t>CUR-02</w:t>
            </w:r>
          </w:p>
        </w:tc>
        <w:tc>
          <w:tcPr>
            <w:tcW w:type="dxa" w:w="13039"/>
            <w:vAlign w:val="top"/>
          </w:tcPr>
          <w:p>
            <w:r/>
            <w:r>
              <w:rPr>
                <w:b w:val="0"/>
                <w:sz w:val="14"/>
              </w:rPr>
              <w:t>La couche brute n’est jamais convertie.</w:t>
            </w:r>
          </w:p>
        </w:tc>
        <w:tc>
          <w:tcPr>
            <w:tcW w:type="dxa" w:w="2268"/>
            <w:vAlign w:val="top"/>
          </w:tcPr>
          <w:p>
            <w:r/>
            <w:r>
              <w:rPr>
                <w:b w:val="0"/>
                <w:sz w:val="14"/>
              </w:rPr>
              <w:t>Majeur</w:t>
            </w:r>
          </w:p>
        </w:tc>
      </w:tr>
      <w:tr>
        <w:trPr>
          <w:cantSplit/>
        </w:trPr>
        <w:tc>
          <w:tcPr>
            <w:tcW w:type="dxa" w:w="1701"/>
            <w:vAlign w:val="top"/>
          </w:tcPr>
          <w:p>
            <w:r/>
            <w:r>
              <w:rPr>
                <w:b w:val="0"/>
                <w:sz w:val="14"/>
              </w:rPr>
              <w:t>BENCH-01</w:t>
            </w:r>
          </w:p>
        </w:tc>
        <w:tc>
          <w:tcPr>
            <w:tcW w:type="dxa" w:w="13039"/>
            <w:vAlign w:val="top"/>
          </w:tcPr>
          <w:p>
            <w:r/>
            <w:r>
              <w:rPr>
                <w:b w:val="0"/>
                <w:sz w:val="14"/>
              </w:rPr>
              <w:t>Le benchmark est versionné par période.</w:t>
            </w:r>
          </w:p>
        </w:tc>
        <w:tc>
          <w:tcPr>
            <w:tcW w:type="dxa" w:w="2268"/>
            <w:vAlign w:val="top"/>
          </w:tcPr>
          <w:p>
            <w:r/>
            <w:r>
              <w:rPr>
                <w:b w:val="0"/>
                <w:sz w:val="14"/>
              </w:rPr>
              <w:t>Majeur</w:t>
            </w:r>
          </w:p>
        </w:tc>
      </w:tr>
      <w:tr>
        <w:trPr>
          <w:cantSplit/>
        </w:trPr>
        <w:tc>
          <w:tcPr>
            <w:tcW w:type="dxa" w:w="1701"/>
            <w:vAlign w:val="top"/>
          </w:tcPr>
          <w:p>
            <w:r/>
            <w:r>
              <w:rPr>
                <w:b w:val="0"/>
                <w:sz w:val="14"/>
              </w:rPr>
              <w:t>BENCH-02</w:t>
            </w:r>
          </w:p>
        </w:tc>
        <w:tc>
          <w:tcPr>
            <w:tcW w:type="dxa" w:w="13039"/>
            <w:vAlign w:val="top"/>
          </w:tcPr>
          <w:p>
            <w:r/>
            <w:r>
              <w:rPr>
                <w:b w:val="0"/>
                <w:sz w:val="14"/>
              </w:rPr>
              <w:t>Les indices price/total return ne sont pas confondus.</w:t>
            </w:r>
          </w:p>
        </w:tc>
        <w:tc>
          <w:tcPr>
            <w:tcW w:type="dxa" w:w="2268"/>
            <w:vAlign w:val="top"/>
          </w:tcPr>
          <w:p>
            <w:r/>
            <w:r>
              <w:rPr>
                <w:b w:val="0"/>
                <w:sz w:val="14"/>
              </w:rPr>
              <w:t>Majeur</w:t>
            </w:r>
          </w:p>
        </w:tc>
      </w:tr>
      <w:tr>
        <w:trPr>
          <w:cantSplit/>
        </w:trPr>
        <w:tc>
          <w:tcPr>
            <w:tcW w:type="dxa" w:w="1701"/>
            <w:vAlign w:val="top"/>
          </w:tcPr>
          <w:p>
            <w:r/>
            <w:r>
              <w:rPr>
                <w:b w:val="0"/>
                <w:sz w:val="14"/>
              </w:rPr>
              <w:t>ANL-01</w:t>
            </w:r>
          </w:p>
        </w:tc>
        <w:tc>
          <w:tcPr>
            <w:tcW w:type="dxa" w:w="13039"/>
            <w:vAlign w:val="top"/>
          </w:tcPr>
          <w:p>
            <w:r/>
            <w:r>
              <w:rPr>
                <w:b w:val="0"/>
                <w:sz w:val="14"/>
              </w:rPr>
              <w:t>Les performances ne sont calculées que sur une série de prix unitaire comparable.</w:t>
            </w:r>
          </w:p>
        </w:tc>
        <w:tc>
          <w:tcPr>
            <w:tcW w:type="dxa" w:w="2268"/>
            <w:vAlign w:val="top"/>
          </w:tcPr>
          <w:p>
            <w:r/>
            <w:r>
              <w:rPr>
                <w:b w:val="0"/>
                <w:sz w:val="14"/>
              </w:rPr>
              <w:t>Majeur</w:t>
            </w:r>
          </w:p>
        </w:tc>
      </w:tr>
      <w:tr>
        <w:trPr>
          <w:cantSplit/>
        </w:trPr>
        <w:tc>
          <w:tcPr>
            <w:tcW w:type="dxa" w:w="1701"/>
            <w:vAlign w:val="top"/>
          </w:tcPr>
          <w:p>
            <w:r/>
            <w:r>
              <w:rPr>
                <w:b w:val="0"/>
                <w:sz w:val="14"/>
              </w:rPr>
              <w:t>ANL-02</w:t>
            </w:r>
          </w:p>
        </w:tc>
        <w:tc>
          <w:tcPr>
            <w:tcW w:type="dxa" w:w="13039"/>
            <w:vAlign w:val="top"/>
          </w:tcPr>
          <w:p>
            <w:r/>
            <w:r>
              <w:rPr>
                <w:b w:val="0"/>
                <w:sz w:val="14"/>
              </w:rPr>
              <w:t>Dividendes et splits sont traités selon la méthodologie choisie.</w:t>
            </w:r>
          </w:p>
        </w:tc>
        <w:tc>
          <w:tcPr>
            <w:tcW w:type="dxa" w:w="2268"/>
            <w:vAlign w:val="top"/>
          </w:tcPr>
          <w:p>
            <w:r/>
            <w:r>
              <w:rPr>
                <w:b w:val="0"/>
                <w:sz w:val="14"/>
              </w:rPr>
              <w:t>Majeur</w:t>
            </w:r>
          </w:p>
        </w:tc>
      </w:tr>
      <w:tr>
        <w:trPr>
          <w:cantSplit/>
        </w:trPr>
        <w:tc>
          <w:tcPr>
            <w:tcW w:type="dxa" w:w="1701"/>
            <w:vAlign w:val="top"/>
          </w:tcPr>
          <w:p>
            <w:r/>
            <w:r>
              <w:rPr>
                <w:b w:val="0"/>
                <w:sz w:val="14"/>
              </w:rPr>
              <w:t>ANL-03</w:t>
            </w:r>
          </w:p>
        </w:tc>
        <w:tc>
          <w:tcPr>
            <w:tcW w:type="dxa" w:w="13039"/>
            <w:vAlign w:val="top"/>
          </w:tcPr>
          <w:p>
            <w:r/>
            <w:r>
              <w:rPr>
                <w:b w:val="0"/>
                <w:sz w:val="14"/>
              </w:rPr>
              <w:t>Les ratios signalent fréquence, annualisation et fenêtre.</w:t>
            </w:r>
          </w:p>
        </w:tc>
        <w:tc>
          <w:tcPr>
            <w:tcW w:type="dxa" w:w="2268"/>
            <w:vAlign w:val="top"/>
          </w:tcPr>
          <w:p>
            <w:r/>
            <w:r>
              <w:rPr>
                <w:b w:val="0"/>
                <w:sz w:val="14"/>
              </w:rPr>
              <w:t>Majeur</w:t>
            </w:r>
          </w:p>
        </w:tc>
      </w:tr>
      <w:tr>
        <w:trPr>
          <w:cantSplit/>
        </w:trPr>
        <w:tc>
          <w:tcPr>
            <w:tcW w:type="dxa" w:w="1701"/>
            <w:vAlign w:val="top"/>
          </w:tcPr>
          <w:p>
            <w:r/>
            <w:r>
              <w:rPr>
                <w:b w:val="0"/>
                <w:sz w:val="14"/>
              </w:rPr>
              <w:t>REV-01</w:t>
            </w:r>
          </w:p>
        </w:tc>
        <w:tc>
          <w:tcPr>
            <w:tcW w:type="dxa" w:w="13039"/>
            <w:vAlign w:val="top"/>
          </w:tcPr>
          <w:p>
            <w:r/>
            <w:r>
              <w:rPr>
                <w:b w:val="0"/>
                <w:sz w:val="14"/>
              </w:rPr>
              <w:t>Les cas faibles ou conflictuels sont envoyés en revue humaine.</w:t>
            </w:r>
          </w:p>
        </w:tc>
        <w:tc>
          <w:tcPr>
            <w:tcW w:type="dxa" w:w="2268"/>
            <w:vAlign w:val="top"/>
          </w:tcPr>
          <w:p>
            <w:r/>
            <w:r>
              <w:rPr>
                <w:b w:val="0"/>
                <w:sz w:val="14"/>
              </w:rPr>
              <w:t>Majeur</w:t>
            </w:r>
          </w:p>
        </w:tc>
      </w:tr>
      <w:tr>
        <w:trPr>
          <w:cantSplit/>
        </w:trPr>
        <w:tc>
          <w:tcPr>
            <w:tcW w:type="dxa" w:w="1701"/>
            <w:vAlign w:val="top"/>
          </w:tcPr>
          <w:p>
            <w:r/>
            <w:r>
              <w:rPr>
                <w:b w:val="0"/>
                <w:sz w:val="14"/>
              </w:rPr>
              <w:t>REV-02</w:t>
            </w:r>
          </w:p>
        </w:tc>
        <w:tc>
          <w:tcPr>
            <w:tcW w:type="dxa" w:w="13039"/>
            <w:vAlign w:val="top"/>
          </w:tcPr>
          <w:p>
            <w:r/>
            <w:r>
              <w:rPr>
                <w:b w:val="0"/>
                <w:sz w:val="14"/>
              </w:rPr>
              <w:t>Le journal de décision explique pourquoi une identité a été reliée.</w:t>
            </w:r>
          </w:p>
        </w:tc>
        <w:tc>
          <w:tcPr>
            <w:tcW w:type="dxa" w:w="2268"/>
            <w:vAlign w:val="top"/>
          </w:tcPr>
          <w:p>
            <w:r/>
            <w:r>
              <w:rPr>
                <w:b w:val="0"/>
                <w:sz w:val="14"/>
              </w:rPr>
              <w:t>Majeur</w:t>
            </w:r>
          </w:p>
        </w:tc>
      </w:tr>
      <w:tr>
        <w:trPr>
          <w:cantSplit/>
        </w:trPr>
        <w:tc>
          <w:tcPr>
            <w:tcW w:type="dxa" w:w="1701"/>
            <w:vAlign w:val="top"/>
          </w:tcPr>
          <w:p>
            <w:r/>
            <w:r>
              <w:rPr>
                <w:b w:val="0"/>
                <w:sz w:val="14"/>
              </w:rPr>
              <w:t>REV-03</w:t>
            </w:r>
          </w:p>
        </w:tc>
        <w:tc>
          <w:tcPr>
            <w:tcW w:type="dxa" w:w="13039"/>
            <w:vAlign w:val="top"/>
          </w:tcPr>
          <w:p>
            <w:r/>
            <w:r>
              <w:rPr>
                <w:b w:val="0"/>
                <w:sz w:val="14"/>
              </w:rPr>
              <w:t>Toute correction conserve l’ancienne valeur et son auteur/date.</w:t>
            </w:r>
          </w:p>
        </w:tc>
        <w:tc>
          <w:tcPr>
            <w:tcW w:type="dxa" w:w="2268"/>
            <w:vAlign w:val="top"/>
          </w:tcPr>
          <w:p>
            <w:r/>
            <w:r>
              <w:rPr>
                <w:b w:val="0"/>
                <w:sz w:val="14"/>
              </w:rPr>
              <w:t>Majeur</w:t>
            </w:r>
          </w:p>
        </w:tc>
      </w:tr>
    </w:tbl>
    <w:p/>
    <w:p>
      <w:pPr>
        <w:sectPr>
          <w:pgSz w:w="12240" w:h="15840" w:orient="landscape"/>
          <w:pgMar w:top="850" w:right="737" w:bottom="850" w:left="737" w:header="397" w:footer="397" w:gutter="0"/>
          <w:cols w:space="720"/>
          <w:docGrid w:linePitch="360"/>
        </w:sectPr>
      </w:pPr>
    </w:p>
    <w:p>
      <w:pPr>
        <w:pStyle w:val="Heading1"/>
      </w:pPr>
      <w:r>
        <w:t>PARTIE XXVI — VEILLE, CRON ET MISE À JOUR CONTINUE</w:t>
      </w:r>
    </w:p>
    <w:tbl>
      <w:tblPr>
        <w:tblStyle w:val="TableGrid"/>
        <w:tblW w:type="auto" w:w="0"/>
        <w:jc w:val="center"/>
        <w:tblLook w:firstColumn="1" w:firstRow="1" w:lastColumn="0" w:lastRow="0" w:noHBand="0" w:noVBand="1" w:val="04A0"/>
      </w:tblPr>
      <w:tblGrid>
        <w:gridCol w:w="4600"/>
        <w:gridCol w:w="4600"/>
        <w:gridCol w:w="4600"/>
      </w:tblGrid>
      <w:tr>
        <w:trPr>
          <w:tblHeader w:val="true"/>
        </w:trPr>
        <w:tc>
          <w:tcPr>
            <w:tcW w:type="dxa" w:w="2835"/>
            <w:vAlign w:val="top"/>
            <w:shd w:fill="1F4E78"/>
          </w:tcPr>
          <w:p>
            <w:r>
              <w:rPr>
                <w:color w:val="FFFFFF"/>
              </w:rPr>
            </w:r>
            <w:r>
              <w:rPr>
                <w:b/>
                <w:color w:val="FFFFFF"/>
                <w:sz w:val="16"/>
              </w:rPr>
              <w:t>Flux</w:t>
            </w:r>
          </w:p>
        </w:tc>
        <w:tc>
          <w:tcPr>
            <w:tcW w:type="dxa" w:w="2835"/>
            <w:vAlign w:val="top"/>
            <w:shd w:fill="1F4E78"/>
          </w:tcPr>
          <w:p>
            <w:r>
              <w:rPr>
                <w:color w:val="FFFFFF"/>
              </w:rPr>
            </w:r>
            <w:r>
              <w:rPr>
                <w:b/>
                <w:color w:val="FFFFFF"/>
                <w:sz w:val="16"/>
              </w:rPr>
              <w:t>Cadence</w:t>
            </w:r>
          </w:p>
        </w:tc>
        <w:tc>
          <w:tcPr>
            <w:tcW w:type="dxa" w:w="5102"/>
            <w:vAlign w:val="top"/>
            <w:shd w:fill="1F4E78"/>
          </w:tcPr>
          <w:p>
            <w:r>
              <w:rPr>
                <w:color w:val="FFFFFF"/>
              </w:rPr>
            </w:r>
            <w:r>
              <w:rPr>
                <w:b/>
                <w:color w:val="FFFFFF"/>
                <w:sz w:val="16"/>
              </w:rPr>
              <w:t>Action</w:t>
            </w:r>
          </w:p>
        </w:tc>
      </w:tr>
      <w:tr>
        <w:trPr>
          <w:cantSplit/>
        </w:trPr>
        <w:tc>
          <w:tcPr>
            <w:tcW w:type="dxa" w:w="2835"/>
            <w:vAlign w:val="top"/>
          </w:tcPr>
          <w:p>
            <w:r/>
            <w:r>
              <w:rPr>
                <w:b w:val="0"/>
                <w:sz w:val="16"/>
              </w:rPr>
              <w:t>SEC Weekly NAV</w:t>
            </w:r>
          </w:p>
        </w:tc>
        <w:tc>
          <w:tcPr>
            <w:tcW w:type="dxa" w:w="2835"/>
            <w:vAlign w:val="top"/>
          </w:tcPr>
          <w:p>
            <w:r/>
            <w:r>
              <w:rPr>
                <w:b w:val="0"/>
                <w:sz w:val="16"/>
              </w:rPr>
              <w:t>Chaque semaine + rattrapage quotidien</w:t>
            </w:r>
          </w:p>
        </w:tc>
        <w:tc>
          <w:tcPr>
            <w:tcW w:type="dxa" w:w="5102"/>
            <w:vAlign w:val="top"/>
          </w:tcPr>
          <w:p>
            <w:r/>
            <w:r>
              <w:rPr>
                <w:b w:val="0"/>
                <w:sz w:val="16"/>
              </w:rPr>
              <w:t>Comparer la page annuelle et les hashes; télécharger nouvelles pièces.</w:t>
            </w:r>
          </w:p>
        </w:tc>
      </w:tr>
      <w:tr>
        <w:trPr>
          <w:cantSplit/>
        </w:trPr>
        <w:tc>
          <w:tcPr>
            <w:tcW w:type="dxa" w:w="2835"/>
            <w:vAlign w:val="top"/>
          </w:tcPr>
          <w:p>
            <w:r/>
            <w:r>
              <w:rPr>
                <w:b w:val="0"/>
                <w:sz w:val="16"/>
              </w:rPr>
              <w:t>SEC Monthly CIS</w:t>
            </w:r>
          </w:p>
        </w:tc>
        <w:tc>
          <w:tcPr>
            <w:tcW w:type="dxa" w:w="2835"/>
            <w:vAlign w:val="top"/>
          </w:tcPr>
          <w:p>
            <w:r/>
            <w:r>
              <w:rPr>
                <w:b w:val="0"/>
                <w:sz w:val="16"/>
              </w:rPr>
              <w:t>Hebdomadaire pour détecter publication; intégrer mensuellement</w:t>
            </w:r>
          </w:p>
        </w:tc>
        <w:tc>
          <w:tcPr>
            <w:tcW w:type="dxa" w:w="5102"/>
            <w:vAlign w:val="top"/>
          </w:tcPr>
          <w:p>
            <w:r/>
            <w:r>
              <w:rPr>
                <w:b w:val="0"/>
                <w:sz w:val="16"/>
              </w:rPr>
              <w:t>Conserver snapshot et comparer fonds/gestionnaires/catégories.</w:t>
            </w:r>
          </w:p>
        </w:tc>
      </w:tr>
      <w:tr>
        <w:trPr>
          <w:cantSplit/>
        </w:trPr>
        <w:tc>
          <w:tcPr>
            <w:tcW w:type="dxa" w:w="2835"/>
            <w:vAlign w:val="top"/>
          </w:tcPr>
          <w:p>
            <w:r/>
            <w:r>
              <w:rPr>
                <w:b w:val="0"/>
                <w:sz w:val="16"/>
              </w:rPr>
              <w:t>SEC Monthly ETF</w:t>
            </w:r>
          </w:p>
        </w:tc>
        <w:tc>
          <w:tcPr>
            <w:tcW w:type="dxa" w:w="2835"/>
            <w:vAlign w:val="top"/>
          </w:tcPr>
          <w:p>
            <w:r/>
            <w:r>
              <w:rPr>
                <w:b w:val="0"/>
                <w:sz w:val="16"/>
              </w:rPr>
              <w:t>Mensuel</w:t>
            </w:r>
          </w:p>
        </w:tc>
        <w:tc>
          <w:tcPr>
            <w:tcW w:type="dxa" w:w="5102"/>
            <w:vAlign w:val="top"/>
          </w:tcPr>
          <w:p>
            <w:r/>
            <w:r>
              <w:rPr>
                <w:b w:val="0"/>
                <w:sz w:val="16"/>
              </w:rPr>
              <w:t>Croiser avec NGX.</w:t>
            </w:r>
          </w:p>
        </w:tc>
      </w:tr>
      <w:tr>
        <w:trPr>
          <w:cantSplit/>
        </w:trPr>
        <w:tc>
          <w:tcPr>
            <w:tcW w:type="dxa" w:w="2835"/>
            <w:vAlign w:val="top"/>
          </w:tcPr>
          <w:p>
            <w:r/>
            <w:r>
              <w:rPr>
                <w:b w:val="0"/>
                <w:sz w:val="16"/>
              </w:rPr>
              <w:t>SEC Registered Operators</w:t>
            </w:r>
          </w:p>
        </w:tc>
        <w:tc>
          <w:tcPr>
            <w:tcW w:type="dxa" w:w="2835"/>
            <w:vAlign w:val="top"/>
          </w:tcPr>
          <w:p>
            <w:r/>
            <w:r>
              <w:rPr>
                <w:b w:val="0"/>
                <w:sz w:val="16"/>
              </w:rPr>
              <w:t>Mensuel</w:t>
            </w:r>
          </w:p>
        </w:tc>
        <w:tc>
          <w:tcPr>
            <w:tcW w:type="dxa" w:w="5102"/>
            <w:vAlign w:val="top"/>
          </w:tcPr>
          <w:p>
            <w:r/>
            <w:r>
              <w:rPr>
                <w:b w:val="0"/>
                <w:sz w:val="16"/>
              </w:rPr>
              <w:t>Snapshot de toutes les pages; détecter status/function/name/CAC changes.</w:t>
            </w:r>
          </w:p>
        </w:tc>
      </w:tr>
      <w:tr>
        <w:trPr>
          <w:cantSplit/>
        </w:trPr>
        <w:tc>
          <w:tcPr>
            <w:tcW w:type="dxa" w:w="2835"/>
            <w:vAlign w:val="top"/>
          </w:tcPr>
          <w:p>
            <w:r/>
            <w:r>
              <w:rPr>
                <w:b w:val="0"/>
                <w:sz w:val="16"/>
              </w:rPr>
              <w:t>SEC Circulars/Rules</w:t>
            </w:r>
          </w:p>
        </w:tc>
        <w:tc>
          <w:tcPr>
            <w:tcW w:type="dxa" w:w="2835"/>
            <w:vAlign w:val="top"/>
          </w:tcPr>
          <w:p>
            <w:r/>
            <w:r>
              <w:rPr>
                <w:b w:val="0"/>
                <w:sz w:val="16"/>
              </w:rPr>
              <w:t>Hebdomadaire</w:t>
            </w:r>
          </w:p>
        </w:tc>
        <w:tc>
          <w:tcPr>
            <w:tcW w:type="dxa" w:w="5102"/>
            <w:vAlign w:val="top"/>
          </w:tcPr>
          <w:p>
            <w:r/>
            <w:r>
              <w:rPr>
                <w:b w:val="0"/>
                <w:sz w:val="16"/>
              </w:rPr>
              <w:t>Classifier nouveaux documents et événements.</w:t>
            </w:r>
          </w:p>
        </w:tc>
      </w:tr>
      <w:tr>
        <w:trPr>
          <w:cantSplit/>
        </w:trPr>
        <w:tc>
          <w:tcPr>
            <w:tcW w:type="dxa" w:w="2835"/>
            <w:vAlign w:val="top"/>
          </w:tcPr>
          <w:p>
            <w:r/>
            <w:r>
              <w:rPr>
                <w:b w:val="0"/>
                <w:sz w:val="16"/>
              </w:rPr>
              <w:t>Sites gestionnaires</w:t>
            </w:r>
          </w:p>
        </w:tc>
        <w:tc>
          <w:tcPr>
            <w:tcW w:type="dxa" w:w="2835"/>
            <w:vAlign w:val="top"/>
          </w:tcPr>
          <w:p>
            <w:r/>
            <w:r>
              <w:rPr>
                <w:b w:val="0"/>
                <w:sz w:val="16"/>
              </w:rPr>
              <w:t>Hebdomadaire ou mensuel selon activité</w:t>
            </w:r>
          </w:p>
        </w:tc>
        <w:tc>
          <w:tcPr>
            <w:tcW w:type="dxa" w:w="5102"/>
            <w:vAlign w:val="top"/>
          </w:tcPr>
          <w:p>
            <w:r/>
            <w:r>
              <w:rPr>
                <w:b w:val="0"/>
                <w:sz w:val="16"/>
              </w:rPr>
              <w:t>Surveiller pages funds/downloads/factsheets/prospectus.</w:t>
            </w:r>
          </w:p>
        </w:tc>
      </w:tr>
      <w:tr>
        <w:trPr>
          <w:cantSplit/>
        </w:trPr>
        <w:tc>
          <w:tcPr>
            <w:tcW w:type="dxa" w:w="2835"/>
            <w:vAlign w:val="top"/>
          </w:tcPr>
          <w:p>
            <w:r/>
            <w:r>
              <w:rPr>
                <w:b w:val="0"/>
                <w:sz w:val="16"/>
              </w:rPr>
              <w:t>NGX/FMDQ/CBN/DMO</w:t>
            </w:r>
          </w:p>
        </w:tc>
        <w:tc>
          <w:tcPr>
            <w:tcW w:type="dxa" w:w="2835"/>
            <w:vAlign w:val="top"/>
          </w:tcPr>
          <w:p>
            <w:r/>
            <w:r>
              <w:rPr>
                <w:b w:val="0"/>
                <w:sz w:val="16"/>
              </w:rPr>
              <w:t>Quotidien ou selon besoin analytique</w:t>
            </w:r>
          </w:p>
        </w:tc>
        <w:tc>
          <w:tcPr>
            <w:tcW w:type="dxa" w:w="5102"/>
            <w:vAlign w:val="top"/>
          </w:tcPr>
          <w:p>
            <w:r/>
            <w:r>
              <w:rPr>
                <w:b w:val="0"/>
                <w:sz w:val="16"/>
              </w:rPr>
              <w:t>Mettre à jour benchmarks, prix cotés, courbes et taux.</w:t>
            </w:r>
          </w:p>
        </w:tc>
      </w:tr>
      <w:tr>
        <w:trPr>
          <w:cantSplit/>
        </w:trPr>
        <w:tc>
          <w:tcPr>
            <w:tcW w:type="dxa" w:w="2835"/>
            <w:vAlign w:val="top"/>
          </w:tcPr>
          <w:p>
            <w:r/>
            <w:r>
              <w:rPr>
                <w:b w:val="0"/>
                <w:sz w:val="16"/>
              </w:rPr>
              <w:t>CAC/CSCS LEI</w:t>
            </w:r>
          </w:p>
        </w:tc>
        <w:tc>
          <w:tcPr>
            <w:tcW w:type="dxa" w:w="2835"/>
            <w:vAlign w:val="top"/>
          </w:tcPr>
          <w:p>
            <w:r/>
            <w:r>
              <w:rPr>
                <w:b w:val="0"/>
                <w:sz w:val="16"/>
              </w:rPr>
              <w:t>À la demande + revue annuelle</w:t>
            </w:r>
          </w:p>
        </w:tc>
        <w:tc>
          <w:tcPr>
            <w:tcW w:type="dxa" w:w="5102"/>
            <w:vAlign w:val="top"/>
          </w:tcPr>
          <w:p>
            <w:r/>
            <w:r>
              <w:rPr>
                <w:b w:val="0"/>
                <w:sz w:val="16"/>
              </w:rPr>
              <w:t>Valider identité légale et identifiants.</w:t>
            </w:r>
          </w:p>
        </w:tc>
      </w:tr>
      <w:tr>
        <w:trPr>
          <w:cantSplit/>
        </w:trPr>
        <w:tc>
          <w:tcPr>
            <w:tcW w:type="dxa" w:w="2835"/>
            <w:vAlign w:val="top"/>
          </w:tcPr>
          <w:p>
            <w:r/>
            <w:r>
              <w:rPr>
                <w:b w:val="0"/>
                <w:sz w:val="16"/>
              </w:rPr>
              <w:t>Wayback</w:t>
            </w:r>
          </w:p>
        </w:tc>
        <w:tc>
          <w:tcPr>
            <w:tcW w:type="dxa" w:w="2835"/>
            <w:vAlign w:val="top"/>
          </w:tcPr>
          <w:p>
            <w:r/>
            <w:r>
              <w:rPr>
                <w:b w:val="0"/>
                <w:sz w:val="16"/>
              </w:rPr>
              <w:t>À chaque lien disparu ou recherche historique</w:t>
            </w:r>
          </w:p>
        </w:tc>
        <w:tc>
          <w:tcPr>
            <w:tcW w:type="dxa" w:w="5102"/>
            <w:vAlign w:val="top"/>
          </w:tcPr>
          <w:p>
            <w:r/>
            <w:r>
              <w:rPr>
                <w:b w:val="0"/>
                <w:sz w:val="16"/>
              </w:rPr>
              <w:t>Capturer l’URL archivistique et le timestamp.</w:t>
            </w:r>
          </w:p>
        </w:tc>
      </w:tr>
      <w:tr>
        <w:trPr>
          <w:cantSplit/>
        </w:trPr>
        <w:tc>
          <w:tcPr>
            <w:tcW w:type="dxa" w:w="2835"/>
            <w:vAlign w:val="top"/>
          </w:tcPr>
          <w:p>
            <w:r/>
            <w:r>
              <w:rPr>
                <w:b w:val="0"/>
                <w:sz w:val="16"/>
              </w:rPr>
              <w:t>Revue qualité</w:t>
            </w:r>
          </w:p>
        </w:tc>
        <w:tc>
          <w:tcPr>
            <w:tcW w:type="dxa" w:w="2835"/>
            <w:vAlign w:val="top"/>
          </w:tcPr>
          <w:p>
            <w:r/>
            <w:r>
              <w:rPr>
                <w:b w:val="0"/>
                <w:sz w:val="16"/>
              </w:rPr>
              <w:t>Hebdomadaire</w:t>
            </w:r>
          </w:p>
        </w:tc>
        <w:tc>
          <w:tcPr>
            <w:tcW w:type="dxa" w:w="5102"/>
            <w:vAlign w:val="top"/>
          </w:tcPr>
          <w:p>
            <w:r/>
            <w:r>
              <w:rPr>
                <w:b w:val="0"/>
                <w:sz w:val="16"/>
              </w:rPr>
              <w:t>Traiter anomalies bloquantes et conflits d’identité.</w:t>
            </w:r>
          </w:p>
        </w:tc>
      </w:tr>
      <w:tr>
        <w:trPr>
          <w:cantSplit/>
        </w:trPr>
        <w:tc>
          <w:tcPr>
            <w:tcW w:type="dxa" w:w="2835"/>
            <w:vAlign w:val="top"/>
          </w:tcPr>
          <w:p>
            <w:r/>
            <w:r>
              <w:rPr>
                <w:b w:val="0"/>
                <w:sz w:val="16"/>
              </w:rPr>
              <w:t>Audit complet</w:t>
            </w:r>
          </w:p>
        </w:tc>
        <w:tc>
          <w:tcPr>
            <w:tcW w:type="dxa" w:w="2835"/>
            <w:vAlign w:val="top"/>
          </w:tcPr>
          <w:p>
            <w:r/>
            <w:r>
              <w:rPr>
                <w:b w:val="0"/>
                <w:sz w:val="16"/>
              </w:rPr>
              <w:t>Trimestriel</w:t>
            </w:r>
          </w:p>
        </w:tc>
        <w:tc>
          <w:tcPr>
            <w:tcW w:type="dxa" w:w="5102"/>
            <w:vAlign w:val="top"/>
          </w:tcPr>
          <w:p>
            <w:r/>
            <w:r>
              <w:rPr>
                <w:b w:val="0"/>
                <w:sz w:val="16"/>
              </w:rPr>
              <w:t>Recalcul couverture, trous, doublons, liens cassés et changements réglementaires.</w:t>
            </w:r>
          </w:p>
        </w:tc>
      </w:tr>
    </w:tbl>
    <w:p/>
    <w:p>
      <w:pPr>
        <w:pStyle w:val="Heading2"/>
      </w:pPr>
      <w:r>
        <w:t>29. Runbook d’une collecte hebdomadaire</w:t>
      </w:r>
    </w:p>
    <w:p>
      <w:pPr>
        <w:pStyle w:val="ListNumber"/>
      </w:pPr>
      <w:r>
        <w:t>Lire le dernier snapshot de la page SEC 2026 Weekly NAV.</w:t>
      </w:r>
    </w:p>
    <w:p>
      <w:pPr>
        <w:pStyle w:val="ListNumber"/>
      </w:pPr>
      <w:r>
        <w:t>Télécharger la page et extraire chaque href XLS/XLSX avec son texte et sa date de publication.</w:t>
      </w:r>
    </w:p>
    <w:p>
      <w:pPr>
        <w:pStyle w:val="ListNumber"/>
      </w:pPr>
      <w:r>
        <w:t>Comparer URL, taille, ETag et hash avec le registre existant.</w:t>
      </w:r>
    </w:p>
    <w:p>
      <w:pPr>
        <w:pStyle w:val="ListNumber"/>
      </w:pPr>
      <w:r>
        <w:t>Archiver chaque nouveau contenu avant parsing.</w:t>
      </w:r>
    </w:p>
    <w:p>
      <w:pPr>
        <w:pStyle w:val="ListNumber"/>
      </w:pPr>
      <w:r>
        <w:t>Inventorier les feuilles et sélectionner le parseur par structure.</w:t>
      </w:r>
    </w:p>
    <w:p>
      <w:pPr>
        <w:pStyle w:val="ListNumber"/>
      </w:pPr>
      <w:r>
        <w:t>Émettre les observations en staging avec provenance cellule.</w:t>
      </w:r>
    </w:p>
    <w:p>
      <w:pPr>
        <w:pStyle w:val="ListNumber"/>
      </w:pPr>
      <w:r>
        <w:t>Exécuter les contrôles NAV/Unit Price/Bid/Offer, dates, devises, nombres et identités.</w:t>
      </w:r>
    </w:p>
    <w:p>
      <w:pPr>
        <w:pStyle w:val="ListNumber"/>
      </w:pPr>
      <w:r>
        <w:t>Produire un rapport de différences : nouveaux fonds, fonds absents, nouveaux gestionnaires, changements de catégories, anomalies.</w:t>
      </w:r>
    </w:p>
    <w:p>
      <w:pPr>
        <w:pStyle w:val="ListNumber"/>
      </w:pPr>
      <w:r>
        <w:t>Résoudre uniquement les mappings à preuve suffisante ; envoyer les autres en revue.</w:t>
      </w:r>
    </w:p>
    <w:p>
      <w:pPr>
        <w:pStyle w:val="ListNumber"/>
      </w:pPr>
      <w:r>
        <w:t>Exécuter dry-run d’intégration, tests de non-régression et sauvegarde.</w:t>
      </w:r>
    </w:p>
    <w:p>
      <w:pPr>
        <w:pStyle w:val="ListNumber"/>
      </w:pPr>
      <w:r>
        <w:t>Appliquer l’import idempotent et publier le rapport final.</w:t>
      </w:r>
    </w:p>
    <w:p>
      <w:pPr>
        <w:pStyle w:val="ListNumber"/>
      </w:pPr>
      <w:r>
        <w:t>Mettre à jour le registre de sources, les hashes et le journal de décisions.</w:t>
      </w:r>
    </w:p>
    <w:p>
      <w:pPr>
        <w:sectPr>
          <w:pgSz w:w="15840" w:h="12240"/>
          <w:pgMar w:top="1020" w:right="1020" w:bottom="1020" w:left="1020" w:header="397" w:footer="397" w:gutter="0"/>
          <w:cols w:space="720"/>
          <w:docGrid w:linePitch="360"/>
        </w:sectPr>
      </w:pPr>
    </w:p>
    <w:p>
      <w:pPr>
        <w:pStyle w:val="Heading1"/>
      </w:pPr>
      <w:r>
        <w:t>PARTIE XXVII — CRITÈRES DE COMPLÉTUDE ET DE LIVRAISON</w:t>
      </w:r>
    </w:p>
    <w:p>
      <w:pPr>
        <w:pStyle w:val="Heading2"/>
      </w:pPr>
      <w:r>
        <w:t>30. Quand une ligne du DataFrame peut être déclarée « complétée »</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835"/>
            <w:vAlign w:val="top"/>
            <w:shd w:fill="1F4E78"/>
          </w:tcPr>
          <w:p>
            <w:r>
              <w:rPr>
                <w:color w:val="FFFFFF"/>
              </w:rPr>
            </w:r>
            <w:r>
              <w:rPr>
                <w:b/>
                <w:color w:val="FFFFFF"/>
                <w:sz w:val="16"/>
              </w:rPr>
              <w:t>Dimension</w:t>
            </w:r>
          </w:p>
        </w:tc>
        <w:tc>
          <w:tcPr>
            <w:tcW w:type="dxa" w:w="7370"/>
            <w:vAlign w:val="top"/>
            <w:shd w:fill="1F4E78"/>
          </w:tcPr>
          <w:p>
            <w:r>
              <w:rPr>
                <w:color w:val="FFFFFF"/>
              </w:rPr>
            </w:r>
            <w:r>
              <w:rPr>
                <w:b/>
                <w:color w:val="FFFFFF"/>
                <w:sz w:val="16"/>
              </w:rPr>
              <w:t>Critère</w:t>
            </w:r>
          </w:p>
        </w:tc>
      </w:tr>
      <w:tr>
        <w:trPr>
          <w:cantSplit/>
        </w:trPr>
        <w:tc>
          <w:tcPr>
            <w:tcW w:type="dxa" w:w="2835"/>
            <w:vAlign w:val="top"/>
          </w:tcPr>
          <w:p>
            <w:r/>
            <w:r>
              <w:rPr>
                <w:b w:val="0"/>
                <w:sz w:val="16"/>
              </w:rPr>
              <w:t>Identité</w:t>
            </w:r>
          </w:p>
        </w:tc>
        <w:tc>
          <w:tcPr>
            <w:tcW w:type="dxa" w:w="7370"/>
            <w:vAlign w:val="top"/>
          </w:tcPr>
          <w:p>
            <w:r/>
            <w:r>
              <w:rPr>
                <w:b w:val="0"/>
                <w:sz w:val="16"/>
              </w:rPr>
              <w:t>Le nom historique, le candidat canonique et les alias sont documentés; les incertitudes sont visibles.</w:t>
            </w:r>
          </w:p>
        </w:tc>
      </w:tr>
      <w:tr>
        <w:trPr>
          <w:cantSplit/>
        </w:trPr>
        <w:tc>
          <w:tcPr>
            <w:tcW w:type="dxa" w:w="2835"/>
            <w:vAlign w:val="top"/>
          </w:tcPr>
          <w:p>
            <w:r/>
            <w:r>
              <w:rPr>
                <w:b w:val="0"/>
                <w:sz w:val="16"/>
              </w:rPr>
              <w:t>Dates</w:t>
            </w:r>
          </w:p>
        </w:tc>
        <w:tc>
          <w:tcPr>
            <w:tcW w:type="dxa" w:w="7370"/>
            <w:vAlign w:val="top"/>
          </w:tcPr>
          <w:p>
            <w:r/>
            <w:r>
              <w:rPr>
                <w:b w:val="0"/>
                <w:sz w:val="16"/>
              </w:rPr>
              <w:t>Lancement, approbation SEC et première valorisation sont séparés ou explicitement non trouvés.</w:t>
            </w:r>
          </w:p>
        </w:tc>
      </w:tr>
      <w:tr>
        <w:trPr>
          <w:cantSplit/>
        </w:trPr>
        <w:tc>
          <w:tcPr>
            <w:tcW w:type="dxa" w:w="2835"/>
            <w:vAlign w:val="top"/>
          </w:tcPr>
          <w:p>
            <w:r/>
            <w:r>
              <w:rPr>
                <w:b w:val="0"/>
                <w:sz w:val="16"/>
              </w:rPr>
              <w:t>Prix initial</w:t>
            </w:r>
          </w:p>
        </w:tc>
        <w:tc>
          <w:tcPr>
            <w:tcW w:type="dxa" w:w="7370"/>
            <w:vAlign w:val="top"/>
          </w:tcPr>
          <w:p>
            <w:r/>
            <w:r>
              <w:rPr>
                <w:b w:val="0"/>
                <w:sz w:val="16"/>
              </w:rPr>
              <w:t>Valeur, devise et source sont présentes, ou absence documentée.</w:t>
            </w:r>
          </w:p>
        </w:tc>
      </w:tr>
      <w:tr>
        <w:trPr>
          <w:cantSplit/>
        </w:trPr>
        <w:tc>
          <w:tcPr>
            <w:tcW w:type="dxa" w:w="2835"/>
            <w:vAlign w:val="top"/>
          </w:tcPr>
          <w:p>
            <w:r/>
            <w:r>
              <w:rPr>
                <w:b w:val="0"/>
                <w:sz w:val="16"/>
              </w:rPr>
              <w:t>Gestion</w:t>
            </w:r>
          </w:p>
        </w:tc>
        <w:tc>
          <w:tcPr>
            <w:tcW w:type="dxa" w:w="7370"/>
            <w:vAlign w:val="top"/>
          </w:tcPr>
          <w:p>
            <w:r/>
            <w:r>
              <w:rPr>
                <w:b w:val="0"/>
                <w:sz w:val="16"/>
              </w:rPr>
              <w:t>Gestionnaires initial et actuel et changements sont sourcés.</w:t>
            </w:r>
          </w:p>
        </w:tc>
      </w:tr>
      <w:tr>
        <w:trPr>
          <w:cantSplit/>
        </w:trPr>
        <w:tc>
          <w:tcPr>
            <w:tcW w:type="dxa" w:w="2835"/>
            <w:vAlign w:val="top"/>
          </w:tcPr>
          <w:p>
            <w:r/>
            <w:r>
              <w:rPr>
                <w:b w:val="0"/>
                <w:sz w:val="16"/>
              </w:rPr>
              <w:t>Prestataires</w:t>
            </w:r>
          </w:p>
        </w:tc>
        <w:tc>
          <w:tcPr>
            <w:tcW w:type="dxa" w:w="7370"/>
            <w:vAlign w:val="top"/>
          </w:tcPr>
          <w:p>
            <w:r/>
            <w:r>
              <w:rPr>
                <w:b w:val="0"/>
                <w:sz w:val="16"/>
              </w:rPr>
              <w:t>Trustee/custodian/registrar/auditeur recherchés et historisés si trouvés.</w:t>
            </w:r>
          </w:p>
        </w:tc>
      </w:tr>
      <w:tr>
        <w:trPr>
          <w:cantSplit/>
        </w:trPr>
        <w:tc>
          <w:tcPr>
            <w:tcW w:type="dxa" w:w="2835"/>
            <w:vAlign w:val="top"/>
          </w:tcPr>
          <w:p>
            <w:r/>
            <w:r>
              <w:rPr>
                <w:b w:val="0"/>
                <w:sz w:val="16"/>
              </w:rPr>
              <w:t>Caractéristiques</w:t>
            </w:r>
          </w:p>
        </w:tc>
        <w:tc>
          <w:tcPr>
            <w:tcW w:type="dxa" w:w="7370"/>
            <w:vAlign w:val="top"/>
          </w:tcPr>
          <w:p>
            <w:r/>
            <w:r>
              <w:rPr>
                <w:b w:val="0"/>
                <w:sz w:val="16"/>
              </w:rPr>
              <w:t>Objectif, catégorie, benchmark, devise, frais, minimum et règles opérationnelles sont rattachés à des documents applicables.</w:t>
            </w:r>
          </w:p>
        </w:tc>
      </w:tr>
      <w:tr>
        <w:trPr>
          <w:cantSplit/>
        </w:trPr>
        <w:tc>
          <w:tcPr>
            <w:tcW w:type="dxa" w:w="2835"/>
            <w:vAlign w:val="top"/>
          </w:tcPr>
          <w:p>
            <w:r/>
            <w:r>
              <w:rPr>
                <w:b w:val="0"/>
                <w:sz w:val="16"/>
              </w:rPr>
              <w:t>Documents</w:t>
            </w:r>
          </w:p>
        </w:tc>
        <w:tc>
          <w:tcPr>
            <w:tcW w:type="dxa" w:w="7370"/>
            <w:vAlign w:val="top"/>
          </w:tcPr>
          <w:p>
            <w:r/>
            <w:r>
              <w:rPr>
                <w:b w:val="0"/>
                <w:sz w:val="16"/>
              </w:rPr>
              <w:t>Prospectus, factsheet et rapports ont URL, copie archivée, hash et dates.</w:t>
            </w:r>
          </w:p>
        </w:tc>
      </w:tr>
      <w:tr>
        <w:trPr>
          <w:cantSplit/>
        </w:trPr>
        <w:tc>
          <w:tcPr>
            <w:tcW w:type="dxa" w:w="2835"/>
            <w:vAlign w:val="top"/>
          </w:tcPr>
          <w:p>
            <w:r/>
            <w:r>
              <w:rPr>
                <w:b w:val="0"/>
                <w:sz w:val="16"/>
              </w:rPr>
              <w:t>Événements</w:t>
            </w:r>
          </w:p>
        </w:tc>
        <w:tc>
          <w:tcPr>
            <w:tcW w:type="dxa" w:w="7370"/>
            <w:vAlign w:val="top"/>
          </w:tcPr>
          <w:p>
            <w:r/>
            <w:r>
              <w:rPr>
                <w:b w:val="0"/>
                <w:sz w:val="16"/>
              </w:rPr>
              <w:t>Chaque rupture ou transformation a été recherchée; aucune supposition n’est présentée comme fait.</w:t>
            </w:r>
          </w:p>
        </w:tc>
      </w:tr>
      <w:tr>
        <w:trPr>
          <w:cantSplit/>
        </w:trPr>
        <w:tc>
          <w:tcPr>
            <w:tcW w:type="dxa" w:w="2835"/>
            <w:vAlign w:val="top"/>
          </w:tcPr>
          <w:p>
            <w:r/>
            <w:r>
              <w:rPr>
                <w:b w:val="0"/>
                <w:sz w:val="16"/>
              </w:rPr>
              <w:t>Chronologie 2012–2025</w:t>
            </w:r>
          </w:p>
        </w:tc>
        <w:tc>
          <w:tcPr>
            <w:tcW w:type="dxa" w:w="7370"/>
            <w:vAlign w:val="top"/>
          </w:tcPr>
          <w:p>
            <w:r/>
            <w:r>
              <w:rPr>
                <w:b w:val="0"/>
                <w:sz w:val="16"/>
              </w:rPr>
              <w:t>Chaque année contient les mesures disponibles ou un statut d’absence documenté.</w:t>
            </w:r>
          </w:p>
        </w:tc>
      </w:tr>
      <w:tr>
        <w:trPr>
          <w:cantSplit/>
        </w:trPr>
        <w:tc>
          <w:tcPr>
            <w:tcW w:type="dxa" w:w="2835"/>
            <w:vAlign w:val="top"/>
          </w:tcPr>
          <w:p>
            <w:r/>
            <w:r>
              <w:rPr>
                <w:b w:val="0"/>
                <w:sz w:val="16"/>
              </w:rPr>
              <w:t>Narratif</w:t>
            </w:r>
          </w:p>
        </w:tc>
        <w:tc>
          <w:tcPr>
            <w:tcW w:type="dxa" w:w="7370"/>
            <w:vAlign w:val="top"/>
          </w:tcPr>
          <w:p>
            <w:r/>
            <w:r>
              <w:rPr>
                <w:b w:val="0"/>
                <w:sz w:val="16"/>
              </w:rPr>
              <w:t>La colonne « Ce qui s’est passé » distingue faits prouvés, inférences et points ouverts.</w:t>
            </w:r>
          </w:p>
        </w:tc>
      </w:tr>
      <w:tr>
        <w:trPr>
          <w:cantSplit/>
        </w:trPr>
        <w:tc>
          <w:tcPr>
            <w:tcW w:type="dxa" w:w="2835"/>
            <w:vAlign w:val="top"/>
          </w:tcPr>
          <w:p>
            <w:r/>
            <w:r>
              <w:rPr>
                <w:b w:val="0"/>
                <w:sz w:val="16"/>
              </w:rPr>
              <w:t>Preuve cellule</w:t>
            </w:r>
          </w:p>
        </w:tc>
        <w:tc>
          <w:tcPr>
            <w:tcW w:type="dxa" w:w="7370"/>
            <w:vAlign w:val="top"/>
          </w:tcPr>
          <w:p>
            <w:r/>
            <w:r>
              <w:rPr>
                <w:b w:val="0"/>
                <w:sz w:val="16"/>
              </w:rPr>
              <w:t>Toute valeur non vide a un evidence_id ou un calculation_id.</w:t>
            </w:r>
          </w:p>
        </w:tc>
      </w:tr>
      <w:tr>
        <w:trPr>
          <w:cantSplit/>
        </w:trPr>
        <w:tc>
          <w:tcPr>
            <w:tcW w:type="dxa" w:w="2835"/>
            <w:vAlign w:val="top"/>
          </w:tcPr>
          <w:p>
            <w:r/>
            <w:r>
              <w:rPr>
                <w:b w:val="0"/>
                <w:sz w:val="16"/>
              </w:rPr>
              <w:t>Revue</w:t>
            </w:r>
          </w:p>
        </w:tc>
        <w:tc>
          <w:tcPr>
            <w:tcW w:type="dxa" w:w="7370"/>
            <w:vAlign w:val="top"/>
          </w:tcPr>
          <w:p>
            <w:r/>
            <w:r>
              <w:rPr>
                <w:b w:val="0"/>
                <w:sz w:val="16"/>
              </w:rPr>
              <w:t>Les conflits critiques ont été validés humainement.</w:t>
            </w:r>
          </w:p>
        </w:tc>
      </w:tr>
    </w:tbl>
    <w:p/>
    <w:tbl>
      <w:tblPr>
        <w:tblStyle w:val="TableGrid"/>
        <w:tblW w:type="auto" w:w="0"/>
        <w:jc w:val="center"/>
        <w:tblLook w:firstColumn="1" w:firstRow="1" w:lastColumn="0" w:lastRow="0" w:noHBand="0" w:noVBand="1" w:val="04A0"/>
      </w:tblPr>
      <w:tblGrid>
        <w:gridCol w:w="10200"/>
      </w:tblGrid>
      <w:tr>
        <w:tc>
          <w:tcPr>
            <w:tcW w:type="dxa" w:w="10200"/>
            <w:shd w:fill="E2F0D9"/>
          </w:tcPr>
          <w:p>
            <w:r>
              <w:rPr>
                <w:b/>
              </w:rPr>
              <w:t xml:space="preserve">Définition finale de l’exhaustivité — </w:t>
            </w:r>
            <w:r>
              <w:t>Exhaustif ne signifie pas remplir artificiellement les 90 cellules. Exhaustif signifie avoir recherché toutes les familles de sources pertinentes, enregistré les requêtes et documents, rempli ce qui est prouvé, conservé ce qui est contradictoire et laissé explicitement vide ce qui demeure inconnu.</w:t>
            </w:r>
          </w:p>
        </w:tc>
      </w:tr>
    </w:tbl>
    <w:p/>
    <w:p>
      <w:pPr>
        <w:pStyle w:val="Heading2"/>
      </w:pPr>
      <w:r>
        <w:t>31. Check-list avant validation de l’édition Nigeria</w:t>
      </w:r>
    </w:p>
    <w:p>
      <w:pPr>
        <w:pStyle w:val="ListBullet"/>
      </w:pPr>
      <w:r>
        <w:t>Les pages SEC annuelles 2011–2026 ont été inventoriées et leur couverture comparée au dernier snapshot.</w:t>
      </w:r>
    </w:p>
    <w:p>
      <w:pPr>
        <w:pStyle w:val="ListBullet"/>
      </w:pPr>
      <w:r>
        <w:t>Les pages mensuelles CIS 2019–2026 et ETF 2017–2026 ont été inventoriées.</w:t>
      </w:r>
    </w:p>
    <w:p>
      <w:pPr>
        <w:pStyle w:val="ListBullet"/>
      </w:pPr>
      <w:r>
        <w:t>Le registre SEC des opérateurs a été capturé intégralement, pas seulement la première page.</w:t>
      </w:r>
    </w:p>
    <w:p>
      <w:pPr>
        <w:pStyle w:val="ListBullet"/>
      </w:pPr>
      <w:r>
        <w:t>Les règles 2025 et circulaires 2026 ont été prises en compte.</w:t>
      </w:r>
    </w:p>
    <w:p>
      <w:pPr>
        <w:pStyle w:val="ListBullet"/>
      </w:pPr>
      <w:r>
        <w:t>Chaque URL du registre est cliquable et possède une stratégie d’archivage.</w:t>
      </w:r>
    </w:p>
    <w:p>
      <w:pPr>
        <w:pStyle w:val="ListBullet"/>
      </w:pPr>
      <w:r>
        <w:t>Les sites de gestionnaires sont reliés à une entité confirmée SEC/CAC.</w:t>
      </w:r>
    </w:p>
    <w:p>
      <w:pPr>
        <w:pStyle w:val="ListBullet"/>
      </w:pPr>
      <w:r>
        <w:t>Les requêtes Google partent du nom historique de la colonne A.</w:t>
      </w:r>
    </w:p>
    <w:p>
      <w:pPr>
        <w:pStyle w:val="ListBullet"/>
      </w:pPr>
      <w:r>
        <w:t>Les recherches filetype:pdf et site:domain ont été exécutées.</w:t>
      </w:r>
    </w:p>
    <w:p>
      <w:pPr>
        <w:pStyle w:val="ListBullet"/>
      </w:pPr>
      <w:r>
        <w:t>Wayback est utilisé pour les pages anciennes ou disparues.</w:t>
      </w:r>
    </w:p>
    <w:p>
      <w:pPr>
        <w:pStyle w:val="ListBullet"/>
      </w:pPr>
      <w:r>
        <w:t>Les documents sont hashés et indexés.</w:t>
      </w:r>
    </w:p>
    <w:p>
      <w:pPr>
        <w:pStyle w:val="ListBullet"/>
      </w:pPr>
      <w:r>
        <w:t>NAV, Unit Price, Bid et Offer restent séparés.</w:t>
      </w:r>
    </w:p>
    <w:p>
      <w:pPr>
        <w:pStyle w:val="ListBullet"/>
      </w:pPr>
      <w:r>
        <w:t>Les devises et unités sont explicites.</w:t>
      </w:r>
    </w:p>
    <w:p>
      <w:pPr>
        <w:pStyle w:val="ListBullet"/>
      </w:pPr>
      <w:r>
        <w:t>Les catégories brutes SEC sont conservées avant normalisation.</w:t>
      </w:r>
    </w:p>
    <w:p>
      <w:pPr>
        <w:pStyle w:val="ListBullet"/>
      </w:pPr>
      <w:r>
        <w:t>Les alias de gestionnaires sont traités avec preuve.</w:t>
      </w:r>
    </w:p>
    <w:p>
      <w:pPr>
        <w:pStyle w:val="ListBullet"/>
      </w:pPr>
      <w:r>
        <w:t>Les événements ont dates et sources.</w:t>
      </w:r>
    </w:p>
    <w:p>
      <w:pPr>
        <w:pStyle w:val="ListBullet"/>
      </w:pPr>
      <w:r>
        <w:t>Les 90 champs disposent d’un statut de recherche.</w:t>
      </w:r>
    </w:p>
    <w:p>
      <w:pPr>
        <w:pStyle w:val="ListBullet"/>
      </w:pPr>
      <w:r>
        <w:t>Les cellules vides ne sont pas transformées en zéros ou en dates inventées.</w:t>
      </w:r>
    </w:p>
    <w:p>
      <w:pPr>
        <w:pStyle w:val="ListBullet"/>
      </w:pPr>
      <w:r>
        <w:t>Les conflits ne sont pas masqués.</w:t>
      </w:r>
    </w:p>
    <w:p>
      <w:pPr>
        <w:pStyle w:val="ListBullet"/>
      </w:pPr>
      <w:r>
        <w:t>L’import est idempotent, sauvegardé, testé et réversible.</w:t>
      </w:r>
    </w:p>
    <w:p>
      <w:pPr>
        <w:pStyle w:val="ListBullet"/>
      </w:pPr>
      <w:r>
        <w:t>Le rapport de couverture et les points ouverts sont publiés.</w:t>
      </w:r>
    </w:p>
    <w:p>
      <w:pPr>
        <w:sectPr>
          <w:pgSz w:w="12240" w:h="15840"/>
          <w:pgMar w:top="1020" w:right="1020" w:bottom="1020" w:left="1020" w:header="397" w:footer="397" w:gutter="0"/>
          <w:cols w:space="720"/>
          <w:docGrid w:linePitch="360"/>
        </w:sectPr>
      </w:pPr>
    </w:p>
    <w:p>
      <w:pPr>
        <w:pStyle w:val="Heading1"/>
      </w:pPr>
      <w:r>
        <w:t>ANNEXE G — JOURNAL DE RECHERCHE WEB DE L’ÉDITION 2.0</w:t>
      </w:r>
    </w:p>
    <w:tbl>
      <w:tblPr>
        <w:tblStyle w:val="TableGrid"/>
        <w:tblW w:type="auto" w:w="0"/>
        <w:jc w:val="center"/>
        <w:tblLook w:firstColumn="1" w:firstRow="1" w:lastColumn="0" w:lastRow="0" w:noHBand="0" w:noVBand="1" w:val="04A0"/>
      </w:tblPr>
      <w:tblGrid>
        <w:gridCol w:w="4789"/>
        <w:gridCol w:w="4789"/>
        <w:gridCol w:w="4789"/>
      </w:tblGrid>
      <w:tr>
        <w:trPr>
          <w:tblHeader w:val="true"/>
        </w:trPr>
        <w:tc>
          <w:tcPr>
            <w:tcW w:type="dxa" w:w="3402"/>
            <w:vAlign w:val="top"/>
            <w:shd w:fill="1F4E78"/>
          </w:tcPr>
          <w:p>
            <w:r>
              <w:rPr>
                <w:color w:val="FFFFFF"/>
              </w:rPr>
            </w:r>
            <w:r>
              <w:rPr>
                <w:b/>
                <w:color w:val="FFFFFF"/>
                <w:sz w:val="15"/>
              </w:rPr>
              <w:t>Périmètre</w:t>
            </w:r>
          </w:p>
        </w:tc>
        <w:tc>
          <w:tcPr>
            <w:tcW w:type="dxa" w:w="7370"/>
            <w:vAlign w:val="top"/>
            <w:shd w:fill="1F4E78"/>
          </w:tcPr>
          <w:p>
            <w:r>
              <w:rPr>
                <w:color w:val="FFFFFF"/>
              </w:rPr>
            </w:r>
            <w:r>
              <w:rPr>
                <w:b/>
                <w:color w:val="FFFFFF"/>
                <w:sz w:val="15"/>
              </w:rPr>
              <w:t>Résultat</w:t>
            </w:r>
          </w:p>
        </w:tc>
        <w:tc>
          <w:tcPr>
            <w:tcW w:type="dxa" w:w="6803"/>
            <w:vAlign w:val="top"/>
            <w:shd w:fill="1F4E78"/>
          </w:tcPr>
          <w:p>
            <w:r>
              <w:rPr>
                <w:color w:val="FFFFFF"/>
              </w:rPr>
            </w:r>
            <w:r>
              <w:rPr>
                <w:b/>
                <w:color w:val="FFFFFF"/>
                <w:sz w:val="15"/>
              </w:rPr>
              <w:t>Action permanente</w:t>
            </w:r>
          </w:p>
        </w:tc>
      </w:tr>
      <w:tr>
        <w:trPr>
          <w:cantSplit/>
        </w:trPr>
        <w:tc>
          <w:tcPr>
            <w:tcW w:type="dxa" w:w="3402"/>
            <w:vAlign w:val="top"/>
          </w:tcPr>
          <w:p>
            <w:r/>
            <w:r>
              <w:rPr>
                <w:b w:val="0"/>
                <w:sz w:val="15"/>
              </w:rPr>
              <w:t>SEC weekly 2026</w:t>
            </w:r>
          </w:p>
        </w:tc>
        <w:tc>
          <w:tcPr>
            <w:tcW w:type="dxa" w:w="7370"/>
            <w:vAlign w:val="top"/>
          </w:tcPr>
          <w:p>
            <w:r/>
            <w:r>
              <w:rPr>
                <w:b w:val="0"/>
                <w:sz w:val="15"/>
              </w:rPr>
              <w:t>Page vérifiée; fichiers observés jusqu’au 10/07/2026.</w:t>
            </w:r>
          </w:p>
        </w:tc>
        <w:tc>
          <w:tcPr>
            <w:tcW w:type="dxa" w:w="6803"/>
            <w:vAlign w:val="top"/>
          </w:tcPr>
          <w:p>
            <w:r/>
            <w:r>
              <w:rPr>
                <w:b w:val="0"/>
                <w:sz w:val="15"/>
              </w:rPr>
              <w:t>Conserver veille hebdomadaire.</w:t>
            </w:r>
          </w:p>
        </w:tc>
      </w:tr>
      <w:tr>
        <w:trPr>
          <w:cantSplit/>
        </w:trPr>
        <w:tc>
          <w:tcPr>
            <w:tcW w:type="dxa" w:w="3402"/>
            <w:vAlign w:val="top"/>
          </w:tcPr>
          <w:p>
            <w:r/>
            <w:r>
              <w:rPr>
                <w:b w:val="0"/>
                <w:sz w:val="15"/>
              </w:rPr>
              <w:t>SEC monthly CIS 2026</w:t>
            </w:r>
          </w:p>
        </w:tc>
        <w:tc>
          <w:tcPr>
            <w:tcW w:type="dxa" w:w="7370"/>
            <w:vAlign w:val="top"/>
          </w:tcPr>
          <w:p>
            <w:r/>
            <w:r>
              <w:rPr>
                <w:b w:val="0"/>
                <w:sz w:val="15"/>
              </w:rPr>
              <w:t>Janvier, février et mars 2026 observés.</w:t>
            </w:r>
          </w:p>
        </w:tc>
        <w:tc>
          <w:tcPr>
            <w:tcW w:type="dxa" w:w="6803"/>
            <w:vAlign w:val="top"/>
          </w:tcPr>
          <w:p>
            <w:r/>
            <w:r>
              <w:rPr>
                <w:b w:val="0"/>
                <w:sz w:val="15"/>
              </w:rPr>
              <w:t>Publication mensuelle parfois différée.</w:t>
            </w:r>
          </w:p>
        </w:tc>
      </w:tr>
      <w:tr>
        <w:trPr>
          <w:cantSplit/>
        </w:trPr>
        <w:tc>
          <w:tcPr>
            <w:tcW w:type="dxa" w:w="3402"/>
            <w:vAlign w:val="top"/>
          </w:tcPr>
          <w:p>
            <w:r/>
            <w:r>
              <w:rPr>
                <w:b w:val="0"/>
                <w:sz w:val="15"/>
              </w:rPr>
              <w:t>SEC archive sitemap</w:t>
            </w:r>
          </w:p>
        </w:tc>
        <w:tc>
          <w:tcPr>
            <w:tcW w:type="dxa" w:w="7370"/>
            <w:vAlign w:val="top"/>
          </w:tcPr>
          <w:p>
            <w:r/>
            <w:r>
              <w:rPr>
                <w:b w:val="0"/>
                <w:sz w:val="15"/>
              </w:rPr>
              <w:t>Routes annuelles hebdomadaires 2011–2026 confirmées.</w:t>
            </w:r>
          </w:p>
        </w:tc>
        <w:tc>
          <w:tcPr>
            <w:tcW w:type="dxa" w:w="6803"/>
            <w:vAlign w:val="top"/>
          </w:tcPr>
          <w:p>
            <w:r/>
            <w:r>
              <w:rPr>
                <w:b w:val="0"/>
                <w:sz w:val="15"/>
              </w:rPr>
              <w:t>Comparer régulièrement au sitemap.</w:t>
            </w:r>
          </w:p>
        </w:tc>
      </w:tr>
      <w:tr>
        <w:trPr>
          <w:cantSplit/>
        </w:trPr>
        <w:tc>
          <w:tcPr>
            <w:tcW w:type="dxa" w:w="3402"/>
            <w:vAlign w:val="top"/>
          </w:tcPr>
          <w:p>
            <w:r/>
            <w:r>
              <w:rPr>
                <w:b w:val="0"/>
                <w:sz w:val="15"/>
              </w:rPr>
              <w:t>SEC registered operators</w:t>
            </w:r>
          </w:p>
        </w:tc>
        <w:tc>
          <w:tcPr>
            <w:tcW w:type="dxa" w:w="7370"/>
            <w:vAlign w:val="top"/>
          </w:tcPr>
          <w:p>
            <w:r/>
            <w:r>
              <w:rPr>
                <w:b w:val="0"/>
                <w:sz w:val="15"/>
              </w:rPr>
              <w:t>48 pages; mise à jour récente observée.</w:t>
            </w:r>
          </w:p>
        </w:tc>
        <w:tc>
          <w:tcPr>
            <w:tcW w:type="dxa" w:w="6803"/>
            <w:vAlign w:val="top"/>
          </w:tcPr>
          <w:p>
            <w:r/>
            <w:r>
              <w:rPr>
                <w:b w:val="0"/>
                <w:sz w:val="15"/>
              </w:rPr>
              <w:t>Le crawler doit paginer et snapshotter toutes les entrées.</w:t>
            </w:r>
          </w:p>
        </w:tc>
      </w:tr>
      <w:tr>
        <w:trPr>
          <w:cantSplit/>
        </w:trPr>
        <w:tc>
          <w:tcPr>
            <w:tcW w:type="dxa" w:w="3402"/>
            <w:vAlign w:val="top"/>
          </w:tcPr>
          <w:p>
            <w:r/>
            <w:r>
              <w:rPr>
                <w:b w:val="0"/>
                <w:sz w:val="15"/>
              </w:rPr>
              <w:t>ISA 2025 et règles</w:t>
            </w:r>
          </w:p>
        </w:tc>
        <w:tc>
          <w:tcPr>
            <w:tcW w:type="dxa" w:w="7370"/>
            <w:vAlign w:val="top"/>
          </w:tcPr>
          <w:p>
            <w:r/>
            <w:r>
              <w:rPr>
                <w:b w:val="0"/>
                <w:sz w:val="15"/>
              </w:rPr>
              <w:t>ISA 2025, amendements avril 2025, décembre 2024 et capital minimum 2026 ajoutés.</w:t>
            </w:r>
          </w:p>
        </w:tc>
        <w:tc>
          <w:tcPr>
            <w:tcW w:type="dxa" w:w="6803"/>
            <w:vAlign w:val="top"/>
          </w:tcPr>
          <w:p>
            <w:r/>
            <w:r>
              <w:rPr>
                <w:b w:val="0"/>
                <w:sz w:val="15"/>
              </w:rPr>
              <w:t>Versionner le cadre applicable.</w:t>
            </w:r>
          </w:p>
        </w:tc>
      </w:tr>
      <w:tr>
        <w:trPr>
          <w:cantSplit/>
        </w:trPr>
        <w:tc>
          <w:tcPr>
            <w:tcW w:type="dxa" w:w="3402"/>
            <w:vAlign w:val="top"/>
          </w:tcPr>
          <w:p>
            <w:r/>
            <w:r>
              <w:rPr>
                <w:b w:val="0"/>
                <w:sz w:val="15"/>
              </w:rPr>
              <w:t>March 2026 monthly workbook</w:t>
            </w:r>
          </w:p>
        </w:tc>
        <w:tc>
          <w:tcPr>
            <w:tcW w:type="dxa" w:w="7370"/>
            <w:vAlign w:val="top"/>
          </w:tcPr>
          <w:p>
            <w:r/>
            <w:r>
              <w:rPr>
                <w:b w:val="0"/>
                <w:sz w:val="15"/>
              </w:rPr>
              <w:t>204 lignes de fonds; 76 libellés bruts de gestionnaires; catégories non harmonisées.</w:t>
            </w:r>
          </w:p>
        </w:tc>
        <w:tc>
          <w:tcPr>
            <w:tcW w:type="dxa" w:w="6803"/>
            <w:vAlign w:val="top"/>
          </w:tcPr>
          <w:p>
            <w:r/>
            <w:r>
              <w:rPr>
                <w:b w:val="0"/>
                <w:sz w:val="15"/>
              </w:rPr>
              <w:t>Utiliser comme photographie, pas comme référentiel juridique unique.</w:t>
            </w:r>
          </w:p>
        </w:tc>
      </w:tr>
      <w:tr>
        <w:trPr>
          <w:cantSplit/>
        </w:trPr>
        <w:tc>
          <w:tcPr>
            <w:tcW w:type="dxa" w:w="3402"/>
            <w:vAlign w:val="top"/>
          </w:tcPr>
          <w:p>
            <w:r/>
            <w:r>
              <w:rPr>
                <w:b w:val="0"/>
                <w:sz w:val="15"/>
              </w:rPr>
              <w:t>Manager websites</w:t>
            </w:r>
          </w:p>
        </w:tc>
        <w:tc>
          <w:tcPr>
            <w:tcW w:type="dxa" w:w="7370"/>
            <w:vAlign w:val="top"/>
          </w:tcPr>
          <w:p>
            <w:r/>
            <w:r>
              <w:rPr>
                <w:b w:val="0"/>
                <w:sz w:val="15"/>
              </w:rPr>
              <w:t>Principaux domaines et pages fonds/documents ajoutés.</w:t>
            </w:r>
          </w:p>
        </w:tc>
        <w:tc>
          <w:tcPr>
            <w:tcW w:type="dxa" w:w="6803"/>
            <w:vAlign w:val="top"/>
          </w:tcPr>
          <w:p>
            <w:r/>
            <w:r>
              <w:rPr>
                <w:b w:val="0"/>
                <w:sz w:val="15"/>
              </w:rPr>
              <w:t>Découverte dynamique requise pour les gestionnaires moins visibles et les anciennes marques.</w:t>
            </w:r>
          </w:p>
        </w:tc>
      </w:tr>
      <w:tr>
        <w:trPr>
          <w:cantSplit/>
        </w:trPr>
        <w:tc>
          <w:tcPr>
            <w:tcW w:type="dxa" w:w="3402"/>
            <w:vAlign w:val="top"/>
          </w:tcPr>
          <w:p>
            <w:r/>
            <w:r>
              <w:rPr>
                <w:b w:val="0"/>
                <w:sz w:val="15"/>
              </w:rPr>
              <w:t>Market/macro sources</w:t>
            </w:r>
          </w:p>
        </w:tc>
        <w:tc>
          <w:tcPr>
            <w:tcW w:type="dxa" w:w="7370"/>
            <w:vAlign w:val="top"/>
          </w:tcPr>
          <w:p>
            <w:r/>
            <w:r>
              <w:rPr>
                <w:b w:val="0"/>
                <w:sz w:val="15"/>
              </w:rPr>
              <w:t>CBN, DMO, NGX, FMDQ, CAC, NBS, FMAN, CSCS LEI ajoutés.</w:t>
            </w:r>
          </w:p>
        </w:tc>
        <w:tc>
          <w:tcPr>
            <w:tcW w:type="dxa" w:w="6803"/>
            <w:vAlign w:val="top"/>
          </w:tcPr>
          <w:p>
            <w:r/>
            <w:r>
              <w:rPr>
                <w:b w:val="0"/>
                <w:sz w:val="15"/>
              </w:rPr>
              <w:t>Utiliser uniquement selon autorité du champ.</w:t>
            </w:r>
          </w:p>
        </w:tc>
      </w:tr>
      <w:tr>
        <w:trPr>
          <w:cantSplit/>
        </w:trPr>
        <w:tc>
          <w:tcPr>
            <w:tcW w:type="dxa" w:w="3402"/>
            <w:vAlign w:val="top"/>
          </w:tcPr>
          <w:p>
            <w:r/>
            <w:r>
              <w:rPr>
                <w:b w:val="0"/>
                <w:sz w:val="15"/>
              </w:rPr>
              <w:t>Hyperlinks</w:t>
            </w:r>
          </w:p>
        </w:tc>
        <w:tc>
          <w:tcPr>
            <w:tcW w:type="dxa" w:w="7370"/>
            <w:vAlign w:val="top"/>
          </w:tcPr>
          <w:p>
            <w:r/>
            <w:r>
              <w:rPr>
                <w:b w:val="0"/>
                <w:sz w:val="15"/>
              </w:rPr>
              <w:t>Les URL de l’édition 2.0 sont de vrais liens Word.</w:t>
            </w:r>
          </w:p>
        </w:tc>
        <w:tc>
          <w:tcPr>
            <w:tcW w:type="dxa" w:w="6803"/>
            <w:vAlign w:val="top"/>
          </w:tcPr>
          <w:p>
            <w:r/>
            <w:r>
              <w:rPr>
                <w:b w:val="0"/>
                <w:sz w:val="15"/>
              </w:rPr>
              <w:t>Tester périodiquement les statuts HTTP.</w:t>
            </w:r>
          </w:p>
        </w:tc>
      </w:tr>
    </w:tbl>
    <w:p/>
    <w:p>
      <w:pPr>
        <w:sectPr>
          <w:pgSz w:w="15840" w:h="12240" w:orient="landscape"/>
          <w:pgMar w:top="850" w:right="737" w:bottom="850" w:left="737" w:header="397" w:footer="397" w:gutter="0"/>
          <w:cols w:space="720"/>
          <w:docGrid w:linePitch="360"/>
        </w:sectPr>
      </w:pPr>
    </w:p>
    <w:p>
      <w:pPr>
        <w:pStyle w:val="Heading1"/>
      </w:pPr>
      <w:r>
        <w:t>CONCLUSION DE L’ÉDITION 2.0</w:t>
      </w:r>
    </w:p>
    <w:p>
      <w:r>
        <w:t>Cette édition transforme la bible Nigeria OPCVM en référentiel de collecte vérifiable : elle ne se contente plus d'indiquer où chercher, elle fournit les points d'entrée officiels, l'historique des pages NAV, les règles réglementaires récentes, les domaines documentaires prioritaires, les requêtes de découverte, le modèle de preuve et les contrôles nécessaires pour compléter le DataFrame sans invention.</w:t>
      </w:r>
    </w:p>
    <w:p>
      <w:r>
        <w:t>Le registre doit néanmoins rester vivant. Aucun document Word ne peut contenir pour toujours toutes les URL de prospectus et de factsheets : ces liens changent, certains documents disparaissent et de nouveaux fonds sont lancés. La compétence complète est donc composée du présent manuel, du registre source en base, de l'archive hashée des documents, du journal de recherche et des tâches de veille définies ci-dessus.</w:t>
      </w:r>
    </w:p>
    <w:sectPr w:rsidR="00FC693F" w:rsidRPr="0006063C" w:rsidSect="00034616">
      <w:pgSz w:w="12240" w:h="15840"/>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4"/>
      </w:rPr>
      <w:t xml:space="preserve">DATA NIGERIA — Bible OPCVM Nigeria — Édition 2.0 — Page </w:t>
    </w:r>
    <w:r>
      <w:rPr>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ptos" w:hAnsi="Aptos"/>
        <w:b/>
        <w:color w:val="123E5E"/>
        <w:sz w:val="16"/>
      </w:rPr>
      <w:t>DATA NIGERIA — BIBLE OPCVM / CIS | SEC Nigeria · ProAfricaFund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ptos Display" w:hAnsi="Aptos Display"/>
      <w:b/>
      <w:bCs/>
      <w:color w:val="123E5E"/>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66378"/>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46464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E5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6464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Nigeria">
    <w:name w:val="Code Nigeria"/>
    <w:pPr>
      <w:spacing w:after="80"/>
      <w:ind w:left="227" w:right="113"/>
    </w:pPr>
    <w:rPr>
      <w:rFonts w:ascii="Liberation Mono" w:hAnsi="Liberation Mono"/>
      <w:sz w:val="15"/>
    </w:rPr>
  </w:style>
  <w:style w:type="paragraph" w:customStyle="1" w:styleId="SmallNote">
    <w:name w:val="Small Note"/>
    <w:pPr>
      <w:spacing w:after="40"/>
    </w:pPr>
    <w:rPr>
      <w:rFonts w:ascii="Aptos" w:hAnsi="Aptos"/>
      <w:color w:val="5555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ec.gov.ng/" TargetMode="External"/><Relationship Id="rId12" Type="http://schemas.openxmlformats.org/officeDocument/2006/relationships/hyperlink" Target="https://sec.gov.ng/sitemap.html" TargetMode="External"/><Relationship Id="rId13" Type="http://schemas.openxmlformats.org/officeDocument/2006/relationships/hyperlink" Target="https://sec.gov.ng/for-operators/keep-track-of-capital-market-data/" TargetMode="External"/><Relationship Id="rId14" Type="http://schemas.openxmlformats.org/officeDocument/2006/relationships/hyperlink" Target="https://sec.gov.ng/for-operators/keep-track-of-capital-market-data/net-asset-value-data/weekly-net-asset-value-for-cis/" TargetMode="External"/><Relationship Id="rId15" Type="http://schemas.openxmlformats.org/officeDocument/2006/relationships/hyperlink" Target="https://sec.gov.ng/for-operators/keep-track-of-capital-market-data/net-asset-value-data/weekly-net-asset-value-for-cis/2011-weekly-nav-for-cis/" TargetMode="External"/><Relationship Id="rId16" Type="http://schemas.openxmlformats.org/officeDocument/2006/relationships/hyperlink" Target="https://sec.gov.ng/for-operators/keep-track-of-capital-market-data/net-asset-value-data/weekly-net-asset-value-for-cis/2012-weekly-nav-for-cis/" TargetMode="External"/><Relationship Id="rId17" Type="http://schemas.openxmlformats.org/officeDocument/2006/relationships/hyperlink" Target="https://sec.gov.ng/for-operators/keep-track-of-capital-market-data/net-asset-value-data/weekly-net-asset-value-for-cis/2013-weekly-nav-for-cis/" TargetMode="External"/><Relationship Id="rId18" Type="http://schemas.openxmlformats.org/officeDocument/2006/relationships/hyperlink" Target="https://sec.gov.ng/for-operators/keep-track-of-capital-market-data/net-asset-value-data/weekly-net-asset-value-for-cis/2014-weekly-nav-for-cis/" TargetMode="External"/><Relationship Id="rId19" Type="http://schemas.openxmlformats.org/officeDocument/2006/relationships/hyperlink" Target="https://sec.gov.ng/for-operators/keep-track-of-capital-market-data/net-asset-value-data/weekly-net-asset-value-for-cis/2015-weekly-nav-for-cis/" TargetMode="External"/><Relationship Id="rId20" Type="http://schemas.openxmlformats.org/officeDocument/2006/relationships/hyperlink" Target="https://sec.gov.ng/for-operators/keep-track-of-capital-market-data/net-asset-value-data/weekly-net-asset-value-for-cis/2016-weekly-nav-for-cis/" TargetMode="External"/><Relationship Id="rId21" Type="http://schemas.openxmlformats.org/officeDocument/2006/relationships/hyperlink" Target="https://sec.gov.ng/for-operators/keep-track-of-capital-market-data/net-asset-value-data/weekly-net-asset-value-for-cis/2017-weekly-nav-for-cis/" TargetMode="External"/><Relationship Id="rId22" Type="http://schemas.openxmlformats.org/officeDocument/2006/relationships/hyperlink" Target="https://sec.gov.ng/for-operators/keep-track-of-capital-market-data/net-asset-value-data/weekly-net-asset-value-for-cis/2018-weekly-nav-for-cis/" TargetMode="External"/><Relationship Id="rId23" Type="http://schemas.openxmlformats.org/officeDocument/2006/relationships/hyperlink" Target="https://sec.gov.ng/for-operators/keep-track-of-capital-market-data/net-asset-value-data/weekly-net-asset-value-for-cis/2019-weekly-nav-for-cis/" TargetMode="External"/><Relationship Id="rId24" Type="http://schemas.openxmlformats.org/officeDocument/2006/relationships/hyperlink" Target="https://sec.gov.ng/for-operators/keep-track-of-capital-market-data/net-asset-value-data/weekly-net-asset-value-for-cis/2020-weekly-nav-for-cis/" TargetMode="External"/><Relationship Id="rId25" Type="http://schemas.openxmlformats.org/officeDocument/2006/relationships/hyperlink" Target="https://sec.gov.ng/for-operators/keep-track-of-capital-market-data/net-asset-value-data/weekly-net-asset-value-for-cis/2021-weekly-nav-for-cis/" TargetMode="External"/><Relationship Id="rId26" Type="http://schemas.openxmlformats.org/officeDocument/2006/relationships/hyperlink" Target="https://sec.gov.ng/for-operators/keep-track-of-capital-market-data/net-asset-value-data/weekly-net-asset-value-for-cis/2022-weekly-nav-for-cis/" TargetMode="External"/><Relationship Id="rId27" Type="http://schemas.openxmlformats.org/officeDocument/2006/relationships/hyperlink" Target="https://sec.gov.ng/for-operators/keep-track-of-capital-market-data/net-asset-value-data/weekly-net-asset-value-for-cis/2023-weekly-nav-for-cis/" TargetMode="External"/><Relationship Id="rId28" Type="http://schemas.openxmlformats.org/officeDocument/2006/relationships/hyperlink" Target="https://sec.gov.ng/for-operators/keep-track-of-capital-market-data/net-asset-value-data/weekly-net-asset-value-for-cis/2024-weekly-nav-for-cis/" TargetMode="External"/><Relationship Id="rId29" Type="http://schemas.openxmlformats.org/officeDocument/2006/relationships/hyperlink" Target="https://sec.gov.ng/for-operators/keep-track-of-capital-market-data/net-asset-value-data/weekly-net-asset-value-for-cis/2025-weekly-nav-for-cis/" TargetMode="External"/><Relationship Id="rId30" Type="http://schemas.openxmlformats.org/officeDocument/2006/relationships/hyperlink" Target="https://sec.gov.ng/for-operators/keep-track-of-capital-market-data/net-asset-value-data/weekly-net-asset-value-for-cis/2026-weekly-nav-for-cis/" TargetMode="External"/><Relationship Id="rId31" Type="http://schemas.openxmlformats.org/officeDocument/2006/relationships/hyperlink" Target="https://sec.gov.ng/for-operators/keep-track-of-capital-market-data/net-asset-value-data/monthly-net-asset-value-for-collective-investment-schemes/" TargetMode="External"/><Relationship Id="rId32" Type="http://schemas.openxmlformats.org/officeDocument/2006/relationships/hyperlink" Target="https://sec.gov.ng/for-operators/keep-track-of-capital-market-data/net-asset-value-data/monthly-net-asset-value-for-collective-investment-schemes/2019-monthly-nav-for-cis/" TargetMode="External"/><Relationship Id="rId33" Type="http://schemas.openxmlformats.org/officeDocument/2006/relationships/hyperlink" Target="https://sec.gov.ng/for-operators/keep-track-of-capital-market-data/net-asset-value-data/monthly-net-asset-value-for-collective-investment-schemes/2020-monthly-nav-for-cis/" TargetMode="External"/><Relationship Id="rId34" Type="http://schemas.openxmlformats.org/officeDocument/2006/relationships/hyperlink" Target="https://sec.gov.ng/for-operators/keep-track-of-capital-market-data/net-asset-value-data/monthly-net-asset-value-for-collective-investment-schemes/2021-monthly-nav-for-cis/" TargetMode="External"/><Relationship Id="rId35" Type="http://schemas.openxmlformats.org/officeDocument/2006/relationships/hyperlink" Target="https://sec.gov.ng/for-operators/keep-track-of-capital-market-data/net-asset-value-data/monthly-net-asset-value-for-collective-investment-schemes/2022-monthly-nav-for-cis/" TargetMode="External"/><Relationship Id="rId36" Type="http://schemas.openxmlformats.org/officeDocument/2006/relationships/hyperlink" Target="https://sec.gov.ng/for-operators/keep-track-of-capital-market-data/net-asset-value-data/monthly-net-asset-value-for-collective-investment-schemes/2023-monthly-nav-for-cis/" TargetMode="External"/><Relationship Id="rId37" Type="http://schemas.openxmlformats.org/officeDocument/2006/relationships/hyperlink" Target="https://sec.gov.ng/for-operators/keep-track-of-capital-market-data/net-asset-value-data/monthly-net-asset-value-for-collective-investment-schemes/2024-monthly-nav-for-cis/" TargetMode="External"/><Relationship Id="rId38" Type="http://schemas.openxmlformats.org/officeDocument/2006/relationships/hyperlink" Target="https://sec.gov.ng/for-operators/keep-track-of-capital-market-data/net-asset-value-data/monthly-net-asset-value-for-collective-investment-schemes/2025-monthly-nav-for-cis/" TargetMode="External"/><Relationship Id="rId39" Type="http://schemas.openxmlformats.org/officeDocument/2006/relationships/hyperlink" Target="https://sec.gov.ng/for-operators/keep-track-of-capital-market-data/net-asset-value-data/monthly-net-asset-value-for-collective-investment-schemes/2026-monthly-nav-for-cis/" TargetMode="External"/><Relationship Id="rId40" Type="http://schemas.openxmlformats.org/officeDocument/2006/relationships/hyperlink" Target="https://sec.gov.ng/for-operators/keep-track-of-capital-market-data/net-asset-value-data/monthly-net-asset-value-for-etf/" TargetMode="External"/><Relationship Id="rId41" Type="http://schemas.openxmlformats.org/officeDocument/2006/relationships/hyperlink" Target="https://sec.gov.ng/for-operators/keep-track-of-capital-market-data/net-asset-value-data/monthly-net-asset-value-for-etf/2017-monthly-nav-for-etf/" TargetMode="External"/><Relationship Id="rId42" Type="http://schemas.openxmlformats.org/officeDocument/2006/relationships/hyperlink" Target="https://sec.gov.ng/for-operators/keep-track-of-capital-market-data/net-asset-value-data/monthly-net-asset-value-for-etf/2018-monthly-nav-for-etf/" TargetMode="External"/><Relationship Id="rId43" Type="http://schemas.openxmlformats.org/officeDocument/2006/relationships/hyperlink" Target="https://sec.gov.ng/for-operators/keep-track-of-capital-market-data/net-asset-value-data/monthly-net-asset-value-for-etf/2019-monthly-nav-for-etf/" TargetMode="External"/><Relationship Id="rId44" Type="http://schemas.openxmlformats.org/officeDocument/2006/relationships/hyperlink" Target="https://sec.gov.ng/for-operators/keep-track-of-capital-market-data/net-asset-value-data/monthly-net-asset-value-for-etf/2020-monthly-nav-for-etf/" TargetMode="External"/><Relationship Id="rId45" Type="http://schemas.openxmlformats.org/officeDocument/2006/relationships/hyperlink" Target="https://sec.gov.ng/for-operators/keep-track-of-capital-market-data/net-asset-value-data/monthly-net-asset-value-for-etf/2021-monthly-nav-for-etf/" TargetMode="External"/><Relationship Id="rId46" Type="http://schemas.openxmlformats.org/officeDocument/2006/relationships/hyperlink" Target="https://sec.gov.ng/for-operators/keep-track-of-capital-market-data/net-asset-value-data/monthly-net-asset-value-for-etf/2022-monthly-nav-for-etf/" TargetMode="External"/><Relationship Id="rId47" Type="http://schemas.openxmlformats.org/officeDocument/2006/relationships/hyperlink" Target="https://sec.gov.ng/for-operators/keep-track-of-capital-market-data/net-asset-value-data/monthly-net-asset-value-for-etf/2023-monthly-nav-for-etf/" TargetMode="External"/><Relationship Id="rId48" Type="http://schemas.openxmlformats.org/officeDocument/2006/relationships/hyperlink" Target="https://sec.gov.ng/for-operators/keep-track-of-capital-market-data/net-asset-value-data/monthly-net-asset-value-for-etf/2024-monthly-nav-for-etf/" TargetMode="External"/><Relationship Id="rId49" Type="http://schemas.openxmlformats.org/officeDocument/2006/relationships/hyperlink" Target="https://sec.gov.ng/for-operators/keep-track-of-capital-market-data/net-asset-value-data/monthly-net-asset-value-for-etf/2025-monthly-nav-for-etf/" TargetMode="External"/><Relationship Id="rId50" Type="http://schemas.openxmlformats.org/officeDocument/2006/relationships/hyperlink" Target="https://sec.gov.ng/for-operators/keep-track-of-capital-market-data/net-asset-value-data/monthly-net-asset-value-for-etf/2026-monthly-nav-for-etf/" TargetMode="External"/><Relationship Id="rId51" Type="http://schemas.openxmlformats.org/officeDocument/2006/relationships/hyperlink" Target="https://sec.gov.ng/documents/1485/Monthly_Update_on_Registered_Mutual_Funds_as_at_March_2026.xlsx" TargetMode="External"/><Relationship Id="rId52" Type="http://schemas.openxmlformats.org/officeDocument/2006/relationships/hyperlink" Target="https://sec.gov.ng/documents/1497/Net_Asset_Value_and_Unit_Price_as_at_10th_July_2026.xlsx" TargetMode="External"/><Relationship Id="rId53" Type="http://schemas.openxmlformats.org/officeDocument/2006/relationships/hyperlink" Target="https://sec.gov.ng/for-investors/find-a-registered-operator/" TargetMode="External"/><Relationship Id="rId54" Type="http://schemas.openxmlformats.org/officeDocument/2006/relationships/hyperlink" Target="https://sec.gov.ng/for-investors/keep-track-of-circulars/" TargetMode="External"/><Relationship Id="rId55" Type="http://schemas.openxmlformats.org/officeDocument/2006/relationships/hyperlink" Target="https://home.sec.gov.ng/our-mandate/regulation/rules-and-regulations/" TargetMode="External"/><Relationship Id="rId56" Type="http://schemas.openxmlformats.org/officeDocument/2006/relationships/hyperlink" Target="https://sec.gov.ng/documents/1319/Investments_and_Securities_Act_2025_x9rSXtI.pdf" TargetMode="External"/><Relationship Id="rId57" Type="http://schemas.openxmlformats.org/officeDocument/2006/relationships/hyperlink" Target="https://sec.gov.ng/documents/1323/New-Rules-and-sundry-amendments-April-2025.pdf" TargetMode="External"/><Relationship Id="rId58" Type="http://schemas.openxmlformats.org/officeDocument/2006/relationships/hyperlink" Target="https://home.sec.gov.ng/documents/1322/Executed-Rules-Dec-2024.pdf" TargetMode="External"/><Relationship Id="rId59" Type="http://schemas.openxmlformats.org/officeDocument/2006/relationships/hyperlink" Target="https://home.sec.gov.ng/documents/15/Jan-2021-Executed-Rules.pdf" TargetMode="External"/><Relationship Id="rId60" Type="http://schemas.openxmlformats.org/officeDocument/2006/relationships/hyperlink" Target="https://sec.gov.ng/documents/17/SEC-New-Rules-and-Ammendments-23-December-2019.pdf" TargetMode="External"/><Relationship Id="rId61" Type="http://schemas.openxmlformats.org/officeDocument/2006/relationships/hyperlink" Target="https://home.sec.gov.ng/documents/22/June-2017-SEC-Executed-Rules-Regulations.pdf" TargetMode="External"/><Relationship Id="rId62" Type="http://schemas.openxmlformats.org/officeDocument/2006/relationships/hyperlink" Target="https://sec.gov.ng/documents/21/RULES-JULY-2017-final-for-execution-11-10-2017.pdf" TargetMode="External"/><Relationship Id="rId63" Type="http://schemas.openxmlformats.org/officeDocument/2006/relationships/hyperlink" Target="https://home.sec.gov.ng/documents/1352/New_Rules_and_Sundry_Amendments_August_21_2019.pdf" TargetMode="External"/><Relationship Id="rId64" Type="http://schemas.openxmlformats.org/officeDocument/2006/relationships/hyperlink" Target="https://sec.gov.ng/documents/1427/CIRCULAR_Number_26-1._Minimum_Capital_Requirements.pdf" TargetMode="External"/><Relationship Id="rId65" Type="http://schemas.openxmlformats.org/officeDocument/2006/relationships/hyperlink" Target="https://sec.gov.ng/documents/1445/Guidelines_on_New_Capital_Base_CMOS_2026.pdf" TargetMode="External"/><Relationship Id="rId66" Type="http://schemas.openxmlformats.org/officeDocument/2006/relationships/hyperlink" Target="https://sec.gov.ng/about/resources/frequently-asked-questions/faqs-on-collective-investment-schemes/" TargetMode="External"/><Relationship Id="rId67" Type="http://schemas.openxmlformats.org/officeDocument/2006/relationships/hyperlink" Target="https://sec.gov.ng/about/resources/frequently-asked-questions/faqs-on-net-asset-value-and-unit-price/" TargetMode="External"/><Relationship Id="rId68" Type="http://schemas.openxmlformats.org/officeDocument/2006/relationships/hyperlink" Target="https://sec.gov.ng/about/resources/checklists/registration-of-ipos-cis-reit-etf-pevc-infrastructure-and-specialized-funds/" TargetMode="External"/><Relationship Id="rId69" Type="http://schemas.openxmlformats.org/officeDocument/2006/relationships/hyperlink" Target="https://sec.gov.ng/about/resources/checklists/individual-registration-requirements-for-each-cmo/fundportfolio-managers-registration-requirements/" TargetMode="External"/><Relationship Id="rId70" Type="http://schemas.openxmlformats.org/officeDocument/2006/relationships/hyperlink" Target="https://sec.gov.ng/about/resources/checklists/" TargetMode="External"/><Relationship Id="rId71" Type="http://schemas.openxmlformats.org/officeDocument/2006/relationships/hyperlink" Target="https://sec.gov.ng/for-operators/keep-track-of-capital-market-data/quarterly-update-on-private-equity-and-infrastructure-funds/" TargetMode="External"/><Relationship Id="rId72" Type="http://schemas.openxmlformats.org/officeDocument/2006/relationships/hyperlink" Target="https://sec.gov.ng/for-operators/keep-track-of-capital-market-data/market-review-and-outlook/" TargetMode="External"/><Relationship Id="rId73" Type="http://schemas.openxmlformats.org/officeDocument/2006/relationships/hyperlink" Target="https://sec.gov.ng/about/our-role/who-we-regulate/" TargetMode="External"/><Relationship Id="rId74" Type="http://schemas.openxmlformats.org/officeDocument/2006/relationships/hyperlink" Target="https://sec.gov.ng/for-businesses/become-an-operator/" TargetMode="External"/><Relationship Id="rId75" Type="http://schemas.openxmlformats.org/officeDocument/2006/relationships/hyperlink" Target="https://sec.gov.ng/for-investors/keep-track-of-circulars/pre-notice-on-cancellationwithdrawal-of-certificates-of-registration-of-inactive-capital-market-operators/" TargetMode="External"/><Relationship Id="rId76" Type="http://schemas.openxmlformats.org/officeDocument/2006/relationships/hyperlink" Target="https://www.cbn.gov.ng/rates/" TargetMode="External"/><Relationship Id="rId77" Type="http://schemas.openxmlformats.org/officeDocument/2006/relationships/hyperlink" Target="https://www.cbn.gov.ng/rates/GovtSecurities.html" TargetMode="External"/><Relationship Id="rId78" Type="http://schemas.openxmlformats.org/officeDocument/2006/relationships/hyperlink" Target="https://www.cbn.gov.ng/rates/MacroIndicators.html" TargetMode="External"/><Relationship Id="rId79" Type="http://schemas.openxmlformats.org/officeDocument/2006/relationships/hyperlink" Target="https://www.cbn.gov.ng/rates/mnymktind.html" TargetMode="External"/><Relationship Id="rId80" Type="http://schemas.openxmlformats.org/officeDocument/2006/relationships/hyperlink" Target="https://www.cbn.gov.ng/rates/GovtSecuritiesDrillDown.html?market=NTB" TargetMode="External"/><Relationship Id="rId81" Type="http://schemas.openxmlformats.org/officeDocument/2006/relationships/hyperlink" Target="https://www.dmo.gov.ng/" TargetMode="External"/><Relationship Id="rId82" Type="http://schemas.openxmlformats.org/officeDocument/2006/relationships/hyperlink" Target="https://www.dmo.gov.ng/fgn-bonds" TargetMode="External"/><Relationship Id="rId83" Type="http://schemas.openxmlformats.org/officeDocument/2006/relationships/hyperlink" Target="https://www.dmo.gov.ng/fgn-bonds/fgn-bond-updates" TargetMode="External"/><Relationship Id="rId84" Type="http://schemas.openxmlformats.org/officeDocument/2006/relationships/hyperlink" Target="https://www.dmo.gov.ng/fgn-bonds/eurobonds-trading" TargetMode="External"/><Relationship Id="rId85" Type="http://schemas.openxmlformats.org/officeDocument/2006/relationships/hyperlink" Target="https://www.dmo.gov.ng/fgn-bonds/bonds-auction-results" TargetMode="External"/><Relationship Id="rId86" Type="http://schemas.openxmlformats.org/officeDocument/2006/relationships/hyperlink" Target="https://ngxgroup.com/exchange/data/indices/" TargetMode="External"/><Relationship Id="rId87" Type="http://schemas.openxmlformats.org/officeDocument/2006/relationships/hyperlink" Target="https://ngxgroup.com/exchange/trade/exchange-traded-funds/" TargetMode="External"/><Relationship Id="rId88" Type="http://schemas.openxmlformats.org/officeDocument/2006/relationships/hyperlink" Target="https://ngxgroup.com/exchange/trade/exchange-traded-funds/listed-etp/" TargetMode="External"/><Relationship Id="rId89" Type="http://schemas.openxmlformats.org/officeDocument/2006/relationships/hyperlink" Target="https://ngxgroup.com/exchange/trade/equities/reits-and-cefs/" TargetMode="External"/><Relationship Id="rId90" Type="http://schemas.openxmlformats.org/officeDocument/2006/relationships/hyperlink" Target="https://ngxgroup.com/exchange/data/equities-price-list/" TargetMode="External"/><Relationship Id="rId91" Type="http://schemas.openxmlformats.org/officeDocument/2006/relationships/hyperlink" Target="https://ngxgroup.com/exchange/data/data-library/" TargetMode="External"/><Relationship Id="rId92" Type="http://schemas.openxmlformats.org/officeDocument/2006/relationships/hyperlink" Target="https://fmdqgroup.com/exchange/" TargetMode="External"/><Relationship Id="rId93" Type="http://schemas.openxmlformats.org/officeDocument/2006/relationships/hyperlink" Target="https://fmdqgroup.com/exchange/market-data/" TargetMode="External"/><Relationship Id="rId94" Type="http://schemas.openxmlformats.org/officeDocument/2006/relationships/hyperlink" Target="https://fmdqgroup.com/faqs/what-is-nitty/" TargetMode="External"/><Relationship Id="rId95" Type="http://schemas.openxmlformats.org/officeDocument/2006/relationships/hyperlink" Target="https://fmdqgroup.com/faqs/what-is-nibor/" TargetMode="External"/><Relationship Id="rId96" Type="http://schemas.openxmlformats.org/officeDocument/2006/relationships/hyperlink" Target="https://cac.gov.ng/services/company-search" TargetMode="External"/><Relationship Id="rId97" Type="http://schemas.openxmlformats.org/officeDocument/2006/relationships/hyperlink" Target="https://icrp.cac.gov.ng/public-search" TargetMode="External"/><Relationship Id="rId98" Type="http://schemas.openxmlformats.org/officeDocument/2006/relationships/hyperlink" Target="https://bor.cac.gov.ng/" TargetMode="External"/><Relationship Id="rId99" Type="http://schemas.openxmlformats.org/officeDocument/2006/relationships/hyperlink" Target="https://www.nigerianstat.gov.ng/" TargetMode="External"/><Relationship Id="rId100" Type="http://schemas.openxmlformats.org/officeDocument/2006/relationships/hyperlink" Target="https://fman.com.ng/" TargetMode="External"/><Relationship Id="rId101" Type="http://schemas.openxmlformats.org/officeDocument/2006/relationships/hyperlink" Target="https://fman.com.ng/members-list/" TargetMode="External"/><Relationship Id="rId102" Type="http://schemas.openxmlformats.org/officeDocument/2006/relationships/hyperlink" Target="https://www.cscs.ng/services/lei/" TargetMode="External"/><Relationship Id="rId103" Type="http://schemas.openxmlformats.org/officeDocument/2006/relationships/hyperlink" Target="https://leinew.cscs.ng/cscslei/lei-listing.php?page=1" TargetMode="External"/><Relationship Id="rId104" Type="http://schemas.openxmlformats.org/officeDocument/2006/relationships/hyperlink" Target="https://web.archive.org/" TargetMode="External"/><Relationship Id="rId105" Type="http://schemas.openxmlformats.org/officeDocument/2006/relationships/hyperlink" Target="https://www.google.com/" TargetMode="External"/><Relationship Id="rId106" Type="http://schemas.openxmlformats.org/officeDocument/2006/relationships/hyperlink" Target="https://www.aiicocapital.com/" TargetMode="External"/><Relationship Id="rId107" Type="http://schemas.openxmlformats.org/officeDocument/2006/relationships/hyperlink" Target="https://www.aiicocapital.com/downloads" TargetMode="External"/><Relationship Id="rId108" Type="http://schemas.openxmlformats.org/officeDocument/2006/relationships/hyperlink" Target="https://www.arm.com.ng/arm-investment-managers/mutual-fund/" TargetMode="External"/><Relationship Id="rId109" Type="http://schemas.openxmlformats.org/officeDocument/2006/relationships/hyperlink" Target="https://www.arm.com.ng/arm-investment-managers/arm-fund-factsheets/" TargetMode="External"/><Relationship Id="rId110" Type="http://schemas.openxmlformats.org/officeDocument/2006/relationships/hyperlink" Target="https://avacapitalgroup.com/" TargetMode="External"/><Relationship Id="rId111" Type="http://schemas.openxmlformats.org/officeDocument/2006/relationships/hyperlink" Target="https://www.axamansard.com/investments/" TargetMode="External"/><Relationship Id="rId112" Type="http://schemas.openxmlformats.org/officeDocument/2006/relationships/hyperlink" Target="https://www.afrinvest.com/asset-management-overview/mutual-funds/" TargetMode="External"/><Relationship Id="rId113" Type="http://schemas.openxmlformats.org/officeDocument/2006/relationships/hyperlink" Target="https://alphamorgan.com/" TargetMode="External"/><Relationship Id="rId114" Type="http://schemas.openxmlformats.org/officeDocument/2006/relationships/hyperlink" Target="https://alpha10group.com/asset-management/" TargetMode="External"/><Relationship Id="rId115" Type="http://schemas.openxmlformats.org/officeDocument/2006/relationships/hyperlink" Target="https://anchoriaam.com/" TargetMode="External"/><Relationship Id="rId116" Type="http://schemas.openxmlformats.org/officeDocument/2006/relationships/hyperlink" Target="https://wealth.apel.com.ng/" TargetMode="External"/><Relationship Id="rId117" Type="http://schemas.openxmlformats.org/officeDocument/2006/relationships/hyperlink" Target="https://cfgafrica.com/cfg-am/" TargetMode="External"/><Relationship Id="rId118" Type="http://schemas.openxmlformats.org/officeDocument/2006/relationships/hyperlink" Target="https://www.capitalexpressassetandtrust.com/downloads/downloads2.php" TargetMode="External"/><Relationship Id="rId119" Type="http://schemas.openxmlformats.org/officeDocument/2006/relationships/hyperlink" Target="https://capitaltrustnigeria.com/" TargetMode="External"/><Relationship Id="rId120" Type="http://schemas.openxmlformats.org/officeDocument/2006/relationships/hyperlink" Target="https://cardinalstoneassetmanagement.com/mutual-funds/" TargetMode="External"/><Relationship Id="rId121" Type="http://schemas.openxmlformats.org/officeDocument/2006/relationships/hyperlink" Target="https://chapelhilldenham.com/investment-management/" TargetMode="External"/><Relationship Id="rId122" Type="http://schemas.openxmlformats.org/officeDocument/2006/relationships/hyperlink" Target="https://chapelhilldenham.com/wp-content/uploads/2026/04/CHDM-Monthly-Factsheets_March-2026.pdf" TargetMode="External"/><Relationship Id="rId123" Type="http://schemas.openxmlformats.org/officeDocument/2006/relationships/hyperlink" Target="https://cordros.com/asset-management/mutual-funds" TargetMode="External"/><Relationship Id="rId124" Type="http://schemas.openxmlformats.org/officeDocument/2006/relationships/hyperlink" Target="https://www.coronation.ng/institutional/products-solutions/asset-management/mutual-funds/" TargetMode="External"/><Relationship Id="rId125" Type="http://schemas.openxmlformats.org/officeDocument/2006/relationships/hyperlink" Target="https://fbnquest.com/factsheets/" TargetMode="External"/><Relationship Id="rId126" Type="http://schemas.openxmlformats.org/officeDocument/2006/relationships/hyperlink" Target="https://www.fcmbassetmanagement.com/" TargetMode="External"/><Relationship Id="rId127" Type="http://schemas.openxmlformats.org/officeDocument/2006/relationships/hyperlink" Target="https://www.fsdhaml.com/" TargetMode="External"/><Relationship Id="rId128" Type="http://schemas.openxmlformats.org/officeDocument/2006/relationships/hyperlink" Target="https://www.stanbicibtcassetmanagement.com/nigeriaassetmanagement/individual-investor/products-and-services/mutual-funds/" TargetMode="External"/><Relationship Id="rId129" Type="http://schemas.openxmlformats.org/officeDocument/2006/relationships/hyperlink" Target="https://www.stanbicibtcassetmanagement.com/nigeriaassetmanagement/individual-investor/investors-Information/reports/prospe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Bible de référence Nigeria OPCVM / CIS — SEC Nigeria — Édition 2.0</dc:title>
  <dc:subject>Extraction historique, recherche documentaire, URL, identité juridique, NAV et intégration ProAfricaFund</dc:subject>
  <dc:creator>DATA NIGERIA</dc:creator>
  <cp:keywords>Nigeria, OPCVM, CIS, SEC, NAV, Unit Price, Bid, Offer, ProAfricaFund, harmonisation</cp:keywords>
  <dc:description>Édition 2.0 enrichie par recherche web au 28 juillet 2026.</dc:description>
  <cp:lastModifiedBy/>
  <cp:revision>1</cp:revision>
  <dcterms:created xsi:type="dcterms:W3CDTF">2013-12-23T23:15:00Z</dcterms:created>
  <dcterms:modified xsi:type="dcterms:W3CDTF">2013-12-23T23:15:00Z</dcterms:modified>
  <cp:category/>
</cp:coreProperties>
</file>