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A1A14"/>
          <w:sz w:val="52"/>
          <w:szCs w:val="52"/>
        </w:rPr>
        <w:t xml:space="preserve">BRAND BOOK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color w:val="8A8A78"/>
          <w:sz w:val="22"/>
          <w:szCs w:val="22"/>
        </w:rPr>
        <w:t xml:space="preserve">Manuale d’uso dell’identità visiva</w:t>
      </w:r>
    </w:p>
    <w:p>
      <w:pPr>
        <w:spacing w:after="26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Il marchio è un bicchiere da beer pong visto di lato: la pallina cade, le due curve sono il bordo, e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CAM 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è il corpo del bicchiere. Il testo non accompagna il simbolo — il testo </w:t>
      </w:r>
      <w:r>
        <w:rPr>
          <w:rFonts w:ascii="Calibri" w:cs="Calibri" w:eastAsia="Calibri" w:hAnsi="Calibri"/>
          <w:i/>
          <w:iCs/>
          <w:color w:val="55554A"/>
          <w:sz w:val="20"/>
          <w:szCs w:val="20"/>
        </w:rPr>
        <w:t xml:space="preserve">è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il simbolo. E la stessa spezzatura che costruisce il bicchiere tiene insieme le due letture del nome: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come 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cam 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.</w:t>
      </w:r>
    </w:p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01 · Anatomia del marchio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Cosa rappresenta ogni elemento, e perché non va toccato.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1. La pallina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momento del punto. Sta cadendo, non è ferma: è l’azione, non l’oggetto.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2. Le due curve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bordo del bicchiere, dove si appoggiano le labbra. La curvatura dà la prospettiva.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3. CAM ON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corpo del bicchiere: le lettere disegnano la parete, quella che si tiene in mano. Il nome non sta accanto al disegno, lo costruisce.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4. La spezzatura —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Non serve solo a fare la forma: è quella che fa leggere il nome in due modi insieme.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Regola d’oro: ON è l’elemento che cambia.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Che sia giallo, bianco, o vuoto da riempire, la seconda sillaba è sempre quella trattata diversamente. CAM resta il pieno. Invertire i ruoli spegne il gioco di parole.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02 · Le due letture del nome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Una parola sola che ne contiene due. Ecco quali.</w:t>
      </w:r>
    </w:p>
    <w:p>
      <w:pPr>
        <w:spacing w:after="18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CAMON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è la contrazione di due espressioni inglesi diverse che, dette ad alta voce, suonano quasi identiche. Il marchio non ne sceglie una: le tiene insieme.</w:t>
      </w:r>
    </w:p>
    <w:tbl>
      <w:tblPr>
        <w:tblW w:type="dxa" w:w="9360"/>
        <w:tblBorders>
          <w:top w:val="single" w:color="D8D8CC" w:sz="4"/>
          <w:left w:val="single" w:color="D8D8CC" w:sz="4"/>
          <w:bottom w:val="single" w:color="D8D8CC" w:sz="4"/>
          <w:right w:val="single" w:color="D8D8CC" w:sz="4"/>
          <w:insideH w:val="none" w:color="FFFFFF" w:sz="0"/>
          <w:insideV w:val="single" w:color="D8D8CC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34"/>
                <w:szCs w:val="34"/>
              </w:rPr>
              <w:t xml:space="preserve">COME </w:t>
            </w:r>
            <w:r>
              <w:rPr>
                <w:rFonts w:ascii="Calibri" w:cs="Calibri" w:eastAsia="Calibri" w:hAnsi="Calibri"/>
                <w:b/>
                <w:bCs/>
                <w:color w:val="B8890A"/>
                <w:sz w:val="34"/>
                <w:szCs w:val="34"/>
              </w:rPr>
              <w:t xml:space="preserve">ON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8A8A78"/>
                <w:sz w:val="16"/>
                <w:szCs w:val="16"/>
              </w:rPr>
              <w:t xml:space="preserve">l’invito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“Dai, vieni.”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Quello che si dice a un amico per trascinarlo dentro: a giocare, a bere, a stare. È il tono del locale prima ancora del suo nome.</w:t>
            </w:r>
          </w:p>
        </w:tc>
        <w:tc>
          <w:tcPr>
            <w:tcW w:type="dxa" w:w="4680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34"/>
                <w:szCs w:val="34"/>
              </w:rPr>
              <w:t xml:space="preserve">CAM </w:t>
            </w:r>
            <w:r>
              <w:rPr>
                <w:rFonts w:ascii="Calibri" w:cs="Calibri" w:eastAsia="Calibri" w:hAnsi="Calibri"/>
                <w:b/>
                <w:bCs/>
                <w:color w:val="B8890A"/>
                <w:sz w:val="34"/>
                <w:szCs w:val="34"/>
              </w:rPr>
              <w:t xml:space="preserve">ON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8A8A78"/>
                <w:sz w:val="16"/>
                <w:szCs w:val="16"/>
              </w:rPr>
              <w:t xml:space="preserve">lo stato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“Camera accesa.”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locale trasmette in diretta: le partite finiscono su Twitch, e la telecamera è parte del posto quanto i tavoli. ON è la spia accesa.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Il perno è ON.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È la sillaba che entrambe le letture hanno in comune, ed è per questo che nel marchio è quella isolata — dal colore, dalla riga a capo, o dal vuoto sul bicchiere. Isolare ON è ciò che rende visibile il doppio senso: tolto quello, resta una parola qualsiasi.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Per iscritto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nome si scrive CAMON, attaccato — in un testo, in una frase, in un URL. È solo nel </w:t>
            </w:r>
            <w:r>
              <w:rPr>
                <w:rFonts w:ascii="Calibri" w:cs="Calibri" w:eastAsia="Calibri" w:hAnsi="Calibri"/>
                <w:i/>
                <w:iCs/>
                <w:color w:val="55554A"/>
                <w:sz w:val="20"/>
                <w:szCs w:val="20"/>
              </w:rPr>
              <w:t xml:space="preserve">marchio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 che si spezza. Il nome è una parola; il logo è il doppio senso reso visibile.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03 · Il caso del bicchiere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L’applicazione in cui la regola d’oro si vede meglio.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Il bicchiere è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bianco pieno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. Sopra ci va il marchio come sul fondo chiaro: CAM stampato in nero, e in nero anche i due bordini — quelli su cui si appoggiano le labbra, che nel logo fanno il bordo del bicchiere.</w:t>
      </w:r>
    </w:p>
    <w:p>
      <w:pPr>
        <w:spacing w:after="18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ON non si stampa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. Resta trasparente: si vede attraverso il bicchiere. Finché è vuoto quella sillaba è un buco chiaro; quando si versa, il liquido la riempie e ON diventa l’unica parte colorata dell’oggetto — giallo con la birra, rosso con un cocktail rosso, verde con un mojito. Il colore lo decide chi beve.</w:t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Perché funziona.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liquido non decora il marchio: lo </w:t>
            </w:r>
            <w:r>
              <w:rPr>
                <w:rFonts w:ascii="Calibri" w:cs="Calibri" w:eastAsia="Calibri" w:hAnsi="Calibri"/>
                <w:i/>
                <w:iCs/>
                <w:color w:val="55554A"/>
                <w:sz w:val="20"/>
                <w:szCs w:val="20"/>
              </w:rPr>
              <w:t xml:space="preserve">completa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. A bicchiere vuoto si legge CAM; a bicchiere pieno compare ON. È la regola d’oro resa fisica — ON è sempre la parte che cambia, qui lo cambia la birra invece dell’inchiostro.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La conseguenza pratica: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su questo pezzo il giallo del brand non si stampa affatto. Ci pensa il contenuto. Per questo la stampa è a un solo colore — nero — e costa meno di una a due colori.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04 · Le varianti del marchio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Tre fondi, tre trattamenti — non se ne inventano altri.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A1A14"/>
          <w:sz w:val="24"/>
          <w:szCs w:val="24"/>
        </w:rPr>
        <w:t xml:space="preserve">Versione verticale — la principale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BIANCO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Stampa, menu, documenti, fatture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GIALLO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Merchandising, insegne, packaging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NERO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App, social, video, ambiente del locale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Su fondo giallo ON diventa bianco.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Giallo su giallo non esiste, e portare tutto a nero perderebbe lo stacco tra le due sillabe. Il bianco è l’unica uscita che conserva il concetto.</w:t>
            </w:r>
          </w:p>
        </w:tc>
      </w:tr>
    </w:tbl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A1A14"/>
          <w:sz w:val="24"/>
          <w:szCs w:val="24"/>
        </w:rPr>
        <w:t xml:space="preserve">Versione orizzontale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3335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BIANCO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Carta intestata, biglietti, ricevute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3335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GIALLO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Strisce, adesivi, gadget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3335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NERO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Header app, bottom bar, overlay video</w:t>
            </w:r>
          </w:p>
        </w:tc>
      </w:tr>
    </w:tbl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A1A14"/>
          <w:sz w:val="24"/>
          <w:szCs w:val="24"/>
        </w:rPr>
        <w:t xml:space="preserve">Icona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BIANCO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Timbro, watermark, filigrana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GIALLO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App icon, pin mappa, spille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SU NERO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8A8A78"/>
                <w:sz w:val="15"/>
                <w:szCs w:val="15"/>
              </w:rPr>
              <w:t xml:space="preserve">Favicon, avatar social, loader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Sotto i 24 px si usa solo l’icona.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A quella dimensione le lettere si impastano e il bicchiere non si legge più: meglio un simbolo netto che un marchio illeggibile.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05 · I tre colori del brand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Presi direttamente dal file del marchio. Tutto il resto è servizio — non è brand.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7CC49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CAMON YELLOW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colore. Sta su ON, sui bottoni d’azione, sui prezzi e sui numeri che contano. Una sola cosa gialla per schermata.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#F7CC49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oklch(84% .17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222221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CAMON BLACK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nero del marchio. Non è nero pieno: è appena ammorbidito, così in stampa non si impasta e a schermo non taglia.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#222221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oklch(24% .002 106)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FFFFF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CAMON WHITE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Marchio sul nero, testo sul nero, e ON quando il fondo è giallo. Mai come sfondo dominante dell’app.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#FFFFFF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oklch(100% 0 0)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06 · Gialli di servizio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Due derivati. Stessa tinta (H = 89), diversa luminosità — così restano riconoscibili come “lo stesso giallo”.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C49A0A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YELLOW DARK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Lo stato premuto dei bottoni gialli, e il giallo per elementi grandi su fondo chiaro. Non basta per il testo piccolo su bianco — vedi la tabella dei contrasti.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#C49A0A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oklch(65% .17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3D2F00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YELLOW DIM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giallo quando deve sussurrare. Fondo di badge e pill su nero, righe evidenziate, bordi di card attive. Colora senza urlare.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#3D2F00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oklch(22% .08 89)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Perché non basta un giallo solo.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Un colore ha bisogno di una versione scura per reggere sui fondi chiari e di una spenta per fare da sfondo. Senza, si finisce per inventare ogni volta un giallo diverso — ed è così che un brand si sfilaccia.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07 · La scala dei neri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Tre neri, non uno. Servono a dire cosa sta davanti e cosa sta dietro.</w:t>
      </w:r>
    </w:p>
    <w:p>
      <w:pPr>
        <w:spacing w:after="18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Con un nero solo, sfondo, card e modale sembrano lo stesso piano e l’interfaccia si appiattisce. La soluzione non è aggiungere colori ma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impilare tre neri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: più un elemento è vicino all’utente, più è chiaro. Sono </w:t>
      </w:r>
      <w:r>
        <w:rPr>
          <w:rFonts w:ascii="Calibri" w:cs="Calibri" w:eastAsia="Calibri" w:hAnsi="Calibri"/>
          <w:i/>
          <w:iCs/>
          <w:color w:val="55554A"/>
          <w:sz w:val="20"/>
          <w:szCs w:val="20"/>
        </w:rPr>
        <w:t xml:space="preserve">caldi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— tinta H = 89, la stessa del giallo — così non stonano accanto al marchio.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0D0D0B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DARK 950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Il fondo di tutto. Non ci si appoggia nulla sopra direttamente tranne il testo.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#0D0D0B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oklch(8% .01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1A1A14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DARK 900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Tutto ciò che è contenitore: card, drawer, bottom sheet, modali.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#1A1A14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oklch(13% .02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2A2A1F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DARK 800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Bordi, separatori, campi di input, chip non selezionate.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#2A2A1F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oklch(20% .02 89)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Nota.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nero del marchio (#222221) e i neri dell’interfaccia sono due cose diverse: il primo è un colore di stampa, i secondi sono una scala di profondità. Sullo schermo il marchio si appoggia comunque su Dark 950.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08 · I grigi del testo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Stesso principio dei neri, applicato alla lettura: dicono cosa leggere prima.</w:t>
      </w:r>
    </w:p>
    <w:p>
      <w:pPr>
        <w:spacing w:after="18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Se tutto il testo è bianco, tutto ha la stessa importanza e l’occhio non sa da dove partire. Tre livelli bastano.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5F5EF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WHITE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Titoli e testo principale. Un bianco appena sporco: il bianco puro su nero pieno abbaglia.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#F5F5EF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oklch(96% .01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C4C4A8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GRAY 300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Testo secondario: descrizioni, sottotitoli, orari, dettagli sotto un titolo.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#C4C4A8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oklch(79% .03 89)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7A7A60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GRAY 500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Terzo livello: placeholder, etichette piccole, note. Solo per testo di almeno 18 px.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#7A7A60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oklch(52% .03 89)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09 · Colori funzionali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Non sono brand: sono segnali. Restano convenzionali apposta.</w:t>
      </w:r>
    </w:p>
    <w:p>
      <w:pPr>
        <w:spacing w:after="18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>Questi quattro non si personalizzano. Un verde che conferma e un rosso che avverte funzionano perché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l’utente li conosce già da altre app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: renderli “di brand” li renderebbe solo più lenti da capire.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60"/>
        <w:gridCol w:w="2600"/>
      </w:tblGrid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22C55E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SUCCESS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Pagamento riuscito, prenotazione confermata, ordine completato.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#22C55E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oklch(72% .19 149)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EF4444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ERROR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Errori di campo, pagamento rifiutato, azioni distruttive.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#EF4444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oklch(64% .21 25)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F4040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LIVE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Solo per il badge LIVE durante le dirette. È anche il colore che dà corpo alla seconda lettura del nome — quando è acceso, CAM è davvero ON.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#FF4040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oklch(66% .22 27)</w:t>
            </w:r>
          </w:p>
        </w:tc>
      </w:tr>
      <w:tr>
        <w:tc>
          <w:tcPr>
            <w:tcW w:type="dxa" w:w="9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38BDF8" w:color="auto" w:val="clea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D8D8CC" w:sz="4"/>
              <w:left w:val="none" w:color="FFFFFF" w:sz="0"/>
              <w:bottom w:val="single" w:color="D8D8CC" w:sz="4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1"/>
                <w:szCs w:val="21"/>
              </w:rPr>
              <w:t xml:space="preserve">INFO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5554A"/>
                <w:sz w:val="18"/>
                <w:szCs w:val="18"/>
              </w:rPr>
              <w:t xml:space="preserve">Avvisi neutri, tooltip, banner informativi che non richiedono azione.</w:t>
            </w:r>
          </w:p>
        </w:tc>
        <w:tc>
          <w:tcPr>
            <w:tcW w:type="dxa" w:w="2600"/>
            <w:tcBorders>
              <w:top w:val="single" w:color="D8D8CC" w:sz="4"/>
              <w:left w:val="single" w:color="D8D8CC" w:sz="4"/>
              <w:bottom w:val="single" w:color="D8D8CC" w:sz="4"/>
              <w:right w:val="single" w:color="D8D8CC" w:sz="4"/>
            </w:tcBorders>
            <w:shd w:fill="FAFA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0" w:line="276"/>
              <w:jc w:val="right"/>
            </w:pPr>
            <w:r>
              <w:rPr>
                <w:rFonts w:ascii="Consolas" w:cs="Consolas" w:eastAsia="Consolas" w:hAnsi="Consolas"/>
                <w:color w:val="1A1A14"/>
                <w:sz w:val="20"/>
                <w:szCs w:val="20"/>
              </w:rPr>
              <w:t xml:space="preserve">#38BDF8</w:t>
            </w:r>
          </w:p>
          <w:p>
            <w:pPr>
              <w:spacing w:after="0" w:before="0" w:line="276"/>
              <w:jc w:val="right"/>
            </w:pPr>
            <w:r>
              <w:rPr>
                <w:rFonts w:ascii="Consolas" w:cs="Consolas" w:eastAsia="Consolas" w:hAnsi="Consolas"/>
                <w:color w:val="8A8A78"/>
                <w:sz w:val="15"/>
                <w:szCs w:val="15"/>
              </w:rPr>
              <w:t xml:space="preserve">oklch(75% .13 233)</w:t>
            </w:r>
          </w:p>
        </w:tc>
      </w:tr>
    </w:tbl>
    <w:p>
      <w:pPr>
        <w:spacing w:after="10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Il giallo non è un colore di stato.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In molte interfacce il giallo significa “attenzione”: qui no, perché è il brand. Se serve un avviso si usa #EF4444 o #38BDF8 — mai il giallo, o l’utente non capisce se è un allarme o un bottone.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10 · Contrasto e leggibilità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Misurato secondo WCAG. Testo normale richiede 4.5:1, testo grande 3:1.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Cos’è il rapporto di contrasto.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Un numero che misura quanto una scritta si stacca dal fondo su cui sta. Si calcola confrontando la luminosità dei due colori e va da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1:1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— colori identici, scritta invisibile — a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21:1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, il massimo possibile, cioè nero pieno su bianco pieno.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A cosa ti serve.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A sapere </w:t>
      </w:r>
      <w:r>
        <w:rPr>
          <w:rFonts w:ascii="Calibri" w:cs="Calibri" w:eastAsia="Calibri" w:hAnsi="Calibri"/>
          <w:i/>
          <w:iCs/>
          <w:color w:val="55554A"/>
          <w:sz w:val="20"/>
          <w:szCs w:val="20"/>
        </w:rPr>
        <w:t xml:space="preserve">prima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se una scritta si legge, invece di scoprirlo quando il menu è già in stampa o quando un cliente non trova il bottone. È anche il criterio con cui si giudica l’accessibilità di un sito: sotto 4.5:1 il testo normale è considerato non leggibile, e per un’app che gestisce pagamenti è un problema concreto, non teorico.</w:t>
      </w:r>
    </w:p>
    <w:p>
      <w:pPr>
        <w:spacing w:after="18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Come si legge la tabella.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Ogni riga è una coppia testo/fondo che nell’identità CAMON capita davvero.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AAA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e </w:t>
      </w: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AA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 sono i due livelli previsti dallo standard: AAA è ampiamente a norma, AA è il minimo accettabile. Le ultime due righe sono combinazioni da non usare mai.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1700"/>
        <w:gridCol w:w="2260"/>
      </w:tblGrid>
      <w:tr>
        <w:trPr>
          <w:tblHeader/>
        </w:trPr>
        <w:tc>
          <w:tcPr>
            <w:tcW w:type="dxa" w:w="270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TESTO</w:t>
            </w:r>
          </w:p>
        </w:tc>
        <w:tc>
          <w:tcPr>
            <w:tcW w:type="dxa" w:w="270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SU FONDO</w:t>
            </w:r>
          </w:p>
        </w:tc>
        <w:tc>
          <w:tcPr>
            <w:tcW w:type="dxa" w:w="170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RAPPORTO</w:t>
            </w:r>
          </w:p>
        </w:tc>
        <w:tc>
          <w:tcPr>
            <w:tcW w:type="dxa" w:w="2260"/>
            <w:shd w:fill="EFEF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55554A"/>
                <w:sz w:val="16"/>
                <w:szCs w:val="16"/>
              </w:rPr>
              <w:t xml:space="preserve">ESITO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White #F5F5EF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Dark 950 #0D0D0B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17.6:1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Yellow #F7CC49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Dark 950 #0D0D0B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12.7:1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Gray 300 #C4C4A8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Dark 950 #0D0D0B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10.8:1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Black #222221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Yellow #F7CC49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10.4:1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AAA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Gray 500 #7A7A60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Dark 950 #0D0D0B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4.4:1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B8890A"/>
                <w:sz w:val="18"/>
                <w:szCs w:val="18"/>
              </w:rPr>
              <w:t xml:space="preserve">Solo testo grande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Yellow Dark #C49A0A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White #FFFFFF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2.6:1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C42A1E"/>
                <w:sz w:val="18"/>
                <w:szCs w:val="18"/>
              </w:rPr>
              <w:t xml:space="preserve">Non usare per testo</w:t>
            </w:r>
          </w:p>
        </w:tc>
      </w:tr>
      <w:tr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Yellow #F7CC49</w:t>
            </w:r>
          </w:p>
        </w:tc>
        <w:tc>
          <w:tcPr>
            <w:tcW w:type="dxa" w:w="2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55554A"/>
                <w:sz w:val="18"/>
                <w:szCs w:val="18"/>
              </w:rPr>
              <w:t xml:space="preserve">White #FFFFFF</w:t>
            </w:r>
          </w:p>
        </w:tc>
        <w:tc>
          <w:tcPr>
            <w:tcW w:type="dxa" w:w="17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18"/>
                <w:szCs w:val="18"/>
              </w:rPr>
              <w:t xml:space="preserve">1.5:1</w:t>
            </w:r>
          </w:p>
        </w:tc>
        <w:tc>
          <w:tcPr>
            <w:tcW w:type="dxa" w:w="2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C42A1E"/>
                <w:sz w:val="18"/>
                <w:szCs w:val="18"/>
              </w:rPr>
              <w:t xml:space="preserve">Vietato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tbl>
      <w:tblPr>
        <w:tblW w:type="dxa" w:w="9360"/>
        <w:tblBorders>
          <w:top w:val="none" w:color="FFFFFF" w:sz="0"/>
          <w:left w:val="single" w:color="F7CC49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5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1A1A14"/>
                <w:sz w:val="20"/>
                <w:szCs w:val="20"/>
              </w:rPr>
              <w:t xml:space="preserve">Le due righe rosse sono la stessa lezione. </w:t>
            </w:r>
            <w:r>
              <w:rPr>
                <w:rFonts w:ascii="Calibri" w:cs="Calibri" w:eastAsia="Calibri" w:hAnsi="Calibri"/>
                <w:color w:val="55554A"/>
                <w:sz w:val="20"/>
                <w:szCs w:val="20"/>
              </w:rPr>
              <w:t xml:space="preserve">Il giallo del brand vive sul nero. Su fondo chiaro non si legge mai: lì il testo va in nero e il giallo resta un accento — un riempimento con testo scuro sopra, un bordo, una sottolineatura.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11 · Cosa fare, cosa evitare</w:t>
      </w:r>
    </w:p>
    <w:tbl>
      <w:tblPr>
        <w:tblW w:type="dxa" w:w="9360"/>
        <w:tblBorders>
          <w:top w:val="single" w:color="D8D8CC" w:sz="4"/>
          <w:left w:val="single" w:color="D8D8CC" w:sz="4"/>
          <w:bottom w:val="single" w:color="D8D8CC" w:sz="4"/>
          <w:right w:val="single" w:color="D8D8CC" w:sz="4"/>
          <w:insideH w:val="none" w:color="FFFFFF" w:sz="0"/>
          <w:insideV w:val="single" w:color="D8D8CC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140" w:before="0" w:line="276"/>
            </w:pPr>
            <w:r>
              <w:rPr>
                <w:rFonts w:ascii="Calibri" w:cs="Calibri" w:eastAsia="Calibri" w:hAnsi="Calibri"/>
                <w:b/>
                <w:bCs/>
                <w:color w:val="1B7F3D"/>
                <w:sz w:val="18"/>
                <w:szCs w:val="18"/>
              </w:rPr>
              <w:t xml:space="preserve">✓  SI FA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Una sola cosa gialla per schermata: l’azione più importante.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Fondo nero, testo bianco, giallo come accento.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Il marchio su un fondo pieno tra i tre previsti.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Spazio libero attorno al logo pari all’altezza della pallina.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Sotto i 24 px, solo l’icona.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Rosso e verde solo per stati, mai per decorare.</w:t>
            </w:r>
          </w:p>
        </w:tc>
        <w:tc>
          <w:tcPr>
            <w:tcW w:type="dxa" w:w="4680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140" w:before="0" w:line="276"/>
            </w:pPr>
            <w:r>
              <w:rPr>
                <w:rFonts w:ascii="Calibri" w:cs="Calibri" w:eastAsia="Calibri" w:hAnsi="Calibri"/>
                <w:b/>
                <w:bCs/>
                <w:color w:val="C42A1E"/>
                <w:sz w:val="18"/>
                <w:szCs w:val="18"/>
              </w:rPr>
              <w:t xml:space="preserve">✕  NON SI FA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Giallo su bianco, o giallo su giallo.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Invertire i ruoli: CAM trattato e ON pieno.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Allargare o spaziare le lettere: il bicchiere si sfonda.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Il marchio sopra una foto senza un pieno dietro.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Gradienti, ombre o contorni sul logo.</w:t>
            </w:r>
          </w:p>
          <w:p>
            <w:pPr>
              <w:spacing w:after="90" w:before="0" w:line="276"/>
            </w:pPr>
            <w:r>
              <w:rPr>
                <w:rFonts w:ascii="Calibri" w:cs="Calibri" w:eastAsia="Calibri" w:hAnsi="Calibri"/>
                <w:color w:val="55554A"/>
                <w:sz w:val="17"/>
                <w:szCs w:val="17"/>
              </w:rPr>
              <w:t xml:space="preserve">•  Inventare un giallo nuovo perché “quello non si vedeva”.</w:t>
            </w:r>
          </w:p>
        </w:tc>
      </w:tr>
    </w:tbl>
    <w:p>
      <w:pPr>
        <w:pStyle w:val="Heading1"/>
        <w:pBdr>
          <w:bottom w:val="single" w:color="1A1A14" w:sz="12" w:space="6"/>
        </w:pBdr>
        <w:spacing w:after="60" w:before="420"/>
      </w:pPr>
      <w:r>
        <w:rPr>
          <w:rFonts w:ascii="Calibri" w:cs="Calibri" w:eastAsia="Calibri" w:hAnsi="Calibri"/>
          <w:b/>
          <w:bCs/>
          <w:color w:val="1A1A14"/>
          <w:sz w:val="30"/>
          <w:szCs w:val="30"/>
        </w:rPr>
        <w:t xml:space="preserve">12 · Token CSS</w:t>
      </w:r>
    </w:p>
    <w:p>
      <w:pPr>
        <w:spacing w:after="200" w:before="0" w:line="276"/>
      </w:pPr>
      <w:r>
        <w:rPr>
          <w:rFonts w:ascii="Calibri" w:cs="Calibri" w:eastAsia="Calibri" w:hAnsi="Calibri"/>
          <w:i/>
          <w:iCs/>
          <w:color w:val="8A8A78"/>
          <w:sz w:val="19"/>
          <w:szCs w:val="19"/>
        </w:rPr>
        <w:t xml:space="preserve">Da incollare in camon.html. Da qui in poi si scrive var(--brand), mai un esadecimale a mano.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Cos’è un token.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È un nome dato a un colore. Invece di scrivere ogni volta #F7CC49, si scrive var(--brand): il valore vero è definito una sola volta, in cima al file.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Il primo motivo: cambiare colore una volta sola.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Oggi in camon.html il giallo è scritto a mano in centinaia di punti. Il giorno in cui va ritoccato — anche solo di mezzo tono, per la stampa o per un fondo nuovo — vanno trovati e corretti tutti, uno per uno, e qualcuno sfugge sempre: resta una schermata col giallo vecchio e nessuno se ne accorge per mesi. Con i token si cambia la riga in cima e cambia tutta l’app in un colpo.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Il secondo: il nome dice il ruolo.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var(--text-muted) si capisce al volo — è il testo di terzo livello. #7A7A60 non dice niente: è solo un numero. Chi rimette mano al codice tra sei mesi — tu compreso — capisce l’intenzione, non solo il valore.</w:t>
      </w:r>
    </w:p>
    <w:p>
      <w:pPr>
        <w:spacing w:after="200" w:before="0" w:line="276"/>
      </w:pPr>
      <w:r>
        <w:rPr>
          <w:rFonts w:ascii="Calibri" w:cs="Calibri" w:eastAsia="Calibri" w:hAnsi="Calibri"/>
          <w:b/>
          <w:bCs/>
          <w:color w:val="1A1A14"/>
          <w:sz w:val="20"/>
          <w:szCs w:val="20"/>
        </w:rPr>
        <w:t xml:space="preserve">Il terzo: il brand resta uno. </w:t>
      </w:r>
      <w:r>
        <w:rPr>
          <w:rFonts w:ascii="Calibri" w:cs="Calibri" w:eastAsia="Calibri" w:hAnsi="Calibri"/>
          <w:color w:val="55554A"/>
          <w:sz w:val="20"/>
          <w:szCs w:val="20"/>
        </w:rPr>
        <w:t xml:space="preserve">Finché i colori si scrivono a mano, prima o poi qualcuno inventa un giallo leggermente diverso perché “quello non si vedeva bene”. Con i token quella scorciatoia non esiste: o usi un colore che c’è, o ne aggiungi uno consapevolmente qui.</w:t>
      </w:r>
    </w:p>
    <w:tbl>
      <w:tblPr>
        <w:tblW w:type="dxa" w:w="9360"/>
        <w:tblBorders>
          <w:top w:val="single" w:color="D8D8CC" w:sz="4"/>
          <w:left w:val="single" w:color="D8D8CC" w:sz="4"/>
          <w:bottom w:val="single" w:color="D8D8CC" w:sz="4"/>
          <w:right w:val="single" w:color="D8D8CC" w:sz="4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7F2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/* ---- CAMON · design tokens ----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:root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Marchio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--brand:        #F7CC49;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--brand-black:  #222221;   /* il nero del logo, stampa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--brand-dark:   #C49A0A;   /* stato :active dei bottoni gialli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--brand-dim:    #3D2F00;   /* fondo di badge e pill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Fondi — dal più lontano al più vicino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--dark-950:     #0D0D0B;   /* pagina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--dark-900:     #1A1A14;   /* card, drawer, sheet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--dark-800:     #2A2A1F;   /* bordi, input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Testo — dal più al meno importante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--text:         #F5F5EF;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--text-sub:     #C4C4A8;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--text-muted:   #7A7A60;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8A78"/>
                <w:sz w:val="17"/>
                <w:szCs w:val="17"/>
              </w:rPr>
              <w:t xml:space="preserve">  /* Stati */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--success:      #22C55E;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--error:        #EF4444;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--live:         #FF4040;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  --info:         #38BDF8;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1A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300" w:line="276"/>
      </w:pPr>
      <w:r>
        <w:rPr>
          <w:rFonts w:ascii="Calibri" w:cs="Calibri" w:eastAsia="Calibri" w:hAnsi="Calibri"/>
          <w:color w:val="55554A"/>
          <w:sz w:val="20"/>
          <w:szCs w:val="20"/>
        </w:rPr>
        <w:t xml:space="preserve"/>
      </w:r>
    </w:p>
    <w:p>
      <w:pPr>
        <w:pBdr>
          <w:top w:val="single" w:color="D8D8CC" w:sz="4" w:space="8"/>
        </w:pBdr>
        <w:spacing w:before="240"/>
      </w:pPr>
      <w:r>
        <w:rPr>
          <w:rFonts w:ascii="Calibri" w:cs="Calibri" w:eastAsia="Calibri" w:hAnsi="Calibri"/>
          <w:color w:val="8A8A78"/>
          <w:sz w:val="16"/>
          <w:szCs w:val="16"/>
        </w:rPr>
        <w:t xml:space="preserve">CAMON · Brand Book — marchi da “Loghi definitivi.svg”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55554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33d9748fda8d97c878cd4e01a5937ccdd3c31b.png"/><Relationship Id="rId8" Type="http://schemas.openxmlformats.org/officeDocument/2006/relationships/image" Target="media/7834c68356825f3e26600cef36c5ffc07725bd27.png"/><Relationship Id="rId9" Type="http://schemas.openxmlformats.org/officeDocument/2006/relationships/image" Target="media/35eceead0e72b4f44926e8127b64b0d954ede5cd.png"/><Relationship Id="rId10" Type="http://schemas.openxmlformats.org/officeDocument/2006/relationships/image" Target="media/a1288792b311408c7a7274f3c5d0b4ff1f28d9b3.png"/><Relationship Id="rId11" Type="http://schemas.openxmlformats.org/officeDocument/2006/relationships/image" Target="media/3f521c8b44aa218c9b560d5dee1bede98dd9ff10.png"/><Relationship Id="rId12" Type="http://schemas.openxmlformats.org/officeDocument/2006/relationships/image" Target="media/8db1a81baa39630ace90d612b5252e5ca4c1efbb.png"/><Relationship Id="rId13" Type="http://schemas.openxmlformats.org/officeDocument/2006/relationships/image" Target="media/703ecf7c7810c5ccbc198f4a3268c56104ebc8f7.png"/><Relationship Id="rId14" Type="http://schemas.openxmlformats.org/officeDocument/2006/relationships/image" Target="media/77e25b6ae8c45259458e85e44cfb533415c81980.png"/><Relationship Id="rId15" Type="http://schemas.openxmlformats.org/officeDocument/2006/relationships/image" Target="media/f03f0ad14abfde9c49202db2af373d809c8aed1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CAMON — Brand Book</dc:title>
  <dc:creator>CAMON</dc:creator>
  <dc:description>Manuale d’uso dell’identità visiva CAMON</dc:description>
  <cp:lastModifiedBy>Un-named</cp:lastModifiedBy>
  <cp:revision>1</cp:revision>
  <dcterms:created xsi:type="dcterms:W3CDTF">2026-08-28T14:32:07.282Z</dcterms:created>
  <dcterms:modified xsi:type="dcterms:W3CDTF">2026-08-28T14:32:07.283Z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