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60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14"/>
          <w:sz w:val="52"/>
          <w:szCs w:val="52"/>
        </w:rPr>
        <w:t xml:space="preserve">BRAND BOOK</w:t>
      </w:r>
    </w:p>
    <w:p>
      <w:pPr>
        <w:spacing w:after="400" w:before="0" w:line="276"/>
        <w:jc w:val="center"/>
      </w:pPr>
      <w:r>
        <w:rPr>
          <w:rFonts w:ascii="Calibri" w:cs="Calibri" w:eastAsia="Calibri" w:hAnsi="Calibri"/>
          <w:color w:val="8A8A78"/>
          <w:sz w:val="22"/>
          <w:szCs w:val="22"/>
        </w:rPr>
        <w:t xml:space="preserve">Manuale d’uso dell’identità visiva</w:t>
      </w:r>
    </w:p>
    <w:p>
      <w:pPr>
        <w:spacing w:after="26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>Il marchio è un bicchiere da beer pong visto di lato: la pallina cade, le due curve sono il bordo, e </w:t>
      </w: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CAM ON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 è il corpo del bicchiere. Il testo non accompagna il simbolo — il testo </w:t>
      </w:r>
      <w:r>
        <w:rPr>
          <w:rFonts w:ascii="Calibri" w:cs="Calibri" w:eastAsia="Calibri" w:hAnsi="Calibri"/>
          <w:i/>
          <w:iCs/>
          <w:color w:val="55554A"/>
          <w:sz w:val="20"/>
          <w:szCs w:val="20"/>
        </w:rPr>
        <w:t xml:space="preserve">è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 il simbolo. E la stessa spezzatura che costruisce il bicchiere tiene insieme le due letture del nome: </w:t>
      </w: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come on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 e </w:t>
      </w: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cam on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.</w:t>
      </w:r>
    </w:p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01 · Anatomia del marchio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Cosa rappresenta ogni elemento, e perché non va toccato.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  <w:right w:type="dxa" w:w="2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bottom w:type="dxa" w:w="60"/>
            </w:tcMar>
          </w:tcPr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1. La pallina —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Il momento del punto. Sta cadendo, non è ferma: è l’azione, non l’oggetto.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2. Le due curve —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Il bordo del bicchiere, dove si appoggiano le labbra. La curvatura dà la prospettiva.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3. CAM ON —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Il corpo del bicchiere: le lettere disegnano la parete, quella che si tiene in mano. Il nome non sta accanto al disegno, lo costruisce.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4. La spezzatura —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Non serve solo a fare la forma: è quella che fa leggere il nome in due modi insieme.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single" w:color="F7CC4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Regola d’oro: ON è l’elemento che cambia.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Che sia giallo, bianco, o vuoto da riempire, la seconda sillaba è sempre quella trattata diversamente. CAM resta il pieno. Invertire i ruoli spegne il gioco di parole.</w:t>
            </w:r>
          </w:p>
        </w:tc>
      </w:tr>
    </w:tbl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02 · Le due letture del nome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Una parola sola che ne contiene due. Ecco quali.</w:t>
      </w:r>
    </w:p>
    <w:p>
      <w:pPr>
        <w:spacing w:after="18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CAMON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 è la contrazione di due espressioni inglesi diverse che, dette ad alta voce, suonano quasi identiche. Il marchio non ne sceglie una: le tiene insieme.</w:t>
      </w:r>
    </w:p>
    <w:tbl>
      <w:tblPr>
        <w:tblW w:type="dxa" w:w="9360"/>
        <w:tblBorders>
          <w:top w:val="single" w:color="D8D8CC" w:sz="4"/>
          <w:left w:val="single" w:color="D8D8CC" w:sz="4"/>
          <w:bottom w:val="single" w:color="D8D8CC" w:sz="4"/>
          <w:right w:val="single" w:color="D8D8CC" w:sz="4"/>
          <w:insideH w:val="none" w:color="FFFFFF" w:sz="0"/>
          <w:insideV w:val="single" w:color="D8D8CC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34"/>
                <w:szCs w:val="34"/>
              </w:rPr>
              <w:t xml:space="preserve">COME </w:t>
            </w:r>
            <w:r>
              <w:rPr>
                <w:rFonts w:ascii="Calibri" w:cs="Calibri" w:eastAsia="Calibri" w:hAnsi="Calibri"/>
                <w:b/>
                <w:bCs/>
                <w:color w:val="B8890A"/>
                <w:sz w:val="34"/>
                <w:szCs w:val="34"/>
              </w:rPr>
              <w:t xml:space="preserve">ON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8A8A78"/>
                <w:sz w:val="16"/>
                <w:szCs w:val="16"/>
              </w:rPr>
              <w:t xml:space="preserve">l’invito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“Dai, vieni.”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Quello che si dice a un amico per trascinarlo dentro: a giocare, a bere, a stare. È il tono del locale prima ancora del suo nome.</w:t>
            </w:r>
          </w:p>
        </w:tc>
        <w:tc>
          <w:tcPr>
            <w:tcW w:type="dxa" w:w="4680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34"/>
                <w:szCs w:val="34"/>
              </w:rPr>
              <w:t xml:space="preserve">CAM </w:t>
            </w:r>
            <w:r>
              <w:rPr>
                <w:rFonts w:ascii="Calibri" w:cs="Calibri" w:eastAsia="Calibri" w:hAnsi="Calibri"/>
                <w:b/>
                <w:bCs/>
                <w:color w:val="B8890A"/>
                <w:sz w:val="34"/>
                <w:szCs w:val="34"/>
              </w:rPr>
              <w:t xml:space="preserve">ON</w:t>
            </w:r>
          </w:p>
          <w:p>
            <w:pPr>
              <w:spacing w:after="100" w:before="0" w:line="276"/>
            </w:pPr>
            <w:r>
              <w:rPr>
                <w:rFonts w:ascii="Calibri" w:cs="Calibri" w:eastAsia="Calibri" w:hAnsi="Calibri"/>
                <w:color w:val="8A8A78"/>
                <w:sz w:val="16"/>
                <w:szCs w:val="16"/>
              </w:rPr>
              <w:t xml:space="preserve">lo stato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“Camera accesa.”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Il locale trasmette in diretta: le partite finiscono su Twitch, e la telecamera è parte del posto quanto i tavoli. ON è la spia accesa.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single" w:color="F7CC4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Il perno è ON.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È la sillaba che entrambe le letture hanno in comune, ed è per questo che nel marchio è quella isolata — dal colore, dalla riga a capo, o dal vuoto sul bicchiere. Isolare ON è ciò che rende visibile il doppio senso: tolto quello, resta una parola qualsiasi.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Per iscritto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il nome si scrive CAMON, attaccato — in un testo, in una frase, in un URL. È solo nel </w:t>
            </w:r>
            <w:r>
              <w:rPr>
                <w:rFonts w:ascii="Calibri" w:cs="Calibri" w:eastAsia="Calibri" w:hAnsi="Calibri"/>
                <w:i/>
                <w:iCs/>
                <w:color w:val="55554A"/>
                <w:sz w:val="20"/>
                <w:szCs w:val="20"/>
              </w:rPr>
              <w:t xml:space="preserve">marchio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 che si spezza. Il nome è una parola; il logo è il doppio senso reso visibile.</w:t>
            </w:r>
          </w:p>
        </w:tc>
      </w:tr>
    </w:tbl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03 · Il caso del bicchiere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L’applicazione in cui la regola d’oro si vede meglio.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>Il bicchiere è </w:t>
      </w: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bianco pieno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. Sopra ci va il marchio come sul fondo chiaro: CAM stampato in nero, e in nero anche i due bordini — quelli su cui si appoggiano le labbra, che nel logo fanno il bordo del bicchiere.</w:t>
      </w:r>
    </w:p>
    <w:p>
      <w:pPr>
        <w:spacing w:after="18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ON non si stampa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. Resta trasparente: si vede attraverso il bicchiere. Finché è vuoto quella sillaba è un buco chiaro; quando si versa, il liquido la riempie e ON diventa l’unica parte colorata dell’oggetto — giallo con la birra, rosso con un cocktail rosso, verde con un mojito. Il colore lo decide chi beve.</w:t>
      </w:r>
    </w:p>
    <w:tbl>
      <w:tblPr>
        <w:tblW w:type="dxa" w:w="9360"/>
        <w:tblBorders>
          <w:top w:val="none" w:color="FFFFFF" w:sz="0"/>
          <w:left w:val="single" w:color="F7CC4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Perché funziona.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Il liquido non decora il marchio: lo </w:t>
            </w:r>
            <w:r>
              <w:rPr>
                <w:rFonts w:ascii="Calibri" w:cs="Calibri" w:eastAsia="Calibri" w:hAnsi="Calibri"/>
                <w:i/>
                <w:iCs/>
                <w:color w:val="55554A"/>
                <w:sz w:val="20"/>
                <w:szCs w:val="20"/>
              </w:rPr>
              <w:t xml:space="preserve">completa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. A bicchiere vuoto si legge CAM; a bicchiere pieno compare ON. È la regola d’oro resa fisica — ON è sempre la parte che cambia, qui lo cambia la birra invece dell’inchiostro.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La conseguenza pratica: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su questo pezzo il giallo del brand non si stampa affatto. Ci pensa il contenuto. Per questo la stampa è a un solo colore — nero — e costa meno di una a due colori.</w:t>
            </w:r>
          </w:p>
        </w:tc>
      </w:tr>
    </w:tbl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04 · Le varianti del marchio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Tre fondi, tre trattamenti — non se ne inventano altri.</w:t>
      </w:r>
    </w:p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4"/>
          <w:sz w:val="24"/>
          <w:szCs w:val="24"/>
        </w:rPr>
        <w:t xml:space="preserve">Versione verticale — la principale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SU BIANCO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8A8A78"/>
                <w:sz w:val="15"/>
                <w:szCs w:val="15"/>
              </w:rPr>
              <w:t xml:space="preserve">Stampa, menu, documenti, fatture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SU GIALLO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8A8A78"/>
                <w:sz w:val="15"/>
                <w:szCs w:val="15"/>
              </w:rPr>
              <w:t xml:space="preserve">Merchandising, insegne, packaging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SU NERO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8A8A78"/>
                <w:sz w:val="15"/>
                <w:szCs w:val="15"/>
              </w:rPr>
              <w:t xml:space="preserve">App, social, video, ambiente del locale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single" w:color="F7CC4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Su fondo giallo ON diventa bianco.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Giallo su giallo non esiste, e portare tutto a nero perderebbe lo stacco tra le due sillabe. Il bianco è l’unica uscita che conserva il concetto.</w:t>
            </w:r>
          </w:p>
        </w:tc>
      </w:tr>
    </w:tbl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4"/>
          <w:sz w:val="24"/>
          <w:szCs w:val="24"/>
        </w:rPr>
        <w:t xml:space="preserve">Versione orizzontale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335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SU BIANCO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8A8A78"/>
                <w:sz w:val="15"/>
                <w:szCs w:val="15"/>
              </w:rPr>
              <w:t xml:space="preserve">Carta intestata, biglietti, ricevute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335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SU GIALLO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8A8A78"/>
                <w:sz w:val="15"/>
                <w:szCs w:val="15"/>
              </w:rPr>
              <w:t xml:space="preserve">Strisce, adesivi, gadget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3335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SU NERO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8A8A78"/>
                <w:sz w:val="15"/>
                <w:szCs w:val="15"/>
              </w:rPr>
              <w:t xml:space="preserve">Header app, bottom bar, overlay video</w:t>
            </w:r>
          </w:p>
        </w:tc>
      </w:tr>
    </w:tbl>
    <w:p>
      <w:pPr>
        <w:pStyle w:val="Heading2"/>
        <w:spacing w:after="80" w:before="260"/>
      </w:pPr>
      <w:r>
        <w:rPr>
          <w:rFonts w:ascii="Calibri" w:cs="Calibri" w:eastAsia="Calibri" w:hAnsi="Calibri"/>
          <w:b/>
          <w:bCs/>
          <w:color w:val="1A1A14"/>
          <w:sz w:val="24"/>
          <w:szCs w:val="24"/>
        </w:rPr>
        <w:t xml:space="preserve">Icona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0287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SU BIANCO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8A8A78"/>
                <w:sz w:val="15"/>
                <w:szCs w:val="15"/>
              </w:rPr>
              <w:t xml:space="preserve">Timbro, watermark, filigrana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0287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SU GIALLO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8A8A78"/>
                <w:sz w:val="15"/>
                <w:szCs w:val="15"/>
              </w:rPr>
              <w:t xml:space="preserve">App icon, pin mappa, spille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0287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SU NERO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color w:val="8A8A78"/>
                <w:sz w:val="15"/>
                <w:szCs w:val="15"/>
              </w:rPr>
              <w:t xml:space="preserve">Favicon, avatar social, loader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single" w:color="F7CC4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Sotto i 24 px si usa solo l’icona.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A quella dimensione le lettere si impastano e il bicchiere non si legge più: meglio un simbolo netto che un marchio illeggibile.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05 · I tre colori del brand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Presi direttamente dal file del marchio. Tutto il resto è servizio — non è brand.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60"/>
        <w:gridCol w:w="2600"/>
      </w:tblGrid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7CC49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CAMON YELLOW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Il colore. Sta su ON, sui bottoni d’azione, sui prezzi e sui numeri che contano. Una sola cosa gialla per schermata.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#F7CC49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oklch(84% .17 89)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222221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CAMON BLACK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Il nero del marchio. Non è nero pieno: è appena ammorbidito, così in stampa non si impasta e a schermo non taglia.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#222221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oklch(24% .002 106)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FFFFF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CAMON WHITE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Marchio sul nero, testo sul nero, e ON quando il fondo è giallo. Mai come sfondo dominante dell’app.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#FFFFFF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oklch(100% 0 0)</w:t>
            </w:r>
          </w:p>
        </w:tc>
      </w:tr>
    </w:tbl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06 · Gialli di servizio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Due derivati. Stessa tinta (H = 89), diversa luminosità — così restano riconoscibili come “lo stesso giallo”.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60"/>
        <w:gridCol w:w="2600"/>
      </w:tblGrid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D4900A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YELLOW PRESS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Lo stato premuto dei bottoni gialli. Vira leggermente all’arancio: e’ quello che rende evidente il tocco senza cambiare colore. Non usarlo per testo.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#D4900A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oklch(66% .15 75)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3A2E00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YELLOW DIM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Il giallo quando deve sussurrare. Fondo di badge e pill su nero, righe evidenziate, bordi di card attive. Colora senza urlare.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#3A2E00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oklch(23% .07 89)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single" w:color="F7CC4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Perché non basta un giallo solo.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Un colore ha bisogno di una versione scura per reggere sui fondi chiari e di una spenta per fare da sfondo. Senza, si finisce per inventare ogni volta un giallo diverso — ed è così che un brand si sfilaccia.</w:t>
            </w:r>
          </w:p>
        </w:tc>
      </w:tr>
    </w:tbl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07 · La scala dei neri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Tre neri, non uno. Servono a dire cosa sta davanti e cosa sta dietro.</w:t>
      </w:r>
    </w:p>
    <w:p>
      <w:pPr>
        <w:spacing w:after="18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>Con un nero solo, sfondo, card e modale sembrano lo stesso piano e l’interfaccia si appiattisce. La soluzione non è aggiungere colori ma </w:t>
      </w: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impilare tre neri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: più un elemento è vicino all’utente, più è chiaro. Sono </w:t>
      </w:r>
      <w:r>
        <w:rPr>
          <w:rFonts w:ascii="Calibri" w:cs="Calibri" w:eastAsia="Calibri" w:hAnsi="Calibri"/>
          <w:i/>
          <w:iCs/>
          <w:color w:val="55554A"/>
          <w:sz w:val="20"/>
          <w:szCs w:val="20"/>
        </w:rPr>
        <w:t xml:space="preserve">caldi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 — tinta H = 89, la stessa del giallo — così non stonano accanto al marchio.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60"/>
        <w:gridCol w:w="2600"/>
      </w:tblGrid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0A0A0A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--bg-deep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Piu’ scuro della pagina: velatura sotto l’orologio, fondi che devono sprofondare.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#0A0A0A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oklch(6% 0 0)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111111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--bg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Il fondo di tutto. Non ci si appoggia nulla sopra direttamente tranne il testo.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#111111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oklch(18% 0 0)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1C1C1C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--surface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Tutto ciò che è contenitore: card, drawer, bottom sheet, modali.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#1C1C1C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oklch(24% 0 0)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252525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--surface-2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Un piano piu’ avanti: campi di input, chip non selezionate.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#252525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oklch(29% 0 0)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3A3A3A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--border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Bordi e separatori pieni. Per i bordi leggeri l’app usa rgba(255,255,255,.08–.12).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#3A3A3A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oklch(38% 0 0)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single" w:color="F7CC4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Il fondo è uno solo.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Ogni schermata parte da --bg. Se una pagina non dichiara il proprio fondo finisce per mostrare quello del contenitore sotto, e basta che quello sia diverso perché la pagina sembri di un’altra app: è successo davvero, il guscio era nero pieno e nove pagine lo lasciavano vedere. La home fa eccezione solo in apparenza — ci mette sopra un alone che sale da --surface e si chiude su --bg, quindi ai bordi combacia con tutte le altre.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single" w:color="F7CC4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Nota.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Il nero del marchio (#222221) e i neri dell’interfaccia sono due cose diverse: il primo è un colore di stampa, i secondi sono una scala di profondità. Sullo schermo il marchio si appoggia comunque su Dark 950.</w:t>
            </w:r>
          </w:p>
        </w:tc>
      </w:tr>
    </w:tbl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08 · I grigi del testo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Stesso principio dei neri, applicato alla lettura: dicono cosa leggere prima.</w:t>
      </w:r>
    </w:p>
    <w:p>
      <w:pPr>
        <w:spacing w:after="18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>Se tutto il testo è bianco, tutto ha la stessa importanza e l’occhio non sa da dove partire. Tre livelli bastano.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60"/>
        <w:gridCol w:w="2600"/>
      </w:tblGrid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FFFFF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--text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Titoli e testo principale. Bianco pieno.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#FFFFFF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opacita’ 100%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9A9A9A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--text-sub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Testo secondario: descrizioni, sottotitoli, orari. E’ bianco al 60%, non un grigio fisso: prende il fondo che ha sotto.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#9A9A9A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rgba(255,255,255,.60)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636363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--text-muted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Terzo livello: placeholder, etichette piccole, note. Bianco al 35%. Solo per testo grande.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#636363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rgba(255,255,255,.35)</w:t>
            </w:r>
          </w:p>
        </w:tc>
      </w:tr>
    </w:tbl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09 · Colori funzionali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Non sono brand: sono segnali. Restano convenzionali apposta.</w:t>
      </w:r>
    </w:p>
    <w:p>
      <w:pPr>
        <w:spacing w:after="18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>Questi quattro non si personalizzano. Un verde che conferma e un rosso che avverte funzionano perché </w:t>
      </w: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l’utente li conosce già da altre app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: renderli “di brand” li renderebbe solo più lenti da capire.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860"/>
        <w:gridCol w:w="2600"/>
      </w:tblGrid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4CD964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--success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Pagamento riuscito, prenotazione confermata, tavolo libero sulla mappa. E’ il verde di sistema di iOS: convenzionale per scelta, non per caso.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#4CD964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oklch(78% .19 148)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1A3D1A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--success-dim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Il verde spento: fondo dei tavoli selezionabili, righe confermate.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#1A3D1A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oklch(31% .08 148)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EF4444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--error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Errori di campo, pagamento rifiutato, azioni distruttive. Pieni e bordi.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#EF4444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oklch(64% .21 25)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F6B61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--error-soft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Il rosso quando e’ TESTO su fondo scuro: 6.7:1 invece di 5.0:1.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#FF6B61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oklch(70% .16 26)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F4040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--live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Solo per il badge LIVE durante le dirette. È anche il colore che dà corpo alla seconda lettura del nome — quando è acceso, CAM è davvero ON.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#FF4040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oklch(66% .22 27)</w:t>
            </w:r>
          </w:p>
        </w:tc>
      </w:tr>
      <w:tr>
        <w:tc>
          <w:tcPr>
            <w:tcW w:type="dxa" w:w="9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64C8FF" w:color="auto" w:val="clear"/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/>
            </w:r>
          </w:p>
        </w:tc>
        <w:tc>
          <w:tcPr>
            <w:tcW w:type="dxa" w:w="5860"/>
            <w:tcBorders>
              <w:top w:val="single" w:color="D8D8CC" w:sz="4"/>
              <w:left w:val="none" w:color="FFFFFF" w:sz="0"/>
              <w:bottom w:val="single" w:color="D8D8CC" w:sz="4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1"/>
                <w:szCs w:val="21"/>
              </w:rPr>
              <w:t xml:space="preserve">--info</w:t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55554A"/>
                <w:sz w:val="18"/>
                <w:szCs w:val="18"/>
              </w:rPr>
              <w:t xml:space="preserve">Avvisi neutri, tooltip, banner informativi che non richiedono azione.</w:t>
            </w:r>
          </w:p>
        </w:tc>
        <w:tc>
          <w:tcPr>
            <w:tcW w:type="dxa" w:w="2600"/>
            <w:tcBorders>
              <w:top w:val="single" w:color="D8D8CC" w:sz="4"/>
              <w:left w:val="single" w:color="D8D8CC" w:sz="4"/>
              <w:bottom w:val="single" w:color="D8D8CC" w:sz="4"/>
              <w:right w:val="single" w:color="D8D8CC" w:sz="4"/>
            </w:tcBorders>
            <w:shd w:fill="FAFA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0" w:line="276"/>
              <w:jc w:val="right"/>
            </w:pPr>
            <w:r>
              <w:rPr>
                <w:rFonts w:ascii="Consolas" w:cs="Consolas" w:eastAsia="Consolas" w:hAnsi="Consolas"/>
                <w:color w:val="1A1A14"/>
                <w:sz w:val="20"/>
                <w:szCs w:val="20"/>
              </w:rPr>
              <w:t xml:space="preserve">#64C8FF</w:t>
            </w:r>
          </w:p>
          <w:p>
            <w:pPr>
              <w:spacing w:after="0" w:before="0" w:line="276"/>
              <w:jc w:val="right"/>
            </w:pPr>
            <w:r>
              <w:rPr>
                <w:rFonts w:ascii="Consolas" w:cs="Consolas" w:eastAsia="Consolas" w:hAnsi="Consolas"/>
                <w:color w:val="8A8A78"/>
                <w:sz w:val="15"/>
                <w:szCs w:val="15"/>
              </w:rPr>
              <w:t xml:space="preserve">oklch(79% .11 233)</w:t>
            </w:r>
          </w:p>
        </w:tc>
      </w:tr>
    </w:tbl>
    <w:p>
      <w:pPr>
        <w:spacing w:after="10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single" w:color="F7CC4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Il giallo non è un colore di stato.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In molte interfacce il giallo significa “attenzione”: qui no, perché è il brand. Se serve un avviso si usa #EF4444 o #64C8FF — mai il giallo, o l’utente non capisce se è un allarme o un bottone.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10 · Contrasto e leggibilità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Misurato secondo WCAG. Testo normale richiede 4.5:1, testo grande 3:1.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Cos’è il rapporto di contrasto. 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Un numero che misura quanto una scritta si stacca dal fondo su cui sta. Si calcola confrontando la luminosità dei due colori e va da </w:t>
      </w: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1:1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 — colori identici, scritta invisibile — a </w:t>
      </w: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21:1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, il massimo possibile, cioè nero pieno su bianco pieno.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A cosa ti serve. 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A sapere </w:t>
      </w:r>
      <w:r>
        <w:rPr>
          <w:rFonts w:ascii="Calibri" w:cs="Calibri" w:eastAsia="Calibri" w:hAnsi="Calibri"/>
          <w:i/>
          <w:iCs/>
          <w:color w:val="55554A"/>
          <w:sz w:val="20"/>
          <w:szCs w:val="20"/>
        </w:rPr>
        <w:t xml:space="preserve">prima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 se una scritta si legge, invece di scoprirlo quando il menu è già in stampa o quando un cliente non trova il bottone. È anche il criterio con cui si giudica l’accessibilità di un sito: sotto 4.5:1 il testo normale è considerato non leggibile, e per un’app che gestisce pagamenti è un problema concreto, non teorico.</w:t>
      </w:r>
    </w:p>
    <w:p>
      <w:pPr>
        <w:spacing w:after="18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Come si legge la tabella. 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Ogni riga è una coppia testo/fondo che nell’identità CAMON capita davvero. </w:t>
      </w: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AAA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 e </w:t>
      </w: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AA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 sono i due livelli previsti dallo standard: AAA è ampiamente a norma, AA è il minimo accettabile. Le ultime due righe sono combinazioni da non usare mai.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1700"/>
        <w:gridCol w:w="2260"/>
      </w:tblGrid>
      <w:tr>
        <w:trPr>
          <w:tblHeader/>
        </w:trPr>
        <w:tc>
          <w:tcPr>
            <w:tcW w:type="dxa" w:w="2700"/>
            <w:shd w:fill="EF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5554A"/>
                <w:sz w:val="16"/>
                <w:szCs w:val="16"/>
              </w:rPr>
              <w:t xml:space="preserve">TESTO</w:t>
            </w:r>
          </w:p>
        </w:tc>
        <w:tc>
          <w:tcPr>
            <w:tcW w:type="dxa" w:w="2700"/>
            <w:shd w:fill="EF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5554A"/>
                <w:sz w:val="16"/>
                <w:szCs w:val="16"/>
              </w:rPr>
              <w:t xml:space="preserve">SU FONDO</w:t>
            </w:r>
          </w:p>
        </w:tc>
        <w:tc>
          <w:tcPr>
            <w:tcW w:type="dxa" w:w="1700"/>
            <w:shd w:fill="EF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5554A"/>
                <w:sz w:val="16"/>
                <w:szCs w:val="16"/>
              </w:rPr>
              <w:t xml:space="preserve">RAPPORTO</w:t>
            </w:r>
          </w:p>
        </w:tc>
        <w:tc>
          <w:tcPr>
            <w:tcW w:type="dxa" w:w="2260"/>
            <w:shd w:fill="EF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55554A"/>
                <w:sz w:val="16"/>
                <w:szCs w:val="16"/>
              </w:rPr>
              <w:t xml:space="preserve">ESITO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--text · bianco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--bg #111111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18.9:1</w:t>
            </w:r>
          </w:p>
        </w:tc>
        <w:tc>
          <w:tcPr>
            <w:tcW w:type="dxa" w:w="2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B7F3D"/>
                <w:sz w:val="18"/>
                <w:szCs w:val="18"/>
              </w:rPr>
              <w:t xml:space="preserve">AAA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--brand #F7CC49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--bg #111111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12.3:1</w:t>
            </w:r>
          </w:p>
        </w:tc>
        <w:tc>
          <w:tcPr>
            <w:tcW w:type="dxa" w:w="2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B7F3D"/>
                <w:sz w:val="18"/>
                <w:szCs w:val="18"/>
              </w:rPr>
              <w:t xml:space="preserve">AAA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--on-brand #111111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--brand #F7CC49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12.3:1</w:t>
            </w:r>
          </w:p>
        </w:tc>
        <w:tc>
          <w:tcPr>
            <w:tcW w:type="dxa" w:w="2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B7F3D"/>
                <w:sz w:val="18"/>
                <w:szCs w:val="18"/>
              </w:rPr>
              <w:t xml:space="preserve">AAA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--success #4CD964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--bg #111111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10.3:1</w:t>
            </w:r>
          </w:p>
        </w:tc>
        <w:tc>
          <w:tcPr>
            <w:tcW w:type="dxa" w:w="2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B7F3D"/>
                <w:sz w:val="18"/>
                <w:szCs w:val="18"/>
              </w:rPr>
              <w:t xml:space="preserve">AAA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--text-sub · bianco 60%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--bg #111111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7.2:1</w:t>
            </w:r>
          </w:p>
        </w:tc>
        <w:tc>
          <w:tcPr>
            <w:tcW w:type="dxa" w:w="2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B7F3D"/>
                <w:sz w:val="18"/>
                <w:szCs w:val="18"/>
              </w:rPr>
              <w:t xml:space="preserve">AAA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--error-soft #FF6B61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--bg #111111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6.7:1</w:t>
            </w:r>
          </w:p>
        </w:tc>
        <w:tc>
          <w:tcPr>
            <w:tcW w:type="dxa" w:w="2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B7F3D"/>
                <w:sz w:val="18"/>
                <w:szCs w:val="18"/>
              </w:rPr>
              <w:t xml:space="preserve">AAA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--error #EF4444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--bg #111111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5.0:1</w:t>
            </w:r>
          </w:p>
        </w:tc>
        <w:tc>
          <w:tcPr>
            <w:tcW w:type="dxa" w:w="2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B7F3D"/>
                <w:sz w:val="18"/>
                <w:szCs w:val="18"/>
              </w:rPr>
              <w:t xml:space="preserve">AA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--text-muted · bianco 35%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--bg #111111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3.2:1</w:t>
            </w:r>
          </w:p>
        </w:tc>
        <w:tc>
          <w:tcPr>
            <w:tcW w:type="dxa" w:w="2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B8890A"/>
                <w:sz w:val="18"/>
                <w:szCs w:val="18"/>
              </w:rPr>
              <w:t xml:space="preserve">Solo testo grande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--brand-press #D4900A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bianco #FFFFFF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2.7:1</w:t>
            </w:r>
          </w:p>
        </w:tc>
        <w:tc>
          <w:tcPr>
            <w:tcW w:type="dxa" w:w="2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C42A1E"/>
                <w:sz w:val="18"/>
                <w:szCs w:val="18"/>
              </w:rPr>
              <w:t xml:space="preserve">Non usare per testo</w:t>
            </w:r>
          </w:p>
        </w:tc>
      </w:tr>
      <w:tr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--brand #F7CC49</w:t>
            </w:r>
          </w:p>
        </w:tc>
        <w:tc>
          <w:tcPr>
            <w:tcW w:type="dxa" w:w="2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 w:val="false"/>
                <w:bCs w:val="false"/>
                <w:color w:val="55554A"/>
                <w:sz w:val="18"/>
                <w:szCs w:val="18"/>
              </w:rPr>
              <w:t xml:space="preserve">bianco #FFFFFF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18"/>
                <w:szCs w:val="18"/>
              </w:rPr>
              <w:t xml:space="preserve">1.5:1</w:t>
            </w:r>
          </w:p>
        </w:tc>
        <w:tc>
          <w:tcPr>
            <w:tcW w:type="dxa" w:w="2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C42A1E"/>
                <w:sz w:val="18"/>
                <w:szCs w:val="18"/>
              </w:rPr>
              <w:t xml:space="preserve">Vietato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single" w:color="F7CC4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Le due righe rosse sono la stessa lezione.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Il giallo del brand vive sul nero. Su fondo chiaro non si legge mai: lì il testo va in nero e il giallo resta un accento — un riempimento con testo scuro sopra, un bordo, una sottolineatura.</w:t>
            </w:r>
          </w:p>
        </w:tc>
      </w:tr>
    </w:tbl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11 · Cosa fare, cosa evitare</w:t>
      </w:r>
    </w:p>
    <w:tbl>
      <w:tblPr>
        <w:tblW w:type="dxa" w:w="9360"/>
        <w:tblBorders>
          <w:top w:val="single" w:color="D8D8CC" w:sz="4"/>
          <w:left w:val="single" w:color="D8D8CC" w:sz="4"/>
          <w:bottom w:val="single" w:color="D8D8CC" w:sz="4"/>
          <w:right w:val="single" w:color="D8D8CC" w:sz="4"/>
          <w:insideH w:val="none" w:color="FFFFFF" w:sz="0"/>
          <w:insideV w:val="single" w:color="D8D8CC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 w:before="0" w:line="276"/>
            </w:pPr>
            <w:r>
              <w:rPr>
                <w:rFonts w:ascii="Calibri" w:cs="Calibri" w:eastAsia="Calibri" w:hAnsi="Calibri"/>
                <w:b/>
                <w:bCs/>
                <w:color w:val="1B7F3D"/>
                <w:sz w:val="18"/>
                <w:szCs w:val="18"/>
              </w:rPr>
              <w:t xml:space="preserve">✓  SI FA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Una sola cosa gialla per schermata: l’azione più importante.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Fondo nero, testo bianco, giallo come accento.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Il marchio su un fondo pieno tra i tre previsti.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Spazio libero attorno al logo pari all’altezza della pallina.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Sotto i 24 px, solo l’icona.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Rosso e verde solo per stati, mai per decorare.</w:t>
            </w:r>
          </w:p>
        </w:tc>
        <w:tc>
          <w:tcPr>
            <w:tcW w:type="dxa" w:w="4680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140" w:before="0" w:line="276"/>
            </w:pPr>
            <w:r>
              <w:rPr>
                <w:rFonts w:ascii="Calibri" w:cs="Calibri" w:eastAsia="Calibri" w:hAnsi="Calibri"/>
                <w:b/>
                <w:bCs/>
                <w:color w:val="C42A1E"/>
                <w:sz w:val="18"/>
                <w:szCs w:val="18"/>
              </w:rPr>
              <w:t xml:space="preserve">✕  NON SI FA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Giallo su bianco, o giallo su giallo.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Invertire i ruoli: CAM trattato e ON pieno.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Allargare o spaziare le lettere: il bicchiere si sfonda.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Il marchio sopra una foto senza un pieno dietro.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Gradienti, ombre o contorni sul logo.</w:t>
            </w:r>
          </w:p>
          <w:p>
            <w:pPr>
              <w:spacing w:after="90" w:before="0" w:line="276"/>
            </w:pPr>
            <w:r>
              <w:rPr>
                <w:rFonts w:ascii="Calibri" w:cs="Calibri" w:eastAsia="Calibri" w:hAnsi="Calibri"/>
                <w:color w:val="55554A"/>
                <w:sz w:val="17"/>
                <w:szCs w:val="17"/>
              </w:rPr>
              <w:t xml:space="preserve">•  Inventare un giallo nuovo perché “quello non si vedeva”.</w:t>
            </w:r>
          </w:p>
        </w:tc>
      </w:tr>
    </w:tbl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12 · Token CSS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Da incollare in camon.html. Da qui in poi si scrive var(--brand), mai un esadecimale a mano.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Cos’è un token. 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È un nome dato a un colore. Invece di scrivere ogni volta #F7CC49, si scrive var(--brand): il valore vero è definito una sola volta, in cima al file.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Il primo motivo: cambiare colore una volta sola. 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Oggi in camon.html il giallo è scritto a mano in centinaia di punti. Il giorno in cui va ritoccato — anche solo di mezzo tono, per la stampa o per un fondo nuovo — vanno trovati e corretti tutti, uno per uno, e qualcuno sfugge sempre: resta una schermata col giallo vecchio e nessuno se ne accorge per mesi. Con i token si cambia la riga in cima e cambia tutta l’app in un colpo.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Il secondo: il nome dice il ruolo. 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var(--text-muted) si capisce al volo — è il testo di terzo livello. #3A3A3A non dice niente: è solo un numero. Chi rimette mano al codice tra sei mesi — tu compreso — capisce l’intenzione, non solo il valore.</w:t>
      </w:r>
    </w:p>
    <w:p>
      <w:pPr>
        <w:spacing w:after="20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Il terzo: il brand resta uno. 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Finché i colori si scrivono a mano, prima o poi qualcuno inventa un giallo leggermente diverso perché “quello non si vedeva bene”. Con i token quella scorciatoia non esiste: o usi un colore che c’è, o ne aggiungi uno consapevolmente qui.</w:t>
      </w:r>
    </w:p>
    <w:tbl>
      <w:tblPr>
        <w:tblW w:type="dxa" w:w="9360"/>
        <w:tblBorders>
          <w:top w:val="single" w:color="D8D8CC" w:sz="4"/>
          <w:left w:val="single" w:color="D8D8CC" w:sz="4"/>
          <w:bottom w:val="single" w:color="D8D8CC" w:sz="4"/>
          <w:right w:val="single" w:color="D8D8CC" w:sz="4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7F7F2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8A78"/>
                <w:sz w:val="17"/>
                <w:szCs w:val="17"/>
              </w:rPr>
              <w:t xml:space="preserve">/* ---- CAMON · design tokens ----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:root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8A78"/>
                <w:sz w:val="17"/>
                <w:szCs w:val="17"/>
              </w:rPr>
              <w:t xml:space="preserve">  /* Marchio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--brand:        #F7CC49;   /* il giallo del logo: azioni, prezzi, ON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--brand-press:  #D4900A;   /* stato premuto dei bottoni gialli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--brand-dim:    #3A2E00;   /* fondo di badge e pill gialle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--brand-black:  #222221;   /* il nero del logo, per la stampa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8A78"/>
                <w:sz w:val="17"/>
                <w:szCs w:val="17"/>
              </w:rPr>
              <w:t xml:space="preserve">  /* Fondi — dal più lontano al più vicino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--bg-deep:      #0A0A0A;   /* velatura statusbar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--bg:           #111111;   /* fondo pagina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--surface:      #1C1C1C;   /* card, drawer, bottom sheet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--surface-2:    #252525;   /* input, elementi in primo piano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--border:       #3A3A3A;   /* bordi, separatori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8A78"/>
                <w:sz w:val="17"/>
                <w:szCs w:val="17"/>
              </w:rPr>
              <w:t xml:space="preserve">  /* Testo — dal più al meno importante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--text:         #FFFFFF;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--text-sub:     rgba(255,255,255,0.60);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--text-muted:   rgba(255,255,255,0.35);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--on-brand:     #111111;   /* testo sopra il giallo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8A8A78"/>
                <w:sz w:val="17"/>
                <w:szCs w:val="17"/>
              </w:rPr>
              <w:t xml:space="preserve">  /* Stati: segnali, non brand. Restano convenzionali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--success:      #4CD964;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--success-dim:  #1A3D1A;   /* fondo verde spento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--error:        #EF4444;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--error-soft:   #FF6B61;   /* rosso per testo su fondo scuro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--live:         #FF4040;   /* badge LIVE delle dirette */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  --info:         #64C8FF;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A1A1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 w:line="276"/>
      </w:pPr>
      <w:r>
        <w:rPr>
          <w:rFonts w:ascii="Calibri" w:cs="Calibri" w:eastAsia="Calibri" w:hAnsi="Calibri"/>
          <w:color w:val="55554A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single" w:color="F7CC49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5F5EF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Com’è andata l’adozione. 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Prima di questi token l’app aveva </w:t>
            </w: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142 colori distinti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 — e </w:t>
            </w:r>
            <w:r>
              <w:rPr>
                <w:rFonts w:ascii="Calibri" w:cs="Calibri" w:eastAsia="Calibri" w:hAnsi="Calibri"/>
                <w:b/>
                <w:bCs/>
                <w:color w:val="1A1A14"/>
                <w:sz w:val="20"/>
                <w:szCs w:val="20"/>
              </w:rPr>
              <w:t xml:space="preserve">sei gialli diversi</w:t>
            </w: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. Il peggiore, #F5D06B, teneva Kings, Beer Pong, Flip Cup, ShotIQ, le card evento e gli inviti su un giallo che non era quello del marchio: 306 elementi a schermo.</w:t>
            </w:r>
          </w:p>
          <w:p>
            <w:pPr>
              <w:spacing w:after="80" w:before="0" w:line="276"/>
            </w:pPr>
            <w:r>
              <w:rPr>
                <w:rFonts w:ascii="Calibri" w:cs="Calibri" w:eastAsia="Calibri" w:hAnsi="Calibri"/>
                <w:color w:val="55554A"/>
                <w:sz w:val="20"/>
                <w:szCs w:val="20"/>
              </w:rPr>
              <w:t xml:space="preserve">Ora sono 127, e il giallo è uno solo. Il controllo è stato fatto confrontando l’istogramma dei colori calcolati dal browser prima e dopo: l’unico scostamento è quello voluto.</w:t>
            </w:r>
          </w:p>
        </w:tc>
      </w:tr>
    </w:tbl>
    <w:p>
      <w:pPr>
        <w:pStyle w:val="Heading1"/>
        <w:pBdr>
          <w:bottom w:val="single" w:color="1A1A14" w:sz="12" w:space="6"/>
        </w:pBdr>
        <w:spacing w:after="60" w:before="420"/>
      </w:pPr>
      <w:r>
        <w:rPr>
          <w:rFonts w:ascii="Calibri" w:cs="Calibri" w:eastAsia="Calibri" w:hAnsi="Calibri"/>
          <w:b/>
          <w:bCs/>
          <w:color w:val="1A1A14"/>
          <w:sz w:val="30"/>
          <w:szCs w:val="30"/>
        </w:rPr>
        <w:t xml:space="preserve">13 · Cosa resta fuori</w:t>
      </w:r>
    </w:p>
    <w:p>
      <w:pPr>
        <w:spacing w:after="200" w:before="0" w:line="276"/>
      </w:pPr>
      <w:r>
        <w:rPr>
          <w:rFonts w:ascii="Calibri" w:cs="Calibri" w:eastAsia="Calibri" w:hAnsi="Calibri"/>
          <w:i/>
          <w:iCs/>
          <w:color w:val="8A8A78"/>
          <w:sz w:val="19"/>
          <w:szCs w:val="19"/>
        </w:rPr>
        <w:t xml:space="preserve">Onestà sul perimetro: cosa i token non coprono, e perché.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Gli attributi SVG. 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Nella mappa dei tavoli i colori stanno dentro fill="…" e stroke="…", che per specifica non accettano var(). Restano in esadecimale — ma sono stati portati sui valori giusti, quindi il colore è corretto anche se il nome non c’è. Se un giorno quei valori cambiano, vanno cambiati lì a mano: è l’unico punto del file dove serve.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Gli accenti dei singoli giochi. 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Il rosa di ShotIQ, l’arancio, il crema: sono scelte deliberate per distinguere un gioco dall’altro, non deriva. Non sono stati toccati. Se un giorno diventano un sistema, avranno i loro token.</w:t>
      </w:r>
    </w:p>
    <w:p>
      <w:pPr>
        <w:spacing w:after="200" w:before="0" w:line="276"/>
      </w:pPr>
      <w:r>
        <w:rPr>
          <w:rFonts w:ascii="Calibri" w:cs="Calibri" w:eastAsia="Calibri" w:hAnsi="Calibri"/>
          <w:b/>
          <w:bCs/>
          <w:color w:val="1A1A14"/>
          <w:sz w:val="20"/>
          <w:szCs w:val="20"/>
        </w:rPr>
        <w:t xml:space="preserve">Una manciata di grigi. </w:t>
      </w:r>
      <w:r>
        <w:rPr>
          <w:rFonts w:ascii="Calibri" w:cs="Calibri" w:eastAsia="Calibri" w:hAnsi="Calibri"/>
          <w:color w:val="55554A"/>
          <w:sz w:val="20"/>
          <w:szCs w:val="20"/>
        </w:rPr>
        <w:t xml:space="preserve">Restano #333333, #444444, #555555, #777777 e pochi altri, dai 2 ai 17 usi ciascuno. Unificarli avrebbe cambiato l’aspetto di quei punti senza un guadagno vero. Sono candidati per una seconda passata, non un’urgenza.</w:t>
      </w:r>
    </w:p>
    <w:p>
      <w:pPr>
        <w:pBdr>
          <w:top w:val="single" w:color="D8D8CC" w:sz="4" w:space="8"/>
        </w:pBdr>
        <w:spacing w:before="240"/>
      </w:pPr>
      <w:r>
        <w:rPr>
          <w:rFonts w:ascii="Calibri" w:cs="Calibri" w:eastAsia="Calibri" w:hAnsi="Calibri"/>
          <w:color w:val="8A8A78"/>
          <w:sz w:val="16"/>
          <w:szCs w:val="16"/>
        </w:rPr>
        <w:t xml:space="preserve">CAMON · Brand Book — marchi da “Loghi definitivi.svg” · colori allineati a camon.html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33d9748fda8d97c878cd4e01a5937ccdd3c31b.png"/><Relationship Id="rId8" Type="http://schemas.openxmlformats.org/officeDocument/2006/relationships/image" Target="media/7834c68356825f3e26600cef36c5ffc07725bd27.png"/><Relationship Id="rId9" Type="http://schemas.openxmlformats.org/officeDocument/2006/relationships/image" Target="media/35eceead0e72b4f44926e8127b64b0d954ede5cd.png"/><Relationship Id="rId10" Type="http://schemas.openxmlformats.org/officeDocument/2006/relationships/image" Target="media/a1288792b311408c7a7274f3c5d0b4ff1f28d9b3.png"/><Relationship Id="rId11" Type="http://schemas.openxmlformats.org/officeDocument/2006/relationships/image" Target="media/3f521c8b44aa218c9b560d5dee1bede98dd9ff10.png"/><Relationship Id="rId12" Type="http://schemas.openxmlformats.org/officeDocument/2006/relationships/image" Target="media/8db1a81baa39630ace90d612b5252e5ca4c1efbb.png"/><Relationship Id="rId13" Type="http://schemas.openxmlformats.org/officeDocument/2006/relationships/image" Target="media/703ecf7c7810c5ccbc198f4a3268c56104ebc8f7.png"/><Relationship Id="rId14" Type="http://schemas.openxmlformats.org/officeDocument/2006/relationships/image" Target="media/77e25b6ae8c45259458e85e44cfb533415c81980.png"/><Relationship Id="rId15" Type="http://schemas.openxmlformats.org/officeDocument/2006/relationships/image" Target="media/f03f0ad14abfde9c49202db2af373d809c8aed1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CAMON — Brand Book</dc:title>
  <dc:creator>CAMON</dc:creator>
  <dc:description>Manuale d’uso dell’identità visiva CAMON</dc:description>
  <cp:lastModifiedBy>Un-named</cp:lastModifiedBy>
  <cp:revision>1</cp:revision>
  <dcterms:created xsi:type="dcterms:W3CDTF">2026-08-29T15:18:53.986Z</dcterms:created>
  <dcterms:modified xsi:type="dcterms:W3CDTF">2026-08-29T15:18:53.988Z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