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4"/>
        </w:rPr>
        <w:t>Wymiana robota Kawasaki z kontrolerem serii D na ten sam model z kontrolerem serii E lub F</w:t>
      </w:r>
    </w:p>
    <w:p>
      <w:r>
        <w:rPr>
          <w:sz w:val="22"/>
        </w:rPr>
        <w:t>Co da się przenieść ze starego kontrolera, co trzeba wykonać od nowa i na co uważać</w:t>
      </w:r>
    </w:p>
    <w:p>
      <w:pPr>
        <w:spacing w:after="0"/>
      </w:pPr>
      <w:r>
        <w:rPr>
          <w:b/>
        </w:rPr>
        <w:t xml:space="preserve">Data: </w:t>
      </w:r>
      <w:r>
        <w:t>13.10.2026</w:t>
      </w:r>
    </w:p>
    <w:p>
      <w:pPr>
        <w:spacing w:after="0"/>
      </w:pPr>
      <w:r>
        <w:rPr>
          <w:b/>
        </w:rPr>
        <w:t xml:space="preserve">Przygotował: </w:t>
      </w:r>
      <w:r>
        <w:t>[imię i nazwisko]</w:t>
      </w:r>
    </w:p>
    <w:p>
      <w:pPr>
        <w:spacing w:after="0"/>
      </w:pPr>
      <w:r>
        <w:rPr>
          <w:b/>
        </w:rPr>
        <w:t xml:space="preserve">Status: </w:t>
      </w:r>
      <w:r>
        <w:t>Analiza na podstawie dokumentacji Kawasaki i źródeł praktyków; do potwierdzenia w serwisie Kawasaki przed zakupem</w:t>
      </w:r>
    </w:p>
    <w:p/>
    <w:p>
      <w:pPr>
        <w:spacing w:before="200"/>
      </w:pPr>
      <w:r>
        <w:rPr>
          <w:b/>
          <w:color w:val="1F4E79"/>
          <w:sz w:val="26"/>
        </w:rPr>
        <w:t>1. Podsumowanie</w:t>
      </w:r>
    </w:p>
    <w:p>
      <w:pPr>
        <w:pStyle w:val="ListBullet"/>
      </w:pPr>
      <w:r>
        <w:t>Przy wymianie robota razem z kontrolerem na ten sam model ramienia da się przenieść prawie całą aplikację: programy AS i programy blokowe, wszystkie zmienne (punkty, liczby, teksty), dane pomocnicze oraz większość danych systemowych.</w:t>
      </w:r>
    </w:p>
    <w:p>
      <w:pPr>
        <w:pStyle w:val="ListBullet"/>
      </w:pPr>
      <w:r>
        <w:t>Nie wolno wczytywać pełnego backupu z kontrolera D. Zawiera on dane robota (model, numer seryjny, zerowanie, parametry serwo), które nadpisałyby fabryczną konfigurację nowego ramienia. Dane przenosi się selektywnie, poleceniami SAVE/P, /L, /R, /S, /A i /SYS, które istnieją zarówno w D, jak i w E/F.</w:t>
      </w:r>
    </w:p>
    <w:p>
      <w:pPr>
        <w:pStyle w:val="ListBullet"/>
      </w:pPr>
      <w:r>
        <w:t>Od nowa trzeba wykonać część sprzętową: okablowanie wejść/wyjść i obwodów bezpieczeństwa, konfigurację fieldbusa (również po stronie PLC) oraz zamówienie opcji płatnych na nowym kontrolerze.</w:t>
      </w:r>
    </w:p>
    <w:p>
      <w:pPr>
        <w:pStyle w:val="ListBullet"/>
      </w:pPr>
      <w:r>
        <w:t>Programy pojadą prawie poprawnie, ale nowy egzemplarz ramienia ma własne zerowanie i nigdy nie stanie idealnie w miejscu starego. Krytyczne punkty trzeba sprawdzić i douczyć.</w:t>
      </w:r>
    </w:p>
    <w:p>
      <w:pPr>
        <w:pStyle w:val="ListBullet"/>
      </w:pPr>
      <w:r>
        <w:t>Ten sam model ramienia rzeczywiście występuje w kilku generacjach: MX350L/MX420L/MX500N/MX700N (D, E, F04), ZX130L/ZX165U/ZX200S/ZX300S i MT400N (D, E, F02). Dla innych rodzin (np. seria FS) następcą jest inny model (seria RS).</w:t>
      </w:r>
    </w:p>
    <w:p>
      <w:pPr>
        <w:pStyle w:val="ListBullet"/>
      </w:pPr>
      <w:r>
        <w:t>Warianty robotów z kontrolerem D zakończyły produkcję głównie w latach 2010-2014. Kawasaki gwarantuje części przez maksymalnie 10 lat od zakończenia produkcji, więc dla większości robotów z D to okno już minęło. Większość wariantów z kontrolerem E wycofano w latach 2019-2024, więc nowy zakup to w praktyce kontroler F.</w:t>
      </w:r>
    </w:p>
    <w:p>
      <w:pPr>
        <w:spacing w:before="200"/>
      </w:pPr>
      <w:r>
        <w:rPr>
          <w:b/>
          <w:color w:val="1F4E79"/>
          <w:sz w:val="26"/>
        </w:rPr>
        <w:t>2. Założenia analizowanego scenariusza</w:t>
      </w:r>
    </w:p>
    <w:p>
      <w:pPr>
        <w:pStyle w:val="ListBullet"/>
      </w:pPr>
      <w:r>
        <w:t>Obecnie: robot Kawasaki z kontrolerem serii D (np. D2x/D3x/D4x/D7x).</w:t>
      </w:r>
    </w:p>
    <w:p>
      <w:pPr>
        <w:pStyle w:val="ListBullet"/>
      </w:pPr>
      <w:r>
        <w:t>Docelowo: ten sam model ramienia z nowym kontrolerem serii E lub F, dostarczony jako para z fabryki.</w:t>
      </w:r>
    </w:p>
    <w:p>
      <w:pPr>
        <w:pStyle w:val="ListBullet"/>
      </w:pPr>
      <w:r>
        <w:t>Stanowisko się nie zmienia: robot stoi w tym samym miejscu, ma ten sam chwytak, te same urządzenia peryferyjne i ten sam program.</w:t>
      </w:r>
    </w:p>
    <w:p>
      <w:pPr>
        <w:spacing w:before="200"/>
      </w:pPr>
      <w:r>
        <w:rPr>
          <w:b/>
          <w:color w:val="1F4E79"/>
          <w:sz w:val="26"/>
        </w:rPr>
        <w:t>3. Czy „ten sam model ramienia” jest dostępny z kontrolerem E lub F</w:t>
      </w:r>
    </w:p>
    <w:p>
      <w:r>
        <w:t>Kawasaki sprzedaje ramię i kontroler jako parę. Kod modelu zawiera oznaczenie kontrolera, np. MX420L_D24 (z kontrolerem D) i MX420L_E24 (z kontrolerem E). Z oficjalnej listy wycofanych modeli i stron kontrolerów wynika: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41"/>
            <w:shd w:val="clear" w:color="auto" w:fill="DCE6F1"/>
          </w:tcPr>
          <w:p>
            <w:r/>
            <w:r>
              <w:rPr>
                <w:b/>
                <w:sz w:val="18"/>
              </w:rPr>
              <w:t>Rodzina ramion</w:t>
            </w:r>
          </w:p>
        </w:tc>
        <w:tc>
          <w:tcPr>
            <w:tcW w:type="dxa" w:w="1652"/>
            <w:shd w:val="clear" w:color="auto" w:fill="DCE6F1"/>
          </w:tcPr>
          <w:p>
            <w:r/>
            <w:r>
              <w:rPr>
                <w:b/>
                <w:sz w:val="18"/>
              </w:rPr>
              <w:t>Z kontrolerem D</w:t>
            </w:r>
          </w:p>
        </w:tc>
        <w:tc>
          <w:tcPr>
            <w:tcW w:type="dxa" w:w="1652"/>
            <w:shd w:val="clear" w:color="auto" w:fill="DCE6F1"/>
          </w:tcPr>
          <w:p>
            <w:r/>
            <w:r>
              <w:rPr>
                <w:b/>
                <w:sz w:val="18"/>
              </w:rPr>
              <w:t>Z kontrolerem E</w:t>
            </w:r>
          </w:p>
        </w:tc>
        <w:tc>
          <w:tcPr>
            <w:tcW w:type="dxa" w:w="3993"/>
            <w:shd w:val="clear" w:color="auto" w:fill="DCE6F1"/>
          </w:tcPr>
          <w:p>
            <w:r/>
            <w:r>
              <w:rPr>
                <w:b/>
                <w:sz w:val="18"/>
              </w:rPr>
              <w:t>Z kontrolerem F (obecnie)</w:t>
            </w:r>
          </w:p>
        </w:tc>
      </w:tr>
      <w:tr>
        <w:tc>
          <w:tcPr>
            <w:tcW w:type="dxa" w:w="2341"/>
          </w:tcPr>
          <w:p>
            <w:r/>
            <w:r>
              <w:rPr>
                <w:sz w:val="18"/>
              </w:rPr>
              <w:t>MX350L, MX420L, MX500N, MX700N</w:t>
            </w:r>
          </w:p>
        </w:tc>
        <w:tc>
          <w:tcPr>
            <w:tcW w:type="dxa" w:w="1652"/>
          </w:tcPr>
          <w:p>
            <w:r/>
            <w:r>
              <w:rPr>
                <w:sz w:val="18"/>
              </w:rPr>
              <w:t>tak</w:t>
            </w:r>
          </w:p>
        </w:tc>
        <w:tc>
          <w:tcPr>
            <w:tcW w:type="dxa" w:w="1652"/>
          </w:tcPr>
          <w:p>
            <w:r/>
            <w:r>
              <w:rPr>
                <w:sz w:val="18"/>
              </w:rPr>
              <w:t>tak</w:t>
            </w:r>
          </w:p>
        </w:tc>
        <w:tc>
          <w:tcPr>
            <w:tcW w:type="dxa" w:w="3993"/>
          </w:tcPr>
          <w:p>
            <w:r/>
            <w:r>
              <w:rPr>
                <w:sz w:val="18"/>
              </w:rPr>
              <w:t>tak, F04</w:t>
            </w:r>
          </w:p>
        </w:tc>
      </w:tr>
      <w:tr>
        <w:tc>
          <w:tcPr>
            <w:tcW w:type="dxa" w:w="2341"/>
          </w:tcPr>
          <w:p>
            <w:r/>
            <w:r>
              <w:rPr>
                <w:sz w:val="18"/>
              </w:rPr>
              <w:t>ZX130L, ZX165U, ZX200S, ZX300S</w:t>
            </w:r>
          </w:p>
        </w:tc>
        <w:tc>
          <w:tcPr>
            <w:tcW w:type="dxa" w:w="1652"/>
          </w:tcPr>
          <w:p>
            <w:r/>
            <w:r>
              <w:rPr>
                <w:sz w:val="18"/>
              </w:rPr>
              <w:t>tak</w:t>
            </w:r>
          </w:p>
        </w:tc>
        <w:tc>
          <w:tcPr>
            <w:tcW w:type="dxa" w:w="1652"/>
          </w:tcPr>
          <w:p>
            <w:r/>
            <w:r>
              <w:rPr>
                <w:sz w:val="18"/>
              </w:rPr>
              <w:t>tak (E02)</w:t>
            </w:r>
          </w:p>
        </w:tc>
        <w:tc>
          <w:tcPr>
            <w:tcW w:type="dxa" w:w="3993"/>
          </w:tcPr>
          <w:p>
            <w:r/>
            <w:r>
              <w:rPr>
                <w:sz w:val="18"/>
              </w:rPr>
              <w:t>tak, F02</w:t>
            </w:r>
          </w:p>
        </w:tc>
      </w:tr>
      <w:tr>
        <w:tc>
          <w:tcPr>
            <w:tcW w:type="dxa" w:w="2341"/>
          </w:tcPr>
          <w:p>
            <w:r/>
            <w:r>
              <w:rPr>
                <w:sz w:val="18"/>
              </w:rPr>
              <w:t>ZX130S</w:t>
            </w:r>
          </w:p>
        </w:tc>
        <w:tc>
          <w:tcPr>
            <w:tcW w:type="dxa" w:w="1652"/>
          </w:tcPr>
          <w:p>
            <w:r/>
            <w:r>
              <w:rPr>
                <w:sz w:val="18"/>
              </w:rPr>
              <w:t>tak</w:t>
            </w:r>
          </w:p>
        </w:tc>
        <w:tc>
          <w:tcPr>
            <w:tcW w:type="dxa" w:w="1652"/>
          </w:tcPr>
          <w:p>
            <w:r/>
            <w:r>
              <w:rPr>
                <w:sz w:val="18"/>
              </w:rPr>
              <w:t>tak</w:t>
            </w:r>
          </w:p>
        </w:tc>
        <w:tc>
          <w:tcPr>
            <w:tcW w:type="dxa" w:w="3993"/>
          </w:tcPr>
          <w:p>
            <w:r/>
            <w:r>
              <w:rPr>
                <w:sz w:val="18"/>
              </w:rPr>
              <w:t>tylko na brytyjskiej wersji strony F02 - do potwierdzenia</w:t>
            </w:r>
          </w:p>
        </w:tc>
      </w:tr>
      <w:tr>
        <w:tc>
          <w:tcPr>
            <w:tcW w:type="dxa" w:w="2341"/>
          </w:tcPr>
          <w:p>
            <w:r/>
            <w:r>
              <w:rPr>
                <w:sz w:val="18"/>
              </w:rPr>
              <w:t>MT400N</w:t>
            </w:r>
          </w:p>
        </w:tc>
        <w:tc>
          <w:tcPr>
            <w:tcW w:type="dxa" w:w="1652"/>
          </w:tcPr>
          <w:p>
            <w:r/>
            <w:r>
              <w:rPr>
                <w:sz w:val="18"/>
              </w:rPr>
              <w:t>tak</w:t>
            </w:r>
          </w:p>
        </w:tc>
        <w:tc>
          <w:tcPr>
            <w:tcW w:type="dxa" w:w="1652"/>
          </w:tcPr>
          <w:p>
            <w:r/>
            <w:r>
              <w:rPr>
                <w:sz w:val="18"/>
              </w:rPr>
              <w:t>tak</w:t>
            </w:r>
          </w:p>
        </w:tc>
        <w:tc>
          <w:tcPr>
            <w:tcW w:type="dxa" w:w="3993"/>
          </w:tcPr>
          <w:p>
            <w:r/>
            <w:r>
              <w:rPr>
                <w:sz w:val="18"/>
              </w:rPr>
              <w:t>tak, F02</w:t>
            </w:r>
          </w:p>
        </w:tc>
      </w:tr>
      <w:tr>
        <w:tc>
          <w:tcPr>
            <w:tcW w:type="dxa" w:w="2341"/>
          </w:tcPr>
          <w:p>
            <w:r/>
            <w:r>
              <w:rPr>
                <w:sz w:val="18"/>
              </w:rPr>
              <w:t>FS (np. FS010N, FS020N)</w:t>
            </w:r>
          </w:p>
        </w:tc>
        <w:tc>
          <w:tcPr>
            <w:tcW w:type="dxa" w:w="1652"/>
          </w:tcPr>
          <w:p>
            <w:r/>
            <w:r>
              <w:rPr>
                <w:sz w:val="18"/>
              </w:rPr>
              <w:t>tak</w:t>
            </w:r>
          </w:p>
        </w:tc>
        <w:tc>
          <w:tcPr>
            <w:tcW w:type="dxa" w:w="1652"/>
          </w:tcPr>
          <w:p>
            <w:r/>
            <w:r>
              <w:rPr>
                <w:sz w:val="18"/>
              </w:rPr>
              <w:t>nie</w:t>
            </w:r>
          </w:p>
        </w:tc>
        <w:tc>
          <w:tcPr>
            <w:tcW w:type="dxa" w:w="3993"/>
          </w:tcPr>
          <w:p>
            <w:r/>
            <w:r>
              <w:rPr>
                <w:sz w:val="18"/>
              </w:rPr>
              <w:t>nie; następca to seria RS (np. RS010N, RS020N)</w:t>
            </w:r>
          </w:p>
        </w:tc>
      </w:tr>
    </w:tbl>
    <w:p/>
    <w:p>
      <w:r>
        <w:rPr>
          <w:i/>
          <w:sz w:val="18"/>
        </w:rPr>
        <w:t>Źródła: lista wycofanych modeli Kawasaki (08.2023), strony produktów F02, F04 i E02 (stan 13.10.2026), specyfikacja F0x. Regionalne wersje strony F02 różnią się listą ramion, dlatego dokładny kod modelu trzeba potwierdzić u dystrybutora. Gdy „ten sam model” jest następcą, przed zamówieniem trzeba porównać karty katalogowe: zakresy osi, zasięg, wymiary podstawy i kołnierza.</w:t>
      </w:r>
    </w:p>
    <w:p>
      <w:pPr>
        <w:spacing w:before="200"/>
      </w:pPr>
      <w:r>
        <w:rPr>
          <w:b/>
          <w:color w:val="1F4E79"/>
          <w:sz w:val="26"/>
        </w:rPr>
        <w:t>4. Dostępność części dla kontrolerów D i 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07"/>
            <w:shd w:val="clear" w:color="auto" w:fill="DCE6F1"/>
          </w:tcPr>
          <w:p>
            <w:r/>
            <w:r>
              <w:rPr>
                <w:b/>
                <w:sz w:val="18"/>
              </w:rPr>
              <w:t>Generacja</w:t>
            </w:r>
          </w:p>
        </w:tc>
        <w:tc>
          <w:tcPr>
            <w:tcW w:type="dxa" w:w="3614"/>
            <w:shd w:val="clear" w:color="auto" w:fill="DCE6F1"/>
          </w:tcPr>
          <w:p>
            <w:r/>
            <w:r>
              <w:rPr>
                <w:b/>
                <w:sz w:val="18"/>
              </w:rPr>
              <w:t>Zakończenie produkcji wariantów robot+kontroler</w:t>
            </w:r>
          </w:p>
        </w:tc>
        <w:tc>
          <w:tcPr>
            <w:tcW w:type="dxa" w:w="4217"/>
            <w:shd w:val="clear" w:color="auto" w:fill="DCE6F1"/>
          </w:tcPr>
          <w:p>
            <w:r/>
            <w:r>
              <w:rPr>
                <w:b/>
                <w:sz w:val="18"/>
              </w:rPr>
              <w:t>Gwarancja części (zasada Kawasaki: do 10 lat)</w:t>
            </w:r>
          </w:p>
        </w:tc>
      </w:tr>
      <w:tr>
        <w:tc>
          <w:tcPr>
            <w:tcW w:type="dxa" w:w="1807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3614"/>
          </w:tcPr>
          <w:p>
            <w:r/>
            <w:r>
              <w:rPr>
                <w:sz w:val="18"/>
              </w:rPr>
              <w:t>głównie 03.2010-01.2014 (pojedyncze modele 2015-2022)</w:t>
            </w:r>
          </w:p>
        </w:tc>
        <w:tc>
          <w:tcPr>
            <w:tcW w:type="dxa" w:w="4217"/>
          </w:tcPr>
          <w:p>
            <w:r/>
            <w:r>
              <w:rPr>
                <w:sz w:val="18"/>
              </w:rPr>
              <w:t>dla większości modeli minęła w latach 2020-2024</w:t>
            </w:r>
          </w:p>
        </w:tc>
      </w:tr>
      <w:tr>
        <w:tc>
          <w:tcPr>
            <w:tcW w:type="dxa" w:w="1807"/>
          </w:tcPr>
          <w:p>
            <w:r/>
            <w:r>
              <w:rPr>
                <w:sz w:val="18"/>
              </w:rPr>
              <w:t>E (E1x-E4x i inne)</w:t>
            </w:r>
          </w:p>
        </w:tc>
        <w:tc>
          <w:tcPr>
            <w:tcW w:type="dxa" w:w="3614"/>
          </w:tcPr>
          <w:p>
            <w:r/>
            <w:r>
              <w:rPr>
                <w:sz w:val="18"/>
              </w:rPr>
              <w:t>głównie 2019-02.2024</w:t>
            </w:r>
          </w:p>
        </w:tc>
        <w:tc>
          <w:tcPr>
            <w:tcW w:type="dxa" w:w="4217"/>
          </w:tcPr>
          <w:p>
            <w:r/>
            <w:r>
              <w:rPr>
                <w:sz w:val="18"/>
              </w:rPr>
              <w:t>orientacyjnie do 2029-2034</w:t>
            </w:r>
          </w:p>
        </w:tc>
      </w:tr>
      <w:tr>
        <w:tc>
          <w:tcPr>
            <w:tcW w:type="dxa" w:w="1807"/>
          </w:tcPr>
          <w:p>
            <w:r/>
            <w:r>
              <w:rPr>
                <w:sz w:val="18"/>
              </w:rPr>
              <w:t>F</w:t>
            </w:r>
          </w:p>
        </w:tc>
        <w:tc>
          <w:tcPr>
            <w:tcW w:type="dxa" w:w="3614"/>
          </w:tcPr>
          <w:p>
            <w:r/>
            <w:r>
              <w:rPr>
                <w:sz w:val="18"/>
              </w:rPr>
              <w:t>aktualna generacja</w:t>
            </w:r>
          </w:p>
        </w:tc>
        <w:tc>
          <w:tcPr>
            <w:tcW w:type="dxa" w:w="4217"/>
          </w:tcPr>
          <w:p>
            <w:r/>
            <w:r>
              <w:rPr>
                <w:sz w:val="18"/>
              </w:rPr>
              <w:t>aktualnie produkowana</w:t>
            </w:r>
          </w:p>
        </w:tc>
      </w:tr>
    </w:tbl>
    <w:p/>
    <w:p>
      <w:r>
        <w:t>Kawasaki deklaruje, że będzie starać się dostarczać części także po tym okresie, ale nie gwarantuje dostępności, a terminy dostaw mogą się wydłużać. Kawasaki Robotics wprost zaleca modernizację robotów z kontrolerami A, B, C i D, bo części do nich nie są już dostarczane. Wybór kontrolera E przy nowym zakupie oznacza generację w większości już wycofaną; E ma sens głównie przy ujednolicaniu parku maszyn i tylko po potwierdzeniu dostępności u dystrybutora.</w:t>
      </w:r>
    </w:p>
    <w:p>
      <w:pPr>
        <w:spacing w:before="200"/>
      </w:pPr>
      <w:r>
        <w:rPr>
          <w:b/>
          <w:color w:val="1F4E79"/>
          <w:sz w:val="26"/>
        </w:rPr>
        <w:t>5. Co przenosi się ze starego kontrolera</w:t>
      </w:r>
    </w:p>
    <w:p>
      <w:r>
        <w:t>Kontroler D i kontrolery E/F mają te same polecenia zapisu poszczególnych typów danych. Każdy typ można zapisać do osobnego pliku i wczytać osobno poleceniem LOAD.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169"/>
            <w:shd w:val="clear" w:color="auto" w:fill="DCE6F1"/>
          </w:tcPr>
          <w:p>
            <w:r/>
            <w:r>
              <w:rPr>
                <w:b/>
                <w:sz w:val="18"/>
              </w:rPr>
              <w:t>Dane</w:t>
            </w:r>
          </w:p>
        </w:tc>
        <w:tc>
          <w:tcPr>
            <w:tcW w:type="dxa" w:w="1446"/>
            <w:shd w:val="clear" w:color="auto" w:fill="DCE6F1"/>
          </w:tcPr>
          <w:p>
            <w:r/>
            <w:r>
              <w:rPr>
                <w:b/>
                <w:sz w:val="18"/>
              </w:rPr>
              <w:t>Polecenie</w:t>
            </w:r>
          </w:p>
        </w:tc>
        <w:tc>
          <w:tcPr>
            <w:tcW w:type="dxa" w:w="1566"/>
            <w:shd w:val="clear" w:color="auto" w:fill="DCE6F1"/>
          </w:tcPr>
          <w:p>
            <w:r/>
            <w:r>
              <w:rPr>
                <w:b/>
                <w:sz w:val="18"/>
              </w:rPr>
              <w:t>Ocena</w:t>
            </w:r>
          </w:p>
        </w:tc>
        <w:tc>
          <w:tcPr>
            <w:tcW w:type="dxa" w:w="4457"/>
            <w:shd w:val="clear" w:color="auto" w:fill="DCE6F1"/>
          </w:tcPr>
          <w:p>
            <w:r/>
            <w:r>
              <w:rPr>
                <w:b/>
                <w:sz w:val="18"/>
              </w:rPr>
              <w:t>Uwagi</w:t>
            </w:r>
          </w:p>
        </w:tc>
      </w:tr>
      <w:tr>
        <w:tc>
          <w:tcPr>
            <w:tcW w:type="dxa" w:w="2169"/>
          </w:tcPr>
          <w:p>
            <w:r/>
            <w:r>
              <w:rPr>
                <w:sz w:val="18"/>
              </w:rPr>
              <w:t>Programy AS i programy blokowe</w:t>
            </w:r>
          </w:p>
        </w:tc>
        <w:tc>
          <w:tcPr>
            <w:tcW w:type="dxa" w:w="1446"/>
          </w:tcPr>
          <w:p>
            <w:r/>
            <w:r>
              <w:rPr>
                <w:sz w:val="18"/>
              </w:rPr>
              <w:t>SAVE/P</w:t>
            </w:r>
          </w:p>
        </w:tc>
        <w:tc>
          <w:tcPr>
            <w:tcW w:type="dxa" w:w="1566"/>
          </w:tcPr>
          <w:p>
            <w:r/>
            <w:r>
              <w:rPr>
                <w:sz w:val="18"/>
              </w:rPr>
              <w:t>Przenosi się</w:t>
            </w:r>
          </w:p>
        </w:tc>
        <w:tc>
          <w:tcPr>
            <w:tcW w:type="dxa" w:w="4457"/>
          </w:tcPr>
          <w:p>
            <w:r/>
            <w:r>
              <w:rPr>
                <w:sz w:val="18"/>
              </w:rPr>
              <w:t>Te same polecenia SAVE/LOAD w D i F. LOAD przerywa się, jeśli program o tej nazwie już jest w pamięci - wczytywać do czystego kontrolera.</w:t>
            </w:r>
          </w:p>
        </w:tc>
      </w:tr>
      <w:tr>
        <w:tc>
          <w:tcPr>
            <w:tcW w:type="dxa" w:w="2169"/>
          </w:tcPr>
          <w:p>
            <w:r/>
            <w:r>
              <w:rPr>
                <w:sz w:val="18"/>
              </w:rPr>
              <w:t>Punkty (zmienne pozycji)</w:t>
            </w:r>
          </w:p>
        </w:tc>
        <w:tc>
          <w:tcPr>
            <w:tcW w:type="dxa" w:w="1446"/>
          </w:tcPr>
          <w:p>
            <w:r/>
            <w:r>
              <w:rPr>
                <w:sz w:val="18"/>
              </w:rPr>
              <w:t>SAVE/L</w:t>
            </w:r>
          </w:p>
        </w:tc>
        <w:tc>
          <w:tcPr>
            <w:tcW w:type="dxa" w:w="1566"/>
          </w:tcPr>
          <w:p>
            <w:r/>
            <w:r>
              <w:rPr>
                <w:sz w:val="18"/>
              </w:rPr>
              <w:t>Przenosi się</w:t>
            </w:r>
          </w:p>
        </w:tc>
        <w:tc>
          <w:tcPr>
            <w:tcW w:type="dxa" w:w="4457"/>
          </w:tcPr>
          <w:p>
            <w:r/>
            <w:r>
              <w:rPr>
                <w:sz w:val="18"/>
              </w:rPr>
              <w:t>Wartości przechodzą 1:1, ale nowy egzemplarz ramienia wymaga sprawdzenia punktów (rozdział 7).</w:t>
            </w:r>
          </w:p>
        </w:tc>
      </w:tr>
      <w:tr>
        <w:tc>
          <w:tcPr>
            <w:tcW w:type="dxa" w:w="2169"/>
          </w:tcPr>
          <w:p>
            <w:r/>
            <w:r>
              <w:rPr>
                <w:sz w:val="18"/>
              </w:rPr>
              <w:t>Zmienne liczbowe</w:t>
            </w:r>
          </w:p>
        </w:tc>
        <w:tc>
          <w:tcPr>
            <w:tcW w:type="dxa" w:w="1446"/>
          </w:tcPr>
          <w:p>
            <w:r/>
            <w:r>
              <w:rPr>
                <w:sz w:val="18"/>
              </w:rPr>
              <w:t>SAVE/R</w:t>
            </w:r>
          </w:p>
        </w:tc>
        <w:tc>
          <w:tcPr>
            <w:tcW w:type="dxa" w:w="1566"/>
          </w:tcPr>
          <w:p>
            <w:r/>
            <w:r>
              <w:rPr>
                <w:sz w:val="18"/>
              </w:rPr>
              <w:t>Przenosi się</w:t>
            </w:r>
          </w:p>
        </w:tc>
        <w:tc>
          <w:tcPr>
            <w:tcW w:type="dxa" w:w="4457"/>
          </w:tcPr>
          <w:p>
            <w:r/>
            <w:r>
              <w:rPr>
                <w:sz w:val="18"/>
              </w:rPr>
              <w:t>Liczniki, parametry, przesunięcia. Zmienne o tej samej nazwie LOAD nadpisuje bez ostrzeżenia.</w:t>
            </w:r>
          </w:p>
        </w:tc>
      </w:tr>
      <w:tr>
        <w:tc>
          <w:tcPr>
            <w:tcW w:type="dxa" w:w="2169"/>
          </w:tcPr>
          <w:p>
            <w:r/>
            <w:r>
              <w:rPr>
                <w:sz w:val="18"/>
              </w:rPr>
              <w:t>Zmienne tekstowe</w:t>
            </w:r>
          </w:p>
        </w:tc>
        <w:tc>
          <w:tcPr>
            <w:tcW w:type="dxa" w:w="1446"/>
          </w:tcPr>
          <w:p>
            <w:r/>
            <w:r>
              <w:rPr>
                <w:sz w:val="18"/>
              </w:rPr>
              <w:t>SAVE/S</w:t>
            </w:r>
          </w:p>
        </w:tc>
        <w:tc>
          <w:tcPr>
            <w:tcW w:type="dxa" w:w="1566"/>
          </w:tcPr>
          <w:p>
            <w:r/>
            <w:r>
              <w:rPr>
                <w:sz w:val="18"/>
              </w:rPr>
              <w:t>Przenosi się</w:t>
            </w:r>
          </w:p>
        </w:tc>
        <w:tc>
          <w:tcPr>
            <w:tcW w:type="dxa" w:w="4457"/>
          </w:tcPr>
          <w:p>
            <w:r/>
            <w:r>
              <w:rPr>
                <w:sz w:val="18"/>
              </w:rPr>
              <w:t>Jak wyżej: nadpisywane bez ostrzeżenia.</w:t>
            </w:r>
          </w:p>
        </w:tc>
      </w:tr>
      <w:tr>
        <w:tc>
          <w:tcPr>
            <w:tcW w:type="dxa" w:w="2169"/>
          </w:tcPr>
          <w:p>
            <w:r/>
            <w:r>
              <w:rPr>
                <w:sz w:val="18"/>
              </w:rPr>
              <w:t>Dane pomocnicze</w:t>
            </w:r>
          </w:p>
        </w:tc>
        <w:tc>
          <w:tcPr>
            <w:tcW w:type="dxa" w:w="1446"/>
          </w:tcPr>
          <w:p>
            <w:r/>
            <w:r>
              <w:rPr>
                <w:sz w:val="18"/>
              </w:rPr>
              <w:t>SAVE/A</w:t>
            </w:r>
          </w:p>
        </w:tc>
        <w:tc>
          <w:tcPr>
            <w:tcW w:type="dxa" w:w="1566"/>
          </w:tcPr>
          <w:p>
            <w:r/>
            <w:r>
              <w:rPr>
                <w:sz w:val="18"/>
              </w:rPr>
              <w:t>Przenosi się, sprawdzić</w:t>
            </w:r>
          </w:p>
        </w:tc>
        <w:tc>
          <w:tcPr>
            <w:tcW w:type="dxa" w:w="4457"/>
          </w:tcPr>
          <w:p>
            <w:r/>
            <w:r>
              <w:rPr>
                <w:sz w:val="18"/>
              </w:rPr>
              <w:t>Pozycja domowa, limity osi, ustawienia chwytaka i obciążenia, strefy pracy, ustawienia programów blokowych.</w:t>
            </w:r>
          </w:p>
        </w:tc>
      </w:tr>
      <w:tr>
        <w:tc>
          <w:tcPr>
            <w:tcW w:type="dxa" w:w="2169"/>
          </w:tcPr>
          <w:p>
            <w:r/>
            <w:r>
              <w:rPr>
                <w:sz w:val="18"/>
              </w:rPr>
              <w:t>Dane systemowe</w:t>
            </w:r>
          </w:p>
        </w:tc>
        <w:tc>
          <w:tcPr>
            <w:tcW w:type="dxa" w:w="1446"/>
          </w:tcPr>
          <w:p>
            <w:r/>
            <w:r>
              <w:rPr>
                <w:sz w:val="18"/>
              </w:rPr>
              <w:t>SAVE/SYS</w:t>
            </w:r>
          </w:p>
        </w:tc>
        <w:tc>
          <w:tcPr>
            <w:tcW w:type="dxa" w:w="1566"/>
          </w:tcPr>
          <w:p>
            <w:r/>
            <w:r>
              <w:rPr>
                <w:sz w:val="18"/>
              </w:rPr>
              <w:t>Częściowo</w:t>
            </w:r>
          </w:p>
        </w:tc>
        <w:tc>
          <w:tcPr>
            <w:tcW w:type="dxa" w:w="4457"/>
          </w:tcPr>
          <w:p>
            <w:r/>
            <w:r>
              <w:rPr>
                <w:sz w:val="18"/>
              </w:rPr>
              <w:t>Sygnały dedykowane i przełączniki systemowe w większości zgodne; konfiguracja fieldbusa zwykle nie.</w:t>
            </w:r>
          </w:p>
        </w:tc>
      </w:tr>
      <w:tr>
        <w:tc>
          <w:tcPr>
            <w:tcW w:type="dxa" w:w="2169"/>
          </w:tcPr>
          <w:p>
            <w:r/>
            <w:r>
              <w:rPr>
                <w:sz w:val="18"/>
              </w:rPr>
              <w:t>Ekran operatorski (Interface Panel)</w:t>
            </w:r>
          </w:p>
        </w:tc>
        <w:tc>
          <w:tcPr>
            <w:tcW w:type="dxa" w:w="1446"/>
          </w:tcPr>
          <w:p>
            <w:r/>
            <w:r>
              <w:rPr>
                <w:sz w:val="18"/>
              </w:rPr>
              <w:t>część pełnego backupu</w:t>
            </w:r>
          </w:p>
        </w:tc>
        <w:tc>
          <w:tcPr>
            <w:tcW w:type="dxa" w:w="1566"/>
          </w:tcPr>
          <w:p>
            <w:r/>
            <w:r>
              <w:rPr>
                <w:sz w:val="18"/>
              </w:rPr>
              <w:t>Częściowo</w:t>
            </w:r>
          </w:p>
        </w:tc>
        <w:tc>
          <w:tcPr>
            <w:tcW w:type="dxa" w:w="4457"/>
          </w:tcPr>
          <w:p>
            <w:r/>
            <w:r>
              <w:rPr>
                <w:sz w:val="18"/>
              </w:rPr>
              <w:t>Wczytuje się, ale nie zawsze jako wierna kopia. Wartości pól ustawianych przez BITS się nie przenoszą - zrobić zdjęcia ekranów.</w:t>
            </w:r>
          </w:p>
        </w:tc>
      </w:tr>
      <w:tr>
        <w:tc>
          <w:tcPr>
            <w:tcW w:type="dxa" w:w="2169"/>
          </w:tcPr>
          <w:p>
            <w:r/>
            <w:r>
              <w:rPr>
                <w:sz w:val="18"/>
              </w:rPr>
              <w:t>Program K-Logic (sterownik programowy)</w:t>
            </w:r>
          </w:p>
        </w:tc>
        <w:tc>
          <w:tcPr>
            <w:tcW w:type="dxa" w:w="1446"/>
          </w:tcPr>
          <w:p>
            <w:r/>
            <w:r>
              <w:rPr>
                <w:sz w:val="18"/>
              </w:rPr>
              <w:t>osobny</w:t>
            </w:r>
          </w:p>
        </w:tc>
        <w:tc>
          <w:tcPr>
            <w:tcW w:type="dxa" w:w="1566"/>
          </w:tcPr>
          <w:p>
            <w:r/>
            <w:r>
              <w:rPr>
                <w:sz w:val="18"/>
              </w:rPr>
              <w:t>Do sprawdzenia</w:t>
            </w:r>
          </w:p>
        </w:tc>
        <w:tc>
          <w:tcPr>
            <w:tcW w:type="dxa" w:w="4457"/>
          </w:tcPr>
          <w:p>
            <w:r/>
            <w:r>
              <w:rPr>
                <w:sz w:val="18"/>
              </w:rPr>
              <w:t>D miał K-Logic, F0x ma opcję Software PLC; zgodność programu trzeba potwierdzić.</w:t>
            </w:r>
          </w:p>
        </w:tc>
      </w:tr>
      <w:tr>
        <w:tc>
          <w:tcPr>
            <w:tcW w:type="dxa" w:w="2169"/>
          </w:tcPr>
          <w:p>
            <w:r/>
            <w:r>
              <w:rPr>
                <w:sz w:val="18"/>
              </w:rPr>
              <w:t>Dane robota</w:t>
            </w:r>
          </w:p>
        </w:tc>
        <w:tc>
          <w:tcPr>
            <w:tcW w:type="dxa" w:w="1446"/>
          </w:tcPr>
          <w:p>
            <w:r/>
            <w:r>
              <w:rPr>
                <w:sz w:val="18"/>
              </w:rPr>
              <w:t>SAVE/ROB</w:t>
            </w:r>
          </w:p>
        </w:tc>
        <w:tc>
          <w:tcPr>
            <w:tcW w:type="dxa" w:w="1566"/>
          </w:tcPr>
          <w:p>
            <w:r/>
            <w:r>
              <w:rPr>
                <w:sz w:val="18"/>
              </w:rPr>
              <w:t>NIE przenosić</w:t>
            </w:r>
          </w:p>
        </w:tc>
        <w:tc>
          <w:tcPr>
            <w:tcW w:type="dxa" w:w="4457"/>
          </w:tcPr>
          <w:p>
            <w:r/>
            <w:r>
              <w:rPr>
                <w:sz w:val="18"/>
              </w:rPr>
              <w:t>Model, numer seryjny, zerowanie i inne dane nowego ramienia są ustawione fabrycznie.</w:t>
            </w:r>
          </w:p>
        </w:tc>
      </w:tr>
      <w:tr>
        <w:tc>
          <w:tcPr>
            <w:tcW w:type="dxa" w:w="2169"/>
          </w:tcPr>
          <w:p>
            <w:r/>
            <w:r>
              <w:rPr>
                <w:sz w:val="18"/>
              </w:rPr>
              <w:t>Pełny backup</w:t>
            </w:r>
          </w:p>
        </w:tc>
        <w:tc>
          <w:tcPr>
            <w:tcW w:type="dxa" w:w="1446"/>
          </w:tcPr>
          <w:p>
            <w:r/>
            <w:r>
              <w:rPr>
                <w:sz w:val="18"/>
              </w:rPr>
              <w:t>SAVE</w:t>
            </w:r>
          </w:p>
        </w:tc>
        <w:tc>
          <w:tcPr>
            <w:tcW w:type="dxa" w:w="1566"/>
          </w:tcPr>
          <w:p>
            <w:r/>
            <w:r>
              <w:rPr>
                <w:sz w:val="18"/>
              </w:rPr>
              <w:t>NIE wczytywać w całości</w:t>
            </w:r>
          </w:p>
        </w:tc>
        <w:tc>
          <w:tcPr>
            <w:tcW w:type="dxa" w:w="4457"/>
          </w:tcPr>
          <w:p>
            <w:r/>
            <w:r>
              <w:rPr>
                <w:sz w:val="18"/>
              </w:rPr>
              <w:t>W praktyce plik pełnego backupu zawiera też dane robota. Można go użyć jako archiwum i źródło do wycięcia sekcji z panelem, programami i zmiennymi.</w:t>
            </w:r>
          </w:p>
        </w:tc>
      </w:tr>
    </w:tbl>
    <w:p/>
    <w:p>
      <w:r>
        <w:rPr>
          <w:i/>
          <w:sz w:val="18"/>
        </w:rPr>
        <w:t>Wczytywanie selektywne: LOAD/Q pyta osobno o każdą porcję danych systemowych i każdy program (Tak / Nie / Wczytaj wszystko / Wyjdź). Metoda praktyków przy przejściu z D na E: zrobić kopię pliku pełnego backupu, usunąć z niej wszystko powyżej sekcji danych panelu (MFP) i wczytać resztę. Przenosi to panel, programy, zmienne i teksty bez ryzyka nadpisania danych robota.</w:t>
      </w:r>
    </w:p>
    <w:p>
      <w:pPr>
        <w:spacing w:before="200"/>
      </w:pPr>
      <w:r>
        <w:rPr>
          <w:b/>
          <w:color w:val="1F4E79"/>
          <w:sz w:val="26"/>
        </w:rPr>
        <w:t>6. Co trzeba wykonać od nowa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566"/>
            <w:shd w:val="clear" w:color="auto" w:fill="DCE6F1"/>
          </w:tcPr>
          <w:p>
            <w:r/>
            <w:r>
              <w:rPr>
                <w:b/>
                <w:sz w:val="18"/>
              </w:rPr>
              <w:t>Obszar</w:t>
            </w:r>
          </w:p>
        </w:tc>
        <w:tc>
          <w:tcPr>
            <w:tcW w:type="dxa" w:w="2470"/>
            <w:shd w:val="clear" w:color="auto" w:fill="DCE6F1"/>
          </w:tcPr>
          <w:p>
            <w:r/>
            <w:r>
              <w:rPr>
                <w:b/>
                <w:sz w:val="18"/>
              </w:rPr>
              <w:t>Kontroler D</w:t>
            </w:r>
          </w:p>
        </w:tc>
        <w:tc>
          <w:tcPr>
            <w:tcW w:type="dxa" w:w="2771"/>
            <w:shd w:val="clear" w:color="auto" w:fill="DCE6F1"/>
          </w:tcPr>
          <w:p>
            <w:r/>
            <w:r>
              <w:rPr>
                <w:b/>
                <w:sz w:val="18"/>
              </w:rPr>
              <w:t>Kontroler F (E podobnie, szczegóły w tekście)</w:t>
            </w:r>
          </w:p>
        </w:tc>
        <w:tc>
          <w:tcPr>
            <w:tcW w:type="dxa" w:w="2831"/>
            <w:shd w:val="clear" w:color="auto" w:fill="DCE6F1"/>
          </w:tcPr>
          <w:p>
            <w:r/>
            <w:r>
              <w:rPr>
                <w:b/>
                <w:sz w:val="18"/>
              </w:rPr>
              <w:t>Co zrobić</w:t>
            </w:r>
          </w:p>
        </w:tc>
      </w:tr>
      <w:tr>
        <w:tc>
          <w:tcPr>
            <w:tcW w:type="dxa" w:w="1566"/>
          </w:tcPr>
          <w:p>
            <w:r/>
            <w:r>
              <w:rPr>
                <w:sz w:val="18"/>
              </w:rPr>
              <w:t>Wejścia/wyjścia ogólne</w:t>
            </w:r>
          </w:p>
        </w:tc>
        <w:tc>
          <w:tcPr>
            <w:tcW w:type="dxa" w:w="2470"/>
          </w:tcPr>
          <w:p>
            <w:r/>
            <w:r>
              <w:rPr>
                <w:sz w:val="18"/>
              </w:rPr>
              <w:t>32 we / 32 wy na karcie 1HW/1GW (złącza CN2/CN4, 37-pin D-sub), więcej z dodatkowymi kartami</w:t>
            </w:r>
          </w:p>
        </w:tc>
        <w:tc>
          <w:tcPr>
            <w:tcW w:type="dxa" w:w="2771"/>
          </w:tcPr>
          <w:p>
            <w:r/>
            <w:r>
              <w:rPr>
                <w:sz w:val="18"/>
              </w:rPr>
              <w:t>32 we / 32 wy standardowo, do 64/64 w szafie i 128/128 z remote I/O; opcjonalne złącze też 37-pin D-sub</w:t>
            </w:r>
          </w:p>
        </w:tc>
        <w:tc>
          <w:tcPr>
            <w:tcW w:type="dxa" w:w="2831"/>
          </w:tcPr>
          <w:p>
            <w:r/>
            <w:r>
              <w:rPr>
                <w:sz w:val="18"/>
              </w:rPr>
              <w:t>Spisać mapę sygnałów. Typ złącza może być ten sam, ale przypisanie pinów trzeba porównać z instrukcją External I/O dla F.</w:t>
            </w:r>
          </w:p>
        </w:tc>
      </w:tr>
      <w:tr>
        <w:tc>
          <w:tcPr>
            <w:tcW w:type="dxa" w:w="1566"/>
          </w:tcPr>
          <w:p>
            <w:r/>
            <w:r>
              <w:rPr>
                <w:sz w:val="18"/>
              </w:rPr>
              <w:t>Obwody bezpieczeństwa</w:t>
            </w:r>
          </w:p>
        </w:tc>
        <w:tc>
          <w:tcPr>
            <w:tcW w:type="dxa" w:w="2470"/>
          </w:tcPr>
          <w:p>
            <w:r/>
            <w:r>
              <w:rPr>
                <w:sz w:val="18"/>
              </w:rPr>
              <w:t>obwody sprzętowe (E-stop, drzwi, praca ręczna)</w:t>
            </w:r>
          </w:p>
        </w:tc>
        <w:tc>
          <w:tcPr>
            <w:tcW w:type="dxa" w:w="2771"/>
          </w:tcPr>
          <w:p>
            <w:r/>
            <w:r>
              <w:rPr>
                <w:sz w:val="18"/>
              </w:rPr>
              <w:t>wersja A (opcja Cubic-S) lub B (opcja CoreCubic-S); obwód do kat. 4 / PL e</w:t>
            </w:r>
          </w:p>
        </w:tc>
        <w:tc>
          <w:tcPr>
            <w:tcW w:type="dxa" w:w="2831"/>
          </w:tcPr>
          <w:p>
            <w:r/>
            <w:r>
              <w:rPr>
                <w:sz w:val="18"/>
              </w:rPr>
              <w:t>Przepiąć, zwalidować funkcje bezpieczeństwa i zaktualizować ocenę ryzyka stanowiska.</w:t>
            </w:r>
          </w:p>
        </w:tc>
      </w:tr>
      <w:tr>
        <w:tc>
          <w:tcPr>
            <w:tcW w:type="dxa" w:w="1566"/>
          </w:tcPr>
          <w:p>
            <w:r/>
            <w:r>
              <w:rPr>
                <w:sz w:val="18"/>
              </w:rPr>
              <w:t>Fieldbus</w:t>
            </w:r>
          </w:p>
        </w:tc>
        <w:tc>
          <w:tcPr>
            <w:tcW w:type="dxa" w:w="2470"/>
          </w:tcPr>
          <w:p>
            <w:r/>
            <w:r>
              <w:rPr>
                <w:sz w:val="18"/>
              </w:rPr>
              <w:t>DeviceNet, PROFIBUS, INTERBUS, EtherNet/IP, Modbus-TCP, CC-Link (opcje)</w:t>
            </w:r>
          </w:p>
        </w:tc>
        <w:tc>
          <w:tcPr>
            <w:tcW w:type="dxa" w:w="2771"/>
          </w:tcPr>
          <w:p>
            <w:r/>
            <w:r>
              <w:rPr>
                <w:sz w:val="18"/>
              </w:rPr>
              <w:t>moduł opcjonalny (slave na złączu XAB, master na karcie PCIe); osobna instrukcja 90210-1326</w:t>
            </w:r>
          </w:p>
        </w:tc>
        <w:tc>
          <w:tcPr>
            <w:tcW w:type="dxa" w:w="2831"/>
          </w:tcPr>
          <w:p>
            <w:r/>
            <w:r>
              <w:rPr>
                <w:sz w:val="18"/>
              </w:rPr>
              <w:t>Zamówić moduł, wgrać nowy plik konfiguracyjny (GSD/EDS/GSDML) w PLC i zmapować sygnały od nowa.</w:t>
            </w:r>
          </w:p>
        </w:tc>
      </w:tr>
      <w:tr>
        <w:tc>
          <w:tcPr>
            <w:tcW w:type="dxa" w:w="1566"/>
          </w:tcPr>
          <w:p>
            <w:r/>
            <w:r>
              <w:rPr>
                <w:sz w:val="18"/>
              </w:rPr>
              <w:t>Pendant</w:t>
            </w:r>
          </w:p>
        </w:tc>
        <w:tc>
          <w:tcPr>
            <w:tcW w:type="dxa" w:w="2470"/>
          </w:tcPr>
          <w:p>
            <w:r/>
            <w:r>
              <w:rPr>
                <w:sz w:val="18"/>
              </w:rPr>
              <w:t>pendant serii D</w:t>
            </w:r>
          </w:p>
        </w:tc>
        <w:tc>
          <w:tcPr>
            <w:tcW w:type="dxa" w:w="2771"/>
          </w:tcPr>
          <w:p>
            <w:r/>
            <w:r>
              <w:rPr>
                <w:sz w:val="18"/>
              </w:rPr>
              <w:t>nowy pendant GenII (port USB, inny ekran)</w:t>
            </w:r>
          </w:p>
        </w:tc>
        <w:tc>
          <w:tcPr>
            <w:tcW w:type="dxa" w:w="2831"/>
          </w:tcPr>
          <w:p>
            <w:r/>
            <w:r>
              <w:rPr>
                <w:sz w:val="18"/>
              </w:rPr>
              <w:t>Przejrzeć i poprawić ekran operatorski; przeszkolić operatorów.</w:t>
            </w:r>
          </w:p>
        </w:tc>
      </w:tr>
      <w:tr>
        <w:tc>
          <w:tcPr>
            <w:tcW w:type="dxa" w:w="1566"/>
          </w:tcPr>
          <w:p>
            <w:r/>
            <w:r>
              <w:rPr>
                <w:sz w:val="18"/>
              </w:rPr>
              <w:t>Opcje płatne</w:t>
            </w:r>
          </w:p>
        </w:tc>
        <w:tc>
          <w:tcPr>
            <w:tcW w:type="dxa" w:w="2470"/>
          </w:tcPr>
          <w:p>
            <w:r/>
            <w:r>
              <w:rPr>
                <w:sz w:val="18"/>
              </w:rPr>
              <w:t>np. fieldbus, śledzenie przenośnika, spawanie</w:t>
            </w:r>
          </w:p>
        </w:tc>
        <w:tc>
          <w:tcPr>
            <w:tcW w:type="dxa" w:w="2771"/>
          </w:tcPr>
          <w:p>
            <w:r/>
            <w:r>
              <w:rPr>
                <w:sz w:val="18"/>
              </w:rPr>
              <w:t>zamawiane osobno</w:t>
            </w:r>
          </w:p>
        </w:tc>
        <w:tc>
          <w:tcPr>
            <w:tcW w:type="dxa" w:w="2831"/>
          </w:tcPr>
          <w:p>
            <w:r/>
            <w:r>
              <w:rPr>
                <w:sz w:val="18"/>
              </w:rPr>
              <w:t>Spisać wszystkie opcje aktywne w D i zamówić odpowiedniki.</w:t>
            </w:r>
          </w:p>
        </w:tc>
      </w:tr>
      <w:tr>
        <w:tc>
          <w:tcPr>
            <w:tcW w:type="dxa" w:w="1566"/>
          </w:tcPr>
          <w:p>
            <w:r/>
            <w:r>
              <w:rPr>
                <w:sz w:val="18"/>
              </w:rPr>
              <w:t>Zapis danych</w:t>
            </w:r>
          </w:p>
        </w:tc>
        <w:tc>
          <w:tcPr>
            <w:tcW w:type="dxa" w:w="2470"/>
          </w:tcPr>
          <w:p>
            <w:r/>
            <w:r>
              <w:rPr>
                <w:sz w:val="18"/>
              </w:rPr>
              <w:t>PC (KRterm/KCwin przez RS-232C lub Ethernet), karta PCMCIA</w:t>
            </w:r>
          </w:p>
        </w:tc>
        <w:tc>
          <w:tcPr>
            <w:tcW w:type="dxa" w:w="2771"/>
          </w:tcPr>
          <w:p>
            <w:r/>
            <w:r>
              <w:rPr>
                <w:sz w:val="18"/>
              </w:rPr>
              <w:t>USB, Ethernet, CFast</w:t>
            </w:r>
          </w:p>
        </w:tc>
        <w:tc>
          <w:tcPr>
            <w:tcW w:type="dxa" w:w="2831"/>
          </w:tcPr>
          <w:p>
            <w:r/>
            <w:r>
              <w:rPr>
                <w:sz w:val="18"/>
              </w:rPr>
              <w:t>Przygotować sposób zgrania danych z D przed demontażem.</w:t>
            </w:r>
          </w:p>
        </w:tc>
      </w:tr>
    </w:tbl>
    <w:p/>
    <w:p>
      <w:r>
        <w:t>PROFINET, CANopen, ControlNet, EtherCAT i CC-Link IE były dostępne tylko w kontrolerze E, nie w D. Katalog Kawasaki dla kontrolera F60 wymienia CC-Link, CC-Link IE, DeviceNet, EtherNet/IP, EtherCAT, PROFIBUS-DP i PROFINET, bez INTERBUS. Jeśli stanowisko z D pracuje na INTERBUS (albo na Allen-Bradley Remote I/O), trzeba potwierdzić dostępność dla F0x albo zaplanować zmianę sieci lub bramkę.</w:t>
      </w:r>
    </w:p>
    <w:p>
      <w:pPr>
        <w:spacing w:before="200"/>
      </w:pPr>
      <w:r>
        <w:rPr>
          <w:b/>
          <w:color w:val="1F4E79"/>
          <w:sz w:val="26"/>
        </w:rPr>
        <w:t>7. Punkty i kalibracja nowego ramienia</w:t>
      </w:r>
    </w:p>
    <w:p>
      <w:r>
        <w:t>Nowy robot tego samego modelu ma tę samą kinematykę, ale własne, fabryczne zerowanie. Do tego nie da się go zamontować co do dziesiątych części milimetra w miejscu starego. Dlatego:</w:t>
      </w:r>
    </w:p>
    <w:p>
      <w:pPr>
        <w:pStyle w:val="ListBullet"/>
      </w:pPr>
      <w:r>
        <w:t>Przed demontażem starego robota najechać narzędziem na kilka stałych punktów w celi (np. bazy przyrządów) i zapisać ich pozycje.</w:t>
      </w:r>
    </w:p>
    <w:p>
      <w:pPr>
        <w:pStyle w:val="ListBullet"/>
      </w:pPr>
      <w:r>
        <w:t>Po montażu nowego robota najechać na te same punkty. Jeśli błąd jest stały dla wszystkich punktów, korygować go raz (BASE albo przesunięcie punktów), a nie douczaniem każdego punktu osobno.</w:t>
      </w:r>
    </w:p>
    <w:p>
      <w:pPr>
        <w:pStyle w:val="ListBullet"/>
      </w:pPr>
      <w:r>
        <w:t>Na koniec sprawdzić na małej prędkości wszystkie programy i douczyć krytyczne punkty: pobranie, odłożenie, wejścia w maszynę i strefy kolizji.</w:t>
      </w:r>
    </w:p>
    <w:p>
      <w:pPr>
        <w:pStyle w:val="ListBullet"/>
      </w:pPr>
      <w:r>
        <w:t>neoROSET wczytuje pełny backup z prawdziwego kontrolera D, D+, E i F, pozwala podmienić model robota bez zmiany układu stanowiska, przesuwać i lustrzanie kopiować punkty oraz porównywać dane kontrolera z danymi w projekcie. Pozwala to sprawdzić zasięg i kolizje przed demontażem.</w:t>
      </w:r>
    </w:p>
    <w:p>
      <w:pPr>
        <w:pStyle w:val="ListBullet"/>
      </w:pPr>
      <w:r>
        <w:t>Jeśli docelowe ramię nie jest identyczne (następca), punkty zapisane jako kąty osi (joint) trzeba douczyć. Praktycy zalecają przeliczyć je przed backupem na transformacje.</w:t>
      </w:r>
    </w:p>
    <w:p>
      <w:pPr>
        <w:spacing w:before="200"/>
      </w:pPr>
      <w:r>
        <w:rPr>
          <w:b/>
          <w:color w:val="1F4E79"/>
          <w:sz w:val="26"/>
        </w:rPr>
        <w:t>8. D na E czy D na 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409"/>
            <w:shd w:val="clear" w:color="auto" w:fill="DCE6F1"/>
          </w:tcPr>
          <w:p>
            <w:r/>
            <w:r>
              <w:rPr>
                <w:b/>
                <w:sz w:val="18"/>
              </w:rPr>
              <w:t>Kryterium</w:t>
            </w:r>
          </w:p>
        </w:tc>
        <w:tc>
          <w:tcPr>
            <w:tcW w:type="dxa" w:w="3614"/>
            <w:shd w:val="clear" w:color="auto" w:fill="DCE6F1"/>
          </w:tcPr>
          <w:p>
            <w:r/>
            <w:r>
              <w:rPr>
                <w:b/>
                <w:sz w:val="18"/>
              </w:rPr>
              <w:t>D na E</w:t>
            </w:r>
          </w:p>
        </w:tc>
        <w:tc>
          <w:tcPr>
            <w:tcW w:type="dxa" w:w="3614"/>
            <w:shd w:val="clear" w:color="auto" w:fill="DCE6F1"/>
          </w:tcPr>
          <w:p>
            <w:r/>
            <w:r>
              <w:rPr>
                <w:b/>
                <w:sz w:val="18"/>
              </w:rPr>
              <w:t>D na F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8"/>
              </w:rPr>
              <w:t>Dostępność nowych robotów</w:t>
            </w:r>
          </w:p>
        </w:tc>
        <w:tc>
          <w:tcPr>
            <w:tcW w:type="dxa" w:w="3614"/>
          </w:tcPr>
          <w:p>
            <w:r/>
            <w:r>
              <w:rPr>
                <w:sz w:val="18"/>
              </w:rPr>
              <w:t>większość wariantów wycofana w latach 2019-2024</w:t>
            </w:r>
          </w:p>
        </w:tc>
        <w:tc>
          <w:tcPr>
            <w:tcW w:type="dxa" w:w="3614"/>
          </w:tcPr>
          <w:p>
            <w:r/>
            <w:r>
              <w:rPr>
                <w:sz w:val="18"/>
              </w:rPr>
              <w:t>aktualna generacja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8"/>
              </w:rPr>
              <w:t>Podobieństwo do D</w:t>
            </w:r>
          </w:p>
        </w:tc>
        <w:tc>
          <w:tcPr>
            <w:tcW w:type="dxa" w:w="3614"/>
          </w:tcPr>
          <w:p>
            <w:r/>
            <w:r>
              <w:rPr>
                <w:sz w:val="18"/>
              </w:rPr>
              <w:t>większe: podobna architektura i obsługa</w:t>
            </w:r>
          </w:p>
        </w:tc>
        <w:tc>
          <w:tcPr>
            <w:tcW w:type="dxa" w:w="3614"/>
          </w:tcPr>
          <w:p>
            <w:r/>
            <w:r>
              <w:rPr>
                <w:sz w:val="18"/>
              </w:rPr>
              <w:t>mniejsze: nowy pendant, inne złącza, mniejsza szafa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8"/>
              </w:rPr>
              <w:t>Przenoszenie programów i danych</w:t>
            </w:r>
          </w:p>
        </w:tc>
        <w:tc>
          <w:tcPr>
            <w:tcW w:type="dxa" w:w="3614"/>
          </w:tcPr>
          <w:p>
            <w:r/>
            <w:r>
              <w:rPr>
                <w:sz w:val="18"/>
              </w:rPr>
              <w:t>tak samo (SAVE/P, /L, /R, /S, /A, /SYS)</w:t>
            </w:r>
          </w:p>
        </w:tc>
        <w:tc>
          <w:tcPr>
            <w:tcW w:type="dxa" w:w="3614"/>
          </w:tcPr>
          <w:p>
            <w:r/>
            <w:r>
              <w:rPr>
                <w:sz w:val="18"/>
              </w:rPr>
              <w:t>tak samo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8"/>
              </w:rPr>
              <w:t>Horyzont części</w:t>
            </w:r>
          </w:p>
        </w:tc>
        <w:tc>
          <w:tcPr>
            <w:tcW w:type="dxa" w:w="3614"/>
          </w:tcPr>
          <w:p>
            <w:r/>
            <w:r>
              <w:rPr>
                <w:sz w:val="18"/>
              </w:rPr>
              <w:t>orientacyjnie do 2029-2034</w:t>
            </w:r>
          </w:p>
        </w:tc>
        <w:tc>
          <w:tcPr>
            <w:tcW w:type="dxa" w:w="3614"/>
          </w:tcPr>
          <w:p>
            <w:r/>
            <w:r>
              <w:rPr>
                <w:sz w:val="18"/>
              </w:rPr>
              <w:t>najdłuższy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8"/>
              </w:rPr>
              <w:t>Rekomendacja</w:t>
            </w:r>
          </w:p>
        </w:tc>
        <w:tc>
          <w:tcPr>
            <w:tcW w:type="dxa" w:w="3614"/>
          </w:tcPr>
          <w:p>
            <w:r/>
            <w:r>
              <w:rPr>
                <w:sz w:val="18"/>
              </w:rPr>
              <w:t>tylko przy ujednolicaniu parku maszyn i po potwierdzeniu dostępności</w:t>
            </w:r>
          </w:p>
        </w:tc>
        <w:tc>
          <w:tcPr>
            <w:tcW w:type="dxa" w:w="3614"/>
          </w:tcPr>
          <w:p>
            <w:r/>
            <w:r>
              <w:rPr>
                <w:sz w:val="18"/>
              </w:rPr>
              <w:t>domyślny wybór</w:t>
            </w:r>
          </w:p>
        </w:tc>
      </w:tr>
    </w:tbl>
    <w:p/>
    <w:p>
      <w:pPr>
        <w:spacing w:before="200"/>
      </w:pPr>
      <w:r>
        <w:rPr>
          <w:b/>
          <w:color w:val="1F4E79"/>
          <w:sz w:val="26"/>
        </w:rPr>
        <w:t>9. Procedura krok po kroku</w:t>
      </w:r>
    </w:p>
    <w:p>
      <w:pPr>
        <w:pStyle w:val="ListNumber"/>
      </w:pPr>
      <w:r>
        <w:t>Zrobić pełny backup kontrolera D jako archiwum oraz osobne pliki: programy, punkty, zmienne liczbowe, teksty, dane pomocnicze i dane systemowe.</w:t>
      </w:r>
    </w:p>
    <w:p>
      <w:pPr>
        <w:pStyle w:val="ListNumber"/>
      </w:pPr>
      <w:r>
        <w:t>Spisać: mapę wejść/wyjść, konfigurację fieldbusa, TOOL i BASE, przełączniki systemowe, aktywne opcje; zrobić zdjęcia ekranów panelu operatorskiego.</w:t>
      </w:r>
    </w:p>
    <w:p>
      <w:pPr>
        <w:pStyle w:val="ListNumber"/>
      </w:pPr>
      <w:r>
        <w:t>Zapisać pozycje punktów referencyjnych w celi (rozdział 7).</w:t>
      </w:r>
    </w:p>
    <w:p>
      <w:pPr>
        <w:pStyle w:val="ListNumber"/>
      </w:pPr>
      <w:r>
        <w:t>Opcjonalnie: wczytać backup do neoROSET, podmienić robota na nowy model i sprawdzić zasięg oraz kolizje.</w:t>
      </w:r>
    </w:p>
    <w:p>
      <w:pPr>
        <w:pStyle w:val="ListNumber"/>
      </w:pPr>
      <w:r>
        <w:t>Zamontować nowy robot i kontroler, przepiąć wejścia/wyjścia oraz obwody bezpieczeństwa.</w:t>
      </w:r>
    </w:p>
    <w:p>
      <w:pPr>
        <w:pStyle w:val="ListNumber"/>
      </w:pPr>
      <w:r>
        <w:t>Wczytać programy i zmienne, potem dane pomocnicze i systemowe. Każdy błąd wczytywania sprawdzić ręcznie.</w:t>
      </w:r>
    </w:p>
    <w:p>
      <w:pPr>
        <w:pStyle w:val="ListNumber"/>
      </w:pPr>
      <w:r>
        <w:t>Skonfigurować fieldbus po obu stronach, poprawić ekran operatorski.</w:t>
      </w:r>
    </w:p>
    <w:p>
      <w:pPr>
        <w:pStyle w:val="ListNumber"/>
      </w:pPr>
      <w:r>
        <w:t>Skorygować układ współrzędnych na podstawie punktów referencyjnych.</w:t>
      </w:r>
    </w:p>
    <w:p>
      <w:pPr>
        <w:pStyle w:val="ListNumber"/>
      </w:pPr>
      <w:r>
        <w:t>Przejechać wszystkie programy na małej prędkości, douczyć krytyczne punkty, zwalidować funkcje bezpieczeństwa.</w:t>
      </w:r>
    </w:p>
    <w:p>
      <w:pPr>
        <w:pStyle w:val="ListNumber"/>
      </w:pPr>
      <w:r>
        <w:t>Zrobić pełny backup nowego kontrolera i zaktualizować dokumentację stanowiska.</w:t>
      </w:r>
    </w:p>
    <w:p>
      <w:r>
        <w:t>Wskazówka praktyków przy przejściu na E (F ma jeszcze szybszy procesor): ciasne pętle w programach PC i w programie głównym warto spowolnić krótkim TWAIT (np. TWAIT 0.02), żeby kontroler pozostawał responsywny.</w:t>
      </w:r>
    </w:p>
    <w:p>
      <w:pPr>
        <w:spacing w:before="200"/>
      </w:pPr>
      <w:r>
        <w:rPr>
          <w:b/>
          <w:color w:val="1F4E79"/>
          <w:sz w:val="26"/>
        </w:rPr>
        <w:t>10. Ryzyka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012"/>
            <w:shd w:val="clear" w:color="auto" w:fill="DCE6F1"/>
          </w:tcPr>
          <w:p>
            <w:r/>
            <w:r>
              <w:rPr>
                <w:b/>
                <w:sz w:val="18"/>
              </w:rPr>
              <w:t>Ryzyko</w:t>
            </w:r>
          </w:p>
        </w:tc>
        <w:tc>
          <w:tcPr>
            <w:tcW w:type="dxa" w:w="3132"/>
            <w:shd w:val="clear" w:color="auto" w:fill="DCE6F1"/>
          </w:tcPr>
          <w:p>
            <w:r/>
            <w:r>
              <w:rPr>
                <w:b/>
                <w:sz w:val="18"/>
              </w:rPr>
              <w:t>Skutek</w:t>
            </w:r>
          </w:p>
        </w:tc>
        <w:tc>
          <w:tcPr>
            <w:tcW w:type="dxa" w:w="3494"/>
            <w:shd w:val="clear" w:color="auto" w:fill="DCE6F1"/>
          </w:tcPr>
          <w:p>
            <w:r/>
            <w:r>
              <w:rPr>
                <w:b/>
                <w:sz w:val="18"/>
              </w:rPr>
              <w:t>Jak ograniczyć</w:t>
            </w:r>
          </w:p>
        </w:tc>
      </w:tr>
      <w:tr>
        <w:tc>
          <w:tcPr>
            <w:tcW w:type="dxa" w:w="3012"/>
          </w:tcPr>
          <w:p>
            <w:r/>
            <w:r>
              <w:rPr>
                <w:sz w:val="18"/>
              </w:rPr>
              <w:t>Wczytanie pełnego backupu z D</w:t>
            </w:r>
          </w:p>
        </w:tc>
        <w:tc>
          <w:tcPr>
            <w:tcW w:type="dxa" w:w="3132"/>
          </w:tcPr>
          <w:p>
            <w:r/>
            <w:r>
              <w:rPr>
                <w:sz w:val="18"/>
              </w:rPr>
              <w:t>nadpisanie danych nowego robota, błędne pozycje</w:t>
            </w:r>
          </w:p>
        </w:tc>
        <w:tc>
          <w:tcPr>
            <w:tcW w:type="dxa" w:w="3494"/>
          </w:tcPr>
          <w:p>
            <w:r/>
            <w:r>
              <w:rPr>
                <w:sz w:val="18"/>
              </w:rPr>
              <w:t>wczytywać tylko wybrane typy danych</w:t>
            </w:r>
          </w:p>
        </w:tc>
      </w:tr>
      <w:tr>
        <w:tc>
          <w:tcPr>
            <w:tcW w:type="dxa" w:w="3012"/>
          </w:tcPr>
          <w:p>
            <w:r/>
            <w:r>
              <w:rPr>
                <w:sz w:val="18"/>
              </w:rPr>
              <w:t>Niespisana mapa I/O lub fieldbusa</w:t>
            </w:r>
          </w:p>
        </w:tc>
        <w:tc>
          <w:tcPr>
            <w:tcW w:type="dxa" w:w="3132"/>
          </w:tcPr>
          <w:p>
            <w:r/>
            <w:r>
              <w:rPr>
                <w:sz w:val="18"/>
              </w:rPr>
              <w:t>długi rozruch, błędy komunikacji z PLC</w:t>
            </w:r>
          </w:p>
        </w:tc>
        <w:tc>
          <w:tcPr>
            <w:tcW w:type="dxa" w:w="3494"/>
          </w:tcPr>
          <w:p>
            <w:r/>
            <w:r>
              <w:rPr>
                <w:sz w:val="18"/>
              </w:rPr>
              <w:t>dokumentacja i zdjęcia przed demontażem</w:t>
            </w:r>
          </w:p>
        </w:tc>
      </w:tr>
      <w:tr>
        <w:tc>
          <w:tcPr>
            <w:tcW w:type="dxa" w:w="3012"/>
          </w:tcPr>
          <w:p>
            <w:r/>
            <w:r>
              <w:rPr>
                <w:sz w:val="18"/>
              </w:rPr>
              <w:t>Pominięte opcje płatne</w:t>
            </w:r>
          </w:p>
        </w:tc>
        <w:tc>
          <w:tcPr>
            <w:tcW w:type="dxa" w:w="3132"/>
          </w:tcPr>
          <w:p>
            <w:r/>
            <w:r>
              <w:rPr>
                <w:sz w:val="18"/>
              </w:rPr>
              <w:t>brak funkcji po uruchomieniu</w:t>
            </w:r>
          </w:p>
        </w:tc>
        <w:tc>
          <w:tcPr>
            <w:tcW w:type="dxa" w:w="3494"/>
          </w:tcPr>
          <w:p>
            <w:r/>
            <w:r>
              <w:rPr>
                <w:sz w:val="18"/>
              </w:rPr>
              <w:t>lista opcji z kontrolera D przy zamówieniu</w:t>
            </w:r>
          </w:p>
        </w:tc>
      </w:tr>
      <w:tr>
        <w:tc>
          <w:tcPr>
            <w:tcW w:type="dxa" w:w="3012"/>
          </w:tcPr>
          <w:p>
            <w:r/>
            <w:r>
              <w:rPr>
                <w:sz w:val="18"/>
              </w:rPr>
              <w:t>Inny model niż zakładany</w:t>
            </w:r>
          </w:p>
        </w:tc>
        <w:tc>
          <w:tcPr>
            <w:tcW w:type="dxa" w:w="3132"/>
          </w:tcPr>
          <w:p>
            <w:r/>
            <w:r>
              <w:rPr>
                <w:sz w:val="18"/>
              </w:rPr>
              <w:t>inne zakresy osi i zasięg</w:t>
            </w:r>
          </w:p>
        </w:tc>
        <w:tc>
          <w:tcPr>
            <w:tcW w:type="dxa" w:w="3494"/>
          </w:tcPr>
          <w:p>
            <w:r/>
            <w:r>
              <w:rPr>
                <w:sz w:val="18"/>
              </w:rPr>
              <w:t>porównanie kart katalogowych, symulacja w neoROSET</w:t>
            </w:r>
          </w:p>
        </w:tc>
      </w:tr>
      <w:tr>
        <w:tc>
          <w:tcPr>
            <w:tcW w:type="dxa" w:w="3012"/>
          </w:tcPr>
          <w:p>
            <w:r/>
            <w:r>
              <w:rPr>
                <w:sz w:val="18"/>
              </w:rPr>
              <w:t>Zmiana układu bezpieczeństwa</w:t>
            </w:r>
          </w:p>
        </w:tc>
        <w:tc>
          <w:tcPr>
            <w:tcW w:type="dxa" w:w="3132"/>
          </w:tcPr>
          <w:p>
            <w:r/>
            <w:r>
              <w:rPr>
                <w:sz w:val="18"/>
              </w:rPr>
              <w:t>niezgodność z oceną ryzyka</w:t>
            </w:r>
          </w:p>
        </w:tc>
        <w:tc>
          <w:tcPr>
            <w:tcW w:type="dxa" w:w="3494"/>
          </w:tcPr>
          <w:p>
            <w:r/>
            <w:r>
              <w:rPr>
                <w:sz w:val="18"/>
              </w:rPr>
              <w:t>walidacja i aktualizacja dokumentacji</w:t>
            </w:r>
          </w:p>
        </w:tc>
      </w:tr>
      <w:tr>
        <w:tc>
          <w:tcPr>
            <w:tcW w:type="dxa" w:w="3012"/>
          </w:tcPr>
          <w:p>
            <w:r/>
            <w:r>
              <w:rPr>
                <w:sz w:val="18"/>
              </w:rPr>
              <w:t>Utrata danych z D (stary nośnik, bateria)</w:t>
            </w:r>
          </w:p>
        </w:tc>
        <w:tc>
          <w:tcPr>
            <w:tcW w:type="dxa" w:w="3132"/>
          </w:tcPr>
          <w:p>
            <w:r/>
            <w:r>
              <w:rPr>
                <w:sz w:val="18"/>
              </w:rPr>
              <w:t>brak programów do przeniesienia</w:t>
            </w:r>
          </w:p>
        </w:tc>
        <w:tc>
          <w:tcPr>
            <w:tcW w:type="dxa" w:w="3494"/>
          </w:tcPr>
          <w:p>
            <w:r/>
            <w:r>
              <w:rPr>
                <w:sz w:val="18"/>
              </w:rPr>
              <w:t>backup na PC z wyprzedzeniem</w:t>
            </w:r>
          </w:p>
        </w:tc>
      </w:tr>
    </w:tbl>
    <w:p/>
    <w:p>
      <w:pPr>
        <w:spacing w:before="200"/>
      </w:pPr>
      <w:r>
        <w:rPr>
          <w:b/>
          <w:color w:val="1F4E79"/>
          <w:sz w:val="26"/>
        </w:rPr>
        <w:t>11. Weryfikacja i korekty wcześniejszych informacji</w:t>
      </w:r>
    </w:p>
    <w:p>
      <w:pPr>
        <w:pStyle w:val="ListBullet"/>
      </w:pPr>
      <w:r>
        <w:t>Korekta: kontrolery F0x mają standardowo 32 wejścia i 32 wyjścia (do 64/64 w szafie, 128/128 z remote I/O), a nie 16, jak wynikało z wypowiedzi na forum.</w:t>
      </w:r>
    </w:p>
    <w:p>
      <w:pPr>
        <w:pStyle w:val="ListBullet"/>
      </w:pPr>
      <w:r>
        <w:t>Korekta: typ modułu fieldbus w F (HMS CompactCom) pochodził z forum i nie znalazłem go w dokumentacji Kawasaki. Potwierdzone jest tylko, że to opcjonalny moduł na złączu XAB (slave) lub karta PCIe (master).</w:t>
      </w:r>
    </w:p>
    <w:p>
      <w:pPr>
        <w:pStyle w:val="ListBullet"/>
      </w:pPr>
      <w:r>
        <w:t>Doprecyzowanie: „ten sam model ramienia” z nowszym kontrolerem istnieje dla części rodzin (MX, ZX130L, ZX165U, ZX200S, ZX300S, MT400N). Dla innych jest to następca, którego kartę katalogową trzeba porównać.</w:t>
      </w:r>
    </w:p>
    <w:p>
      <w:pPr>
        <w:pStyle w:val="ListBullet"/>
      </w:pPr>
      <w:r>
        <w:t>Korekta: ControlNet nie był dostępny dla kontrolera D, tylko dla E (lista kodów produktów w instrukcji fieldbusa 90210-1184, tabela X3).</w:t>
      </w:r>
    </w:p>
    <w:p>
      <w:pPr>
        <w:pStyle w:val="ListBullet"/>
      </w:pPr>
      <w:r>
        <w:t>Korekta: aktualna strona F02 wymienia ZX130L, ZX165U, ZX200S i MT400N, więc te ramiona też są dostępne z F.</w:t>
      </w:r>
    </w:p>
    <w:p>
      <w:pPr>
        <w:pStyle w:val="ListBullet"/>
      </w:pPr>
      <w:r>
        <w:t>Doprecyzowanie: instrukcja AS opisuje samo SAVE jako zapis pięciu typów danych (programy, punkty, liczby, teksty, dane systemowe). To, że plik pełnego backupu zawiera też dane robota, wynika z praktyki i z okna wczytywania w neoROSET, a nie z opisu polecenia.</w:t>
      </w:r>
    </w:p>
    <w:p>
      <w:pPr>
        <w:pStyle w:val="ListBullet"/>
      </w:pPr>
      <w:r>
        <w:t>Potwierdzone w dokumentacji: polecenia SAVE/P, /L, /R, /S, /A, /SYS i /ROB oraz LOAD/Q w kontrolerach D i F; zachowanie płytki Arm ID (wybór strony ramienia lub kontrolera); E0x jako poprzednik F0x; wersje A/B kontrolerów F0x; wczytywanie backupów D, D+, E i F w neoROSET.</w:t>
      </w:r>
    </w:p>
    <w:p>
      <w:pPr>
        <w:pStyle w:val="ListBullet"/>
      </w:pPr>
      <w:r>
        <w:t>Oparte na doświadczeniu praktyków (forum robot-forum.com), nie na dokumentacji Kawasaki: metoda wycinania sekcji z backupu, nieprzenoszenie wartości BITS na panelu, wskazówka z TWAIT, przeliczanie punktów joint na transformacje, ocena zgodności danych pomocniczych i systemowych.</w:t>
      </w:r>
    </w:p>
    <w:p>
      <w:pPr>
        <w:pStyle w:val="ListBullet"/>
      </w:pPr>
      <w:r>
        <w:t>Każde twierdzenie z raportu ma przypisane źródło (dokument, rozdział, strona) w osobnym pliku Zrodla_i_odwolania.md.</w:t>
      </w:r>
    </w:p>
    <w:p>
      <w:pPr>
        <w:spacing w:before="200"/>
      </w:pPr>
      <w:r>
        <w:rPr>
          <w:b/>
          <w:color w:val="1F4E79"/>
          <w:sz w:val="26"/>
        </w:rPr>
        <w:t>12. Do potwierdzenia w serwisie Kawasaki przed zakupem</w:t>
      </w:r>
    </w:p>
    <w:p>
      <w:pPr>
        <w:pStyle w:val="ListBullet"/>
      </w:pPr>
      <w:r>
        <w:t>Dokładny model docelowy (kod z oznaczeniem kontrolera) i jego zgodność wymiarowa ze starym ramieniem.</w:t>
      </w:r>
    </w:p>
    <w:p>
      <w:pPr>
        <w:pStyle w:val="ListBullet"/>
      </w:pPr>
      <w:r>
        <w:t>Dostępność wybranego wariantu z kontrolerem E, jeśli ten wariant jest brany pod uwagę.</w:t>
      </w:r>
    </w:p>
    <w:p>
      <w:pPr>
        <w:pStyle w:val="ListBullet"/>
      </w:pPr>
      <w:r>
        <w:t>Dostępność potrzebnej sieci fieldbus i opcji (np. Software PLC zamiast K-Logic) dla kontrolera F0x - lista sieci dla F0x jest w instrukcji 90210-1326, której nie ma publicznie.</w:t>
      </w:r>
    </w:p>
    <w:p>
      <w:pPr>
        <w:pStyle w:val="ListBullet"/>
      </w:pPr>
      <w:r>
        <w:t>Przypisanie pinów złącza I/O w F0x względem karty 1HW/1GW z kontrolera D.</w:t>
      </w:r>
    </w:p>
    <w:p>
      <w:pPr>
        <w:pStyle w:val="ListBullet"/>
      </w:pPr>
      <w:r>
        <w:t>Wersja kontrolera F (A z Cubic-S albo B z CoreCubic-S) - nie każde ramię współpracuje z wersją B.</w:t>
      </w:r>
    </w:p>
    <w:p>
      <w:pPr>
        <w:pStyle w:val="ListBullet"/>
      </w:pPr>
      <w:r>
        <w:t>Czy Kawasaki oferuje usługę lub narzędzie do konwersji danych z D na F.</w:t>
      </w:r>
    </w:p>
    <w:p>
      <w:pPr>
        <w:spacing w:before="200"/>
      </w:pPr>
      <w:r>
        <w:rPr>
          <w:b/>
          <w:color w:val="1F4E79"/>
          <w:sz w:val="26"/>
        </w:rPr>
        <w:t>13. Źródła</w:t>
      </w:r>
    </w:p>
    <w:p>
      <w:r>
        <w:t>Dokumentacja i strony Kawasaki:</w:t>
      </w:r>
    </w:p>
    <w:p>
      <w:pPr>
        <w:pStyle w:val="ListBullet"/>
      </w:pPr>
      <w:r>
        <w:t>Lista wycofanych modeli i zasada dostaw części (08.2023): kawasakirobotics.com/uploads/sites/2/2023/08/202308product-discontinuation-list.pdf</w:t>
      </w:r>
    </w:p>
    <w:p>
      <w:pPr>
        <w:pStyle w:val="ListBullet"/>
      </w:pPr>
      <w:r>
        <w:t>Retired Models (części do 10 lat): kawasakirobotics.com/products/retired-models/</w:t>
      </w:r>
    </w:p>
    <w:p>
      <w:pPr>
        <w:pStyle w:val="ListBullet"/>
      </w:pPr>
      <w:r>
        <w:t>Specyfikacja kontrolerów F0x (90152-0091DEE): kawasakirobotics.com/uploads/sites/2/2022/01/F0x-E-1-1.pdf</w:t>
      </w:r>
    </w:p>
    <w:p>
      <w:pPr>
        <w:pStyle w:val="ListBullet"/>
      </w:pPr>
      <w:r>
        <w:t>Instrukcja instalacji F0x (90202-1252DEH): kawasakirobotics.com/uploads/sites/2/2022/01/F0x_Series_Controller-Installation_and_Connection_Manual-E-4.pdf</w:t>
      </w:r>
    </w:p>
    <w:p>
      <w:pPr>
        <w:pStyle w:val="ListBullet"/>
      </w:pPr>
      <w:r>
        <w:t>Strony kontrolerów F02, F04, E02 i E04: kawasakirobotics.com/products-controllers/</w:t>
      </w:r>
    </w:p>
    <w:p>
      <w:pPr>
        <w:pStyle w:val="ListBullet"/>
      </w:pPr>
      <w:r>
        <w:t>AS Language Reference Manual, kontroler F (90209-1025DEB) i kontroler D (90209-1017) - rozdział 5.3, SAVE/LOAD</w:t>
      </w:r>
    </w:p>
    <w:p>
      <w:pPr>
        <w:pStyle w:val="ListBullet"/>
      </w:pPr>
      <w:r>
        <w:t>General Fieldbus I/O Usage Manual, kontrolery D/E (90210-1184DEK)</w:t>
      </w:r>
    </w:p>
    <w:p>
      <w:pPr>
        <w:pStyle w:val="ListBullet"/>
      </w:pPr>
      <w:r>
        <w:t>Arm ID Board Instruction Manual, kontroler D (90210-1174DEA)</w:t>
      </w:r>
    </w:p>
    <w:p>
      <w:pPr>
        <w:pStyle w:val="ListBullet"/>
      </w:pPr>
      <w:r>
        <w:t>Installation and Connection Manual, kontroler D (D30-D34) oraz broszura kontrolera D (Kawasaki Robotics USA)</w:t>
      </w:r>
    </w:p>
    <w:p>
      <w:pPr>
        <w:pStyle w:val="ListBullet"/>
      </w:pPr>
      <w:r>
        <w:t>Katalog Kawasaki Robot (Cat. No. 3L2521, 09.2025) - opcje kontrolera F60</w:t>
      </w:r>
    </w:p>
    <w:p>
      <w:pPr>
        <w:pStyle w:val="ListBullet"/>
      </w:pPr>
      <w:r>
        <w:t>neoROSET Operation Manual (90210-1515DED) oraz broszura neoROSET: kawasakirobotics.com/uploads/sites/2/2026/02/neoROSET_EN_no.2645.pdf</w:t>
      </w:r>
    </w:p>
    <w:p>
      <w:pPr>
        <w:pStyle w:val="ListBullet"/>
      </w:pPr>
      <w:r>
        <w:t>Komunikat Kawasaki o kontrolerach E jako następcy D (29.09.2008): global.kawasaki.com</w:t>
      </w:r>
    </w:p>
    <w:p>
      <w:pPr>
        <w:pStyle w:val="ListBullet"/>
      </w:pPr>
      <w:r>
        <w:t>Kawasaki Robotics, „Tips for an Industrial Robotics Upgrade or Retrofit”: kawasakirobotics.com/blog/</w:t>
      </w:r>
    </w:p>
    <w:p>
      <w:r>
        <w:t>Źródła praktyków (robot-forum.com, wątki 38312, 49046, 43051, 41303, 36020) - wykorzystane tylko jako uzupełnienie i oznaczone w rozdziale 11. Dokładne miejsca w dokumentach (rozdział, strona, cytat) są w pliku Zrodla_i_odwolania.md.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