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Robotics Application Engineer</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Robotics application engineering profile: Mechanical Engineering student at Cracow University of Technology and certified Software Technician. Currently a Robotics Engineer at ASTOR, programming Kawasaki and Epson robots, building digital twins of production lines and deploying robot demonstration stations across different applications. Earlier Application Engineer experience in robotics simulation and digital twins (Visual Components) for automotive clients, including Python scripting for process optimization and simulation improvements. Certified courses in industrial robot programming (Kawasaki, Epson). Built a SCARA robotic arm from scratch - CAD, 3D printing, stepper drives, microcontroller electronics and Python/C++ control software. Strong CAD modelling and 3D-printing background. Native Polish, English C1; based in Poland, available full-time and open to extensive travel to customer sites.</w:t>
      </w:r>
    </w:p>
    <w:p>
      <w:pPr>
        <w:spacing w:before="120" w:after="40"/>
      </w:pPr>
      <w:r>
        <w:rPr>
          <w:b/>
          <w:color w:val="1F4E79"/>
          <w:sz w:val="20"/>
        </w:rPr>
        <w:t>KEY SKILLS</w:t>
      </w:r>
    </w:p>
    <w:p>
      <w:pPr>
        <w:pStyle w:val="ListBullet"/>
        <w:spacing w:after="20"/>
        <w:ind w:left="198"/>
      </w:pPr>
      <w:r>
        <w:t>Industrial robot programming: Kawasaki and Epson robots (certified courses) - teach pendant workflows, motion programs and robot cell testing; fast learner of FANUC, ABB and UR environments.</w:t>
      </w:r>
    </w:p>
    <w:p>
      <w:pPr>
        <w:pStyle w:val="ListBullet"/>
        <w:spacing w:after="20"/>
        <w:ind w:left="198"/>
      </w:pPr>
      <w:r>
        <w:t>Python: solid scripting skills - process-optimization and simulation-improvement scripts in Visual Components, automation and calculation tools; C++ and Arduino/C for hardware control.</w:t>
      </w:r>
    </w:p>
    <w:p>
      <w:pPr>
        <w:pStyle w:val="ListBullet"/>
        <w:spacing w:after="20"/>
        <w:ind w:left="198"/>
      </w:pPr>
      <w:r>
        <w:t>Robotics simulation &amp; digital twins: Visual Components workcells for automotive clients - robot paths, collision checks, cycle flows, layout optimization and virtual process validation.</w:t>
      </w:r>
    </w:p>
    <w:p>
      <w:pPr>
        <w:pStyle w:val="ListBullet"/>
        <w:spacing w:after="20"/>
        <w:ind w:left="198"/>
      </w:pPr>
      <w:r>
        <w:t>Customer-facing engineering: working with client documentation and automotive engineering standards; communicating simulation assumptions and improvement proposals to engineers and stakeholders.</w:t>
      </w:r>
    </w:p>
    <w:p>
      <w:pPr>
        <w:pStyle w:val="ListBullet"/>
        <w:spacing w:after="20"/>
        <w:ind w:left="198"/>
      </w:pPr>
      <w:r>
        <w:t>CAD modelling &amp; 3D printing: SolidWorks, Autodesk Inventor, Fusion 360, AutoCAD; FDM/SLA/MJF rapid prototyping, design for manufacturing and reverse engineering.</w:t>
      </w:r>
    </w:p>
    <w:p>
      <w:pPr>
        <w:pStyle w:val="ListBullet"/>
        <w:spacing w:after="20"/>
        <w:ind w:left="198"/>
      </w:pPr>
      <w:r>
        <w:t>Systems integration: SCARA arm built end-to-end (mechanics, electronics, software); hardware-software integration, testing and iterative debugging.</w:t>
      </w:r>
    </w:p>
    <w:p>
      <w:pPr>
        <w:pStyle w:val="ListBullet"/>
        <w:spacing w:after="20"/>
        <w:ind w:left="198"/>
      </w:pPr>
      <w:r>
        <w:t>Work style: proactive, autonomous and quality-focused; native Polish, English C1; open to extensive travel to customer sites.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