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34"/>
        </w:rPr>
        <w:t>Wymiana robota Kawasaki z kontrolerem serii D na ten sam model z kontrolerem serii E lub F</w:t>
      </w:r>
    </w:p>
    <w:p>
      <w:r>
        <w:rPr>
          <w:sz w:val="22"/>
        </w:rPr>
        <w:t>Co da się przenieść ze starego kontrolera, co trzeba wykonać od nowa i na co uważać</w:t>
      </w:r>
    </w:p>
    <w:p>
      <w:pPr>
        <w:spacing w:after="0"/>
      </w:pPr>
      <w:r>
        <w:rPr>
          <w:b/>
        </w:rPr>
        <w:t xml:space="preserve">Data: </w:t>
      </w:r>
      <w:r>
        <w:t>13.10.2026</w:t>
      </w:r>
    </w:p>
    <w:p>
      <w:pPr>
        <w:spacing w:after="0"/>
      </w:pPr>
      <w:r>
        <w:rPr>
          <w:b/>
        </w:rPr>
        <w:t xml:space="preserve">Przygotował: </w:t>
      </w:r>
      <w:r>
        <w:t>[imię i nazwisko]</w:t>
      </w:r>
    </w:p>
    <w:p>
      <w:pPr>
        <w:spacing w:after="0"/>
      </w:pPr>
      <w:r>
        <w:rPr>
          <w:b/>
        </w:rPr>
        <w:t xml:space="preserve">Status: </w:t>
      </w:r>
      <w:r>
        <w:t>Analiza na podstawie dokumentacji Kawasaki i źródeł praktyków; do potwierdzenia w serwisie Kawasaki przed zakupem</w:t>
      </w:r>
    </w:p>
    <w:p/>
    <w:p>
      <w:pPr>
        <w:spacing w:before="200"/>
      </w:pPr>
      <w:r>
        <w:rPr>
          <w:b/>
          <w:color w:val="1F4E79"/>
          <w:sz w:val="26"/>
        </w:rPr>
        <w:t>1. Podsumowanie</w:t>
      </w:r>
    </w:p>
    <w:p>
      <w:pPr>
        <w:pStyle w:val="ListBullet"/>
      </w:pPr>
      <w:r>
        <w:t>Przy wymianie robota razem z kontrolerem na ten sam model ramienia da się przenieść prawie całą aplikację: programy AS i programy blokowe, wszystkie zmienne (punkty, liczby, teksty), dane pomocnicze oraz większość danych systemowych.</w:t>
      </w:r>
    </w:p>
    <w:p>
      <w:pPr>
        <w:pStyle w:val="ListBullet"/>
      </w:pPr>
      <w:r>
        <w:t>Nie wolno wczytywać pełnego backupu z kontrolera D. Zawiera on dane robota (model, numer seryjny, zerowanie, parametry serwo), które nadpisałyby fabryczną konfigurację nowego ramienia. Dane przenosi się selektywnie, poleceniami SAVE/P, /L, /R, /S, /A i /SYS, które istnieją zarówno w D, jak i w E/F.</w:t>
      </w:r>
    </w:p>
    <w:p>
      <w:pPr>
        <w:pStyle w:val="ListBullet"/>
      </w:pPr>
      <w:r>
        <w:t>Od nowa trzeba wykonać część sprzętową: okablowanie wejść/wyjść i obwodów bezpieczeństwa, konfigurację fieldbusa (również po stronie PLC) oraz zamówienie opcji płatnych na nowym kontrolerze.</w:t>
      </w:r>
    </w:p>
    <w:p>
      <w:pPr>
        <w:pStyle w:val="ListBullet"/>
      </w:pPr>
      <w:r>
        <w:t>Programy pojadą prawie poprawnie, ale nowy egzemplarz ramienia ma własne zerowanie i nigdy nie stanie idealnie w miejscu starego. Krytyczne punkty trzeba sprawdzić i douczyć.</w:t>
      </w:r>
    </w:p>
    <w:p>
      <w:pPr>
        <w:pStyle w:val="ListBullet"/>
      </w:pPr>
      <w:r>
        <w:t>Ten sam model ramienia rzeczywiście występuje w kilku generacjach: MX350L/MX420L/MX500N/MX700N (D, E, F04) oraz ZX300S (D, E, F02). Dla innych rodzin (np. seria FS) następcą jest inny model (seria RS).</w:t>
      </w:r>
    </w:p>
    <w:p>
      <w:pPr>
        <w:pStyle w:val="ListBullet"/>
      </w:pPr>
      <w:r>
        <w:t>Warianty robotów z kontrolerem D zakończyły produkcję głównie w latach 2010-2014. Kawasaki gwarantuje części przez maksymalnie 10 lat od zakończenia produkcji, więc dla większości robotów z D to okno już minęło. Większość wariantów z kontrolerem E wycofano w latach 2019-2024, więc nowy zakup to w praktyce kontroler F.</w:t>
      </w:r>
    </w:p>
    <w:p>
      <w:pPr>
        <w:spacing w:before="200"/>
      </w:pPr>
      <w:r>
        <w:rPr>
          <w:b/>
          <w:color w:val="1F4E79"/>
          <w:sz w:val="26"/>
        </w:rPr>
        <w:t>2. Założenia analizowanego scenariusza</w:t>
      </w:r>
    </w:p>
    <w:p>
      <w:pPr>
        <w:pStyle w:val="ListBullet"/>
      </w:pPr>
      <w:r>
        <w:t>Obecnie: robot Kawasaki z kontrolerem serii D (np. D2x/D3x/D4x/D7x).</w:t>
      </w:r>
    </w:p>
    <w:p>
      <w:pPr>
        <w:pStyle w:val="ListBullet"/>
      </w:pPr>
      <w:r>
        <w:t>Docelowo: ten sam model ramienia z nowym kontrolerem serii E lub F, dostarczony jako para z fabryki.</w:t>
      </w:r>
    </w:p>
    <w:p>
      <w:pPr>
        <w:pStyle w:val="ListBullet"/>
      </w:pPr>
      <w:r>
        <w:t>Stanowisko się nie zmienia: robot stoi w tym samym miejscu, ma ten sam chwytak, te same urządzenia peryferyjne i ten sam program.</w:t>
      </w:r>
    </w:p>
    <w:p>
      <w:pPr>
        <w:spacing w:before="200"/>
      </w:pPr>
      <w:r>
        <w:rPr>
          <w:b/>
          <w:color w:val="1F4E79"/>
          <w:sz w:val="26"/>
        </w:rPr>
        <w:t>3. Czy „ten sam model ramienia” jest dostępny z kontrolerem E lub F</w:t>
      </w:r>
    </w:p>
    <w:p>
      <w:r>
        <w:t>Kawasaki sprzedaje ramię i kontroler jako parę. Kod modelu zawiera oznaczenie kontrolera, np. MX420L_D24 (z kontrolerem D) i MX420L_E24 (z kontrolerem E). Z oficjalnej listy wycofanych modeli i stron kontrolerów wynika: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41"/>
            <w:shd w:val="clear" w:color="auto" w:fill="DCE6F1"/>
          </w:tcPr>
          <w:p>
            <w:r/>
            <w:r>
              <w:rPr>
                <w:b/>
                <w:sz w:val="18"/>
              </w:rPr>
              <w:t>Rodzina ramion</w:t>
            </w:r>
          </w:p>
        </w:tc>
        <w:tc>
          <w:tcPr>
            <w:tcW w:type="dxa" w:w="1652"/>
            <w:shd w:val="clear" w:color="auto" w:fill="DCE6F1"/>
          </w:tcPr>
          <w:p>
            <w:r/>
            <w:r>
              <w:rPr>
                <w:b/>
                <w:sz w:val="18"/>
              </w:rPr>
              <w:t>Z kontrolerem D</w:t>
            </w:r>
          </w:p>
        </w:tc>
        <w:tc>
          <w:tcPr>
            <w:tcW w:type="dxa" w:w="1652"/>
            <w:shd w:val="clear" w:color="auto" w:fill="DCE6F1"/>
          </w:tcPr>
          <w:p>
            <w:r/>
            <w:r>
              <w:rPr>
                <w:b/>
                <w:sz w:val="18"/>
              </w:rPr>
              <w:t>Z kontrolerem E</w:t>
            </w:r>
          </w:p>
        </w:tc>
        <w:tc>
          <w:tcPr>
            <w:tcW w:type="dxa" w:w="3993"/>
            <w:shd w:val="clear" w:color="auto" w:fill="DCE6F1"/>
          </w:tcPr>
          <w:p>
            <w:r/>
            <w:r>
              <w:rPr>
                <w:b/>
                <w:sz w:val="18"/>
              </w:rPr>
              <w:t>Z kontrolerem F (obecnie)</w:t>
            </w:r>
          </w:p>
        </w:tc>
      </w:tr>
      <w:tr>
        <w:tc>
          <w:tcPr>
            <w:tcW w:type="dxa" w:w="2341"/>
          </w:tcPr>
          <w:p>
            <w:r/>
            <w:r>
              <w:rPr>
                <w:sz w:val="18"/>
              </w:rPr>
              <w:t>MX350L, MX420L, MX500N, MX700N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3993"/>
          </w:tcPr>
          <w:p>
            <w:r/>
            <w:r>
              <w:rPr>
                <w:sz w:val="18"/>
              </w:rPr>
              <w:t>tak, F04</w:t>
            </w:r>
          </w:p>
        </w:tc>
      </w:tr>
      <w:tr>
        <w:tc>
          <w:tcPr>
            <w:tcW w:type="dxa" w:w="2341"/>
          </w:tcPr>
          <w:p>
            <w:r/>
            <w:r>
              <w:rPr>
                <w:sz w:val="18"/>
              </w:rPr>
              <w:t>ZX300S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 (E02)</w:t>
            </w:r>
          </w:p>
        </w:tc>
        <w:tc>
          <w:tcPr>
            <w:tcW w:type="dxa" w:w="3993"/>
          </w:tcPr>
          <w:p>
            <w:r/>
            <w:r>
              <w:rPr>
                <w:sz w:val="18"/>
              </w:rPr>
              <w:t>tak, F02</w:t>
            </w:r>
          </w:p>
        </w:tc>
      </w:tr>
      <w:tr>
        <w:tc>
          <w:tcPr>
            <w:tcW w:type="dxa" w:w="2341"/>
          </w:tcPr>
          <w:p>
            <w:r/>
            <w:r>
              <w:rPr>
                <w:sz w:val="18"/>
              </w:rPr>
              <w:t>ZX130S/L, ZX165U, ZX200S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 (E02)</w:t>
            </w:r>
          </w:p>
        </w:tc>
        <w:tc>
          <w:tcPr>
            <w:tcW w:type="dxa" w:w="3993"/>
          </w:tcPr>
          <w:p>
            <w:r/>
            <w:r>
              <w:rPr>
                <w:sz w:val="18"/>
              </w:rPr>
              <w:t>nie ma na liście F02; seria Z ogólnie w instrukcji F0x - do potwierdzenia</w:t>
            </w:r>
          </w:p>
        </w:tc>
      </w:tr>
      <w:tr>
        <w:tc>
          <w:tcPr>
            <w:tcW w:type="dxa" w:w="2341"/>
          </w:tcPr>
          <w:p>
            <w:r/>
            <w:r>
              <w:rPr>
                <w:sz w:val="18"/>
              </w:rPr>
              <w:t>MT (np. MT400N)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3993"/>
          </w:tcPr>
          <w:p>
            <w:r/>
            <w:r>
              <w:rPr>
                <w:sz w:val="18"/>
              </w:rPr>
              <w:t>seria MT w specyfikacji F02 - do potwierdzenia dla konkretnego modelu</w:t>
            </w:r>
          </w:p>
        </w:tc>
      </w:tr>
      <w:tr>
        <w:tc>
          <w:tcPr>
            <w:tcW w:type="dxa" w:w="2341"/>
          </w:tcPr>
          <w:p>
            <w:r/>
            <w:r>
              <w:rPr>
                <w:sz w:val="18"/>
              </w:rPr>
              <w:t>FS (np. FS010N, FS020N)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tak</w:t>
            </w:r>
          </w:p>
        </w:tc>
        <w:tc>
          <w:tcPr>
            <w:tcW w:type="dxa" w:w="1652"/>
          </w:tcPr>
          <w:p>
            <w:r/>
            <w:r>
              <w:rPr>
                <w:sz w:val="18"/>
              </w:rPr>
              <w:t>nie</w:t>
            </w:r>
          </w:p>
        </w:tc>
        <w:tc>
          <w:tcPr>
            <w:tcW w:type="dxa" w:w="3993"/>
          </w:tcPr>
          <w:p>
            <w:r/>
            <w:r>
              <w:rPr>
                <w:sz w:val="18"/>
              </w:rPr>
              <w:t>nie; następca to seria RS (np. RS010N, RS020N)</w:t>
            </w:r>
          </w:p>
        </w:tc>
      </w:tr>
    </w:tbl>
    <w:p/>
    <w:p>
      <w:r>
        <w:rPr>
          <w:i/>
          <w:sz w:val="18"/>
        </w:rPr>
        <w:t>Źródła: lista wycofanych modeli Kawasaki (08.2023), strony produktów F02, F04 i E02, specyfikacja F0x. Gdy „ten sam model” jest następcą, przed zamówieniem trzeba porównać karty katalogowe: zakresy osi, zasięg, wymiary podstawy i kołnierza.</w:t>
      </w:r>
    </w:p>
    <w:p>
      <w:pPr>
        <w:spacing w:before="200"/>
      </w:pPr>
      <w:r>
        <w:rPr>
          <w:b/>
          <w:color w:val="1F4E79"/>
          <w:sz w:val="26"/>
        </w:rPr>
        <w:t>4. Dostępność części dla kontrolerów D i 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07"/>
            <w:shd w:val="clear" w:color="auto" w:fill="DCE6F1"/>
          </w:tcPr>
          <w:p>
            <w:r/>
            <w:r>
              <w:rPr>
                <w:b/>
                <w:sz w:val="18"/>
              </w:rPr>
              <w:t>Generacja</w:t>
            </w:r>
          </w:p>
        </w:tc>
        <w:tc>
          <w:tcPr>
            <w:tcW w:type="dxa" w:w="3614"/>
            <w:shd w:val="clear" w:color="auto" w:fill="DCE6F1"/>
          </w:tcPr>
          <w:p>
            <w:r/>
            <w:r>
              <w:rPr>
                <w:b/>
                <w:sz w:val="18"/>
              </w:rPr>
              <w:t>Zakończenie produkcji wariantów robot+kontroler</w:t>
            </w:r>
          </w:p>
        </w:tc>
        <w:tc>
          <w:tcPr>
            <w:tcW w:type="dxa" w:w="4217"/>
            <w:shd w:val="clear" w:color="auto" w:fill="DCE6F1"/>
          </w:tcPr>
          <w:p>
            <w:r/>
            <w:r>
              <w:rPr>
                <w:b/>
                <w:sz w:val="18"/>
              </w:rPr>
              <w:t>Gwarancja części (zasada Kawasaki: do 10 lat)</w:t>
            </w:r>
          </w:p>
        </w:tc>
      </w:tr>
      <w:tr>
        <w:tc>
          <w:tcPr>
            <w:tcW w:type="dxa" w:w="1807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głównie 03.2010-01.2014 (pojedyncze modele 2015-2022)</w:t>
            </w:r>
          </w:p>
        </w:tc>
        <w:tc>
          <w:tcPr>
            <w:tcW w:type="dxa" w:w="4217"/>
          </w:tcPr>
          <w:p>
            <w:r/>
            <w:r>
              <w:rPr>
                <w:sz w:val="18"/>
              </w:rPr>
              <w:t>dla większości modeli minęła w latach 2020-2024</w:t>
            </w:r>
          </w:p>
        </w:tc>
      </w:tr>
      <w:tr>
        <w:tc>
          <w:tcPr>
            <w:tcW w:type="dxa" w:w="1807"/>
          </w:tcPr>
          <w:p>
            <w:r/>
            <w:r>
              <w:rPr>
                <w:sz w:val="18"/>
              </w:rPr>
              <w:t>E (E1x-E4x i inne)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głównie 2019-02.2024</w:t>
            </w:r>
          </w:p>
        </w:tc>
        <w:tc>
          <w:tcPr>
            <w:tcW w:type="dxa" w:w="4217"/>
          </w:tcPr>
          <w:p>
            <w:r/>
            <w:r>
              <w:rPr>
                <w:sz w:val="18"/>
              </w:rPr>
              <w:t>orientacyjnie do 2029-2034</w:t>
            </w:r>
          </w:p>
        </w:tc>
      </w:tr>
      <w:tr>
        <w:tc>
          <w:tcPr>
            <w:tcW w:type="dxa" w:w="1807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aktualna generacja</w:t>
            </w:r>
          </w:p>
        </w:tc>
        <w:tc>
          <w:tcPr>
            <w:tcW w:type="dxa" w:w="4217"/>
          </w:tcPr>
          <w:p>
            <w:r/>
            <w:r>
              <w:rPr>
                <w:sz w:val="18"/>
              </w:rPr>
              <w:t>aktualnie produkowana</w:t>
            </w:r>
          </w:p>
        </w:tc>
      </w:tr>
    </w:tbl>
    <w:p/>
    <w:p>
      <w:r>
        <w:t>Kawasaki deklaruje, że będzie starać się dostarczać części także po tym okresie, ale nie gwarantuje dostępności, a terminy dostaw mogą się wydłużać. Kawasaki Robotics wprost zaleca modernizację robotów z kontrolerami A, B, C i D, bo części do nich nie są już dostarczane. Wybór kontrolera E przy nowym zakupie oznacza generację w większości już wycofaną; E ma sens głównie przy ujednolicaniu parku maszyn i tylko po potwierdzeniu dostępności u dystrybutora.</w:t>
      </w:r>
    </w:p>
    <w:p>
      <w:pPr>
        <w:spacing w:before="200"/>
      </w:pPr>
      <w:r>
        <w:rPr>
          <w:b/>
          <w:color w:val="1F4E79"/>
          <w:sz w:val="26"/>
        </w:rPr>
        <w:t>5. Co przenosi się ze starego kontrolera</w:t>
      </w:r>
    </w:p>
    <w:p>
      <w:r>
        <w:t>Kontroler D i kontrolery E/F mają te same polecenia zapisu poszczególnych typów danych. Każdy typ można zapisać do osobnego pliku i wczytać osobno poleceniem 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69"/>
            <w:shd w:val="clear" w:color="auto" w:fill="DCE6F1"/>
          </w:tcPr>
          <w:p>
            <w:r/>
            <w:r>
              <w:rPr>
                <w:b/>
                <w:sz w:val="18"/>
              </w:rPr>
              <w:t>Dane</w:t>
            </w:r>
          </w:p>
        </w:tc>
        <w:tc>
          <w:tcPr>
            <w:tcW w:type="dxa" w:w="1446"/>
            <w:shd w:val="clear" w:color="auto" w:fill="DCE6F1"/>
          </w:tcPr>
          <w:p>
            <w:r/>
            <w:r>
              <w:rPr>
                <w:b/>
                <w:sz w:val="18"/>
              </w:rPr>
              <w:t>Polecenie</w:t>
            </w:r>
          </w:p>
        </w:tc>
        <w:tc>
          <w:tcPr>
            <w:tcW w:type="dxa" w:w="1566"/>
            <w:shd w:val="clear" w:color="auto" w:fill="DCE6F1"/>
          </w:tcPr>
          <w:p>
            <w:r/>
            <w:r>
              <w:rPr>
                <w:b/>
                <w:sz w:val="18"/>
              </w:rPr>
              <w:t>Ocena</w:t>
            </w:r>
          </w:p>
        </w:tc>
        <w:tc>
          <w:tcPr>
            <w:tcW w:type="dxa" w:w="4457"/>
            <w:shd w:val="clear" w:color="auto" w:fill="DCE6F1"/>
          </w:tcPr>
          <w:p>
            <w:r/>
            <w:r>
              <w:rPr>
                <w:b/>
                <w:sz w:val="18"/>
              </w:rPr>
              <w:t>Uwagi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Programy AS i programy blokowe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SAVE/P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Przenosi się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Język AS jest zgodny wstecz. KRterm pokaże przy wczytywaniu linie, których nowy kontroler nie przyjmie.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Punkty (zmienne pozycji)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SAVE/L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Przenosi się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Wartości przechodzą 1:1, ale nowy egzemplarz ramienia wymaga sprawdzenia punktów (rozdział 7).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Zmienne liczbowe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SAVE/R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Przenosi się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Liczniki, parametry, przesunięcia.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Zmienne tekstowe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SAVE/S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Przenosi się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Uwaga na teksty ze znakami sterującymi z PLC - potrafią uszkodzić zapis.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Dane pomocnicze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SAVE/A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Przenosi się, sprawdzić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Pozycja domowa, limity osi, ustawienia chwytaka i obciążenia, strefy pracy, ustawienia programów blokowych.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Dane systemowe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SAVE/SYS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Częściowo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Sygnały dedykowane i przełączniki systemowe w większości zgodne; konfiguracja fieldbusa zwykle nie.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Ekran operatorski (Interface Panel)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część pełnego backupu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Częściowo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Wczytuje się, ale nie zawsze jako wierna kopia. Wartości pól ustawianych przez BITS się nie przenoszą - zrobić zdjęcia ekranów.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Program K-Logic (sterownik programowy)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osobny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Do sprawdzenia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E ma opcję KLogic; dla F potwierdzić dostępność opcji i zgodność programu.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Dane robota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SAVE/ROB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NIE przenosić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Model, numer seryjny, zerowanie i parametry serwo nowego ramienia są ustawione fabrycznie.</w:t>
            </w:r>
          </w:p>
        </w:tc>
      </w:tr>
      <w:tr>
        <w:tc>
          <w:tcPr>
            <w:tcW w:type="dxa" w:w="2169"/>
          </w:tcPr>
          <w:p>
            <w:r/>
            <w:r>
              <w:rPr>
                <w:sz w:val="18"/>
              </w:rPr>
              <w:t>Pełny backup</w:t>
            </w:r>
          </w:p>
        </w:tc>
        <w:tc>
          <w:tcPr>
            <w:tcW w:type="dxa" w:w="1446"/>
          </w:tcPr>
          <w:p>
            <w:r/>
            <w:r>
              <w:rPr>
                <w:sz w:val="18"/>
              </w:rPr>
              <w:t>SAVE</w:t>
            </w:r>
          </w:p>
        </w:tc>
        <w:tc>
          <w:tcPr>
            <w:tcW w:type="dxa" w:w="1566"/>
          </w:tcPr>
          <w:p>
            <w:r/>
            <w:r>
              <w:rPr>
                <w:sz w:val="18"/>
              </w:rPr>
              <w:t>NIE wczytywać w całości</w:t>
            </w:r>
          </w:p>
        </w:tc>
        <w:tc>
          <w:tcPr>
            <w:tcW w:type="dxa" w:w="4457"/>
          </w:tcPr>
          <w:p>
            <w:r/>
            <w:r>
              <w:rPr>
                <w:sz w:val="18"/>
              </w:rPr>
              <w:t>Zawiera dane robota. Można go użyć jako archiwum i źródło do wycięcia sekcji z panelem, programami i zmiennymi.</w:t>
            </w:r>
          </w:p>
        </w:tc>
      </w:tr>
    </w:tbl>
    <w:p/>
    <w:p>
      <w:r>
        <w:rPr>
          <w:i/>
          <w:sz w:val="18"/>
        </w:rPr>
        <w:t>Praktyczna metoda przy przejściu z D na E opisana przez praktyków: zrobić kopię pliku pełnego backupu, usunąć z niej wszystko powyżej sekcji danych panelu (MFP) i wczytać resztę. Przenosi to panel, programy, zmienne i teksty bez ryzyka nadpisania danych robota.</w:t>
      </w:r>
    </w:p>
    <w:p>
      <w:pPr>
        <w:spacing w:before="200"/>
      </w:pPr>
      <w:r>
        <w:rPr>
          <w:b/>
          <w:color w:val="1F4E79"/>
          <w:sz w:val="26"/>
        </w:rPr>
        <w:t>6. Co trzeba wykonać od nowa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66"/>
            <w:shd w:val="clear" w:color="auto" w:fill="DCE6F1"/>
          </w:tcPr>
          <w:p>
            <w:r/>
            <w:r>
              <w:rPr>
                <w:b/>
                <w:sz w:val="18"/>
              </w:rPr>
              <w:t>Obszar</w:t>
            </w:r>
          </w:p>
        </w:tc>
        <w:tc>
          <w:tcPr>
            <w:tcW w:type="dxa" w:w="2470"/>
            <w:shd w:val="clear" w:color="auto" w:fill="DCE6F1"/>
          </w:tcPr>
          <w:p>
            <w:r/>
            <w:r>
              <w:rPr>
                <w:b/>
                <w:sz w:val="18"/>
              </w:rPr>
              <w:t>Kontroler D</w:t>
            </w:r>
          </w:p>
        </w:tc>
        <w:tc>
          <w:tcPr>
            <w:tcW w:type="dxa" w:w="2771"/>
            <w:shd w:val="clear" w:color="auto" w:fill="DCE6F1"/>
          </w:tcPr>
          <w:p>
            <w:r/>
            <w:r>
              <w:rPr>
                <w:b/>
                <w:sz w:val="18"/>
              </w:rPr>
              <w:t>Kontroler F (E podobnie, szczegóły w tekście)</w:t>
            </w:r>
          </w:p>
        </w:tc>
        <w:tc>
          <w:tcPr>
            <w:tcW w:type="dxa" w:w="2831"/>
            <w:shd w:val="clear" w:color="auto" w:fill="DCE6F1"/>
          </w:tcPr>
          <w:p>
            <w:r/>
            <w:r>
              <w:rPr>
                <w:b/>
                <w:sz w:val="18"/>
              </w:rPr>
              <w:t>Co zrobić</w:t>
            </w:r>
          </w:p>
        </w:tc>
      </w:tr>
      <w:tr>
        <w:tc>
          <w:tcPr>
            <w:tcW w:type="dxa" w:w="1566"/>
          </w:tcPr>
          <w:p>
            <w:r/>
            <w:r>
              <w:rPr>
                <w:sz w:val="18"/>
              </w:rPr>
              <w:t>Wejścia/wyjścia ogólne</w:t>
            </w:r>
          </w:p>
        </w:tc>
        <w:tc>
          <w:tcPr>
            <w:tcW w:type="dxa" w:w="2470"/>
          </w:tcPr>
          <w:p>
            <w:r/>
            <w:r>
              <w:rPr>
                <w:sz w:val="18"/>
              </w:rPr>
              <w:t>32 we / 32 wy standardowo (karta 1HW/1GW, złącza 37-pin D-sub), opcjonalnie 64/96/128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32 we / 32 wy standardowo, do 64/64 w szafie i 128/128 z remote I/O</w:t>
            </w:r>
          </w:p>
        </w:tc>
        <w:tc>
          <w:tcPr>
            <w:tcW w:type="dxa" w:w="2831"/>
          </w:tcPr>
          <w:p>
            <w:r/>
            <w:r>
              <w:rPr>
                <w:sz w:val="18"/>
              </w:rPr>
              <w:t>Spisać mapę sygnałów, przygotować nowe przewody lub listwy przyłączeniowe do nowych złączy.</w:t>
            </w:r>
          </w:p>
        </w:tc>
      </w:tr>
      <w:tr>
        <w:tc>
          <w:tcPr>
            <w:tcW w:type="dxa" w:w="1566"/>
          </w:tcPr>
          <w:p>
            <w:r/>
            <w:r>
              <w:rPr>
                <w:sz w:val="18"/>
              </w:rPr>
              <w:t>Obwody bezpieczeństwa</w:t>
            </w:r>
          </w:p>
        </w:tc>
        <w:tc>
          <w:tcPr>
            <w:tcW w:type="dxa" w:w="2470"/>
          </w:tcPr>
          <w:p>
            <w:r/>
            <w:r>
              <w:rPr>
                <w:sz w:val="18"/>
              </w:rPr>
              <w:t>obwody sprzętowe (E-stop, drzwi, praca ręczna)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wersja A (opcja Cubic-S) lub B (opcja CoreCubic-S); obwód do kat. 4 / PL e</w:t>
            </w:r>
          </w:p>
        </w:tc>
        <w:tc>
          <w:tcPr>
            <w:tcW w:type="dxa" w:w="2831"/>
          </w:tcPr>
          <w:p>
            <w:r/>
            <w:r>
              <w:rPr>
                <w:sz w:val="18"/>
              </w:rPr>
              <w:t>Przepiąć, zwalidować funkcje bezpieczeństwa i zaktualizować ocenę ryzyka stanowiska.</w:t>
            </w:r>
          </w:p>
        </w:tc>
      </w:tr>
      <w:tr>
        <w:tc>
          <w:tcPr>
            <w:tcW w:type="dxa" w:w="1566"/>
          </w:tcPr>
          <w:p>
            <w:r/>
            <w:r>
              <w:rPr>
                <w:sz w:val="18"/>
              </w:rPr>
              <w:t>Fieldbus</w:t>
            </w:r>
          </w:p>
        </w:tc>
        <w:tc>
          <w:tcPr>
            <w:tcW w:type="dxa" w:w="2470"/>
          </w:tcPr>
          <w:p>
            <w:r/>
            <w:r>
              <w:rPr>
                <w:sz w:val="18"/>
              </w:rPr>
              <w:t>DeviceNet, PROFIBUS-DP, INTERBUS, CC-Link, EtherNet/IP, ControlNet (opcje)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moduł opcjonalny (slave na złączu XAB, master na karcie PCIe); osobna instrukcja 90210-1326</w:t>
            </w:r>
          </w:p>
        </w:tc>
        <w:tc>
          <w:tcPr>
            <w:tcW w:type="dxa" w:w="2831"/>
          </w:tcPr>
          <w:p>
            <w:r/>
            <w:r>
              <w:rPr>
                <w:sz w:val="18"/>
              </w:rPr>
              <w:t>Zamówić moduł, wgrać nowy plik konfiguracyjny (GSD/EDS/GSDML) w PLC i zmapować sygnały od nowa.</w:t>
            </w:r>
          </w:p>
        </w:tc>
      </w:tr>
      <w:tr>
        <w:tc>
          <w:tcPr>
            <w:tcW w:type="dxa" w:w="1566"/>
          </w:tcPr>
          <w:p>
            <w:r/>
            <w:r>
              <w:rPr>
                <w:sz w:val="18"/>
              </w:rPr>
              <w:t>Pendant</w:t>
            </w:r>
          </w:p>
        </w:tc>
        <w:tc>
          <w:tcPr>
            <w:tcW w:type="dxa" w:w="2470"/>
          </w:tcPr>
          <w:p>
            <w:r/>
            <w:r>
              <w:rPr>
                <w:sz w:val="18"/>
              </w:rPr>
              <w:t>pendant serii D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nowy pendant GenII (port USB, inny ekran)</w:t>
            </w:r>
          </w:p>
        </w:tc>
        <w:tc>
          <w:tcPr>
            <w:tcW w:type="dxa" w:w="2831"/>
          </w:tcPr>
          <w:p>
            <w:r/>
            <w:r>
              <w:rPr>
                <w:sz w:val="18"/>
              </w:rPr>
              <w:t>Przejrzeć i poprawić ekran operatorski; przeszkolić operatorów.</w:t>
            </w:r>
          </w:p>
        </w:tc>
      </w:tr>
      <w:tr>
        <w:tc>
          <w:tcPr>
            <w:tcW w:type="dxa" w:w="1566"/>
          </w:tcPr>
          <w:p>
            <w:r/>
            <w:r>
              <w:rPr>
                <w:sz w:val="18"/>
              </w:rPr>
              <w:t>Opcje płatne</w:t>
            </w:r>
          </w:p>
        </w:tc>
        <w:tc>
          <w:tcPr>
            <w:tcW w:type="dxa" w:w="2470"/>
          </w:tcPr>
          <w:p>
            <w:r/>
            <w:r>
              <w:rPr>
                <w:sz w:val="18"/>
              </w:rPr>
              <w:t>np. fieldbus, śledzenie przenośnika, spawanie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zamawiane osobno</w:t>
            </w:r>
          </w:p>
        </w:tc>
        <w:tc>
          <w:tcPr>
            <w:tcW w:type="dxa" w:w="2831"/>
          </w:tcPr>
          <w:p>
            <w:r/>
            <w:r>
              <w:rPr>
                <w:sz w:val="18"/>
              </w:rPr>
              <w:t>Spisać wszystkie opcje aktywne w D i zamówić odpowiedniki.</w:t>
            </w:r>
          </w:p>
        </w:tc>
      </w:tr>
      <w:tr>
        <w:tc>
          <w:tcPr>
            <w:tcW w:type="dxa" w:w="1566"/>
          </w:tcPr>
          <w:p>
            <w:r/>
            <w:r>
              <w:rPr>
                <w:sz w:val="18"/>
              </w:rPr>
              <w:t>Zapis danych</w:t>
            </w:r>
          </w:p>
        </w:tc>
        <w:tc>
          <w:tcPr>
            <w:tcW w:type="dxa" w:w="2470"/>
          </w:tcPr>
          <w:p>
            <w:r/>
            <w:r>
              <w:rPr>
                <w:sz w:val="18"/>
              </w:rPr>
              <w:t>PC (KRterm/KCwin przez RS-232C lub Ethernet), karta PCMCIA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USB, Ethernet, CFast</w:t>
            </w:r>
          </w:p>
        </w:tc>
        <w:tc>
          <w:tcPr>
            <w:tcW w:type="dxa" w:w="2831"/>
          </w:tcPr>
          <w:p>
            <w:r/>
            <w:r>
              <w:rPr>
                <w:sz w:val="18"/>
              </w:rPr>
              <w:t>Przygotować sposób zgrania danych z D przed demontażem.</w:t>
            </w:r>
          </w:p>
        </w:tc>
      </w:tr>
    </w:tbl>
    <w:p/>
    <w:p>
      <w:r>
        <w:t>PROFINET i CANopen były dostępne w kontrolerze E, ale nie w D. Jeśli stanowisko używa sieci, której nie ma w ofercie dla F (np. INTERBUS, ControlNet), trzeba zmienić sieć lub dodać bramkę.</w:t>
      </w:r>
    </w:p>
    <w:p>
      <w:pPr>
        <w:spacing w:before="200"/>
      </w:pPr>
      <w:r>
        <w:rPr>
          <w:b/>
          <w:color w:val="1F4E79"/>
          <w:sz w:val="26"/>
        </w:rPr>
        <w:t>7. Punkty i kalibracja nowego ramienia</w:t>
      </w:r>
    </w:p>
    <w:p>
      <w:r>
        <w:t>Nowy robot tego samego modelu ma tę samą kinematykę, ale własne, fabryczne zerowanie. Do tego nie da się go zamontować co do dziesiątych części milimetra w miejscu starego. Dlatego:</w:t>
      </w:r>
    </w:p>
    <w:p>
      <w:pPr>
        <w:pStyle w:val="ListBullet"/>
      </w:pPr>
      <w:r>
        <w:t>Przed demontażem starego robota najechać narzędziem na kilka stałych punktów w celi (np. bazy przyrządów) i zapisać ich pozycje.</w:t>
      </w:r>
    </w:p>
    <w:p>
      <w:pPr>
        <w:pStyle w:val="ListBullet"/>
      </w:pPr>
      <w:r>
        <w:t>Po montażu nowego robota najechać na te same punkty. Jeśli błąd jest stały dla wszystkich punktów, korygować go raz (BASE albo przesunięcie punktów), a nie douczaniem każdego punktu osobno.</w:t>
      </w:r>
    </w:p>
    <w:p>
      <w:pPr>
        <w:pStyle w:val="ListBullet"/>
      </w:pPr>
      <w:r>
        <w:t>Na koniec sprawdzić na małej prędkości wszystkie programy i douczyć krytyczne punkty: pobranie, odłożenie, wejścia w maszynę i strefy kolizji.</w:t>
      </w:r>
    </w:p>
    <w:p>
      <w:pPr>
        <w:pStyle w:val="ListBullet"/>
      </w:pPr>
      <w:r>
        <w:t>neoROSET wczytuje pełny backup z prawdziwego kontrolera D, D+, E i F, pozwala podmienić model robota bez zmiany układu stanowiska, przesuwać i lustrzanie kopiować punkty oraz porównywać tekst programów. Pozwala to sprawdzić zasięg i kolizje przed demontażem.</w:t>
      </w:r>
    </w:p>
    <w:p>
      <w:pPr>
        <w:spacing w:before="200"/>
      </w:pPr>
      <w:r>
        <w:rPr>
          <w:b/>
          <w:color w:val="1F4E79"/>
          <w:sz w:val="26"/>
        </w:rPr>
        <w:t>8. D na E czy D na 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09"/>
            <w:shd w:val="clear" w:color="auto" w:fill="DCE6F1"/>
          </w:tcPr>
          <w:p>
            <w:r/>
            <w:r>
              <w:rPr>
                <w:b/>
                <w:sz w:val="18"/>
              </w:rPr>
              <w:t>Kryterium</w:t>
            </w:r>
          </w:p>
        </w:tc>
        <w:tc>
          <w:tcPr>
            <w:tcW w:type="dxa" w:w="3614"/>
            <w:shd w:val="clear" w:color="auto" w:fill="DCE6F1"/>
          </w:tcPr>
          <w:p>
            <w:r/>
            <w:r>
              <w:rPr>
                <w:b/>
                <w:sz w:val="18"/>
              </w:rPr>
              <w:t>D na E</w:t>
            </w:r>
          </w:p>
        </w:tc>
        <w:tc>
          <w:tcPr>
            <w:tcW w:type="dxa" w:w="3614"/>
            <w:shd w:val="clear" w:color="auto" w:fill="DCE6F1"/>
          </w:tcPr>
          <w:p>
            <w:r/>
            <w:r>
              <w:rPr>
                <w:b/>
                <w:sz w:val="18"/>
              </w:rPr>
              <w:t>D na F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Dostępność nowych robotów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większość wariantów wycofana w latach 2019-2024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aktualna generacja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Podobieństwo do D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większe: podobna architektura i obsługa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mniejsze: nowy pendant, inne złącza, mniejsza szafa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Przenoszenie programów i danych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tak samo (SAVE/P, /L, /R, /S, /A, /SYS)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tak samo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Horyzont części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orientacyjnie do 2029-2034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najdłuższy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Rekomendacja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tylko przy ujednolicaniu parku maszyn i po potwierdzeniu dostępności</w:t>
            </w:r>
          </w:p>
        </w:tc>
        <w:tc>
          <w:tcPr>
            <w:tcW w:type="dxa" w:w="3614"/>
          </w:tcPr>
          <w:p>
            <w:r/>
            <w:r>
              <w:rPr>
                <w:sz w:val="18"/>
              </w:rPr>
              <w:t>domyślny wybór</w:t>
            </w:r>
          </w:p>
        </w:tc>
      </w:tr>
    </w:tbl>
    <w:p/>
    <w:p>
      <w:pPr>
        <w:spacing w:before="200"/>
      </w:pPr>
      <w:r>
        <w:rPr>
          <w:b/>
          <w:color w:val="1F4E79"/>
          <w:sz w:val="26"/>
        </w:rPr>
        <w:t>9. Procedura krok po kroku</w:t>
      </w:r>
    </w:p>
    <w:p>
      <w:pPr>
        <w:pStyle w:val="ListNumber"/>
      </w:pPr>
      <w:r>
        <w:t>Zrobić pełny backup kontrolera D jako archiwum oraz osobne pliki: programy, punkty, zmienne liczbowe, teksty, dane pomocnicze i dane systemowe.</w:t>
      </w:r>
    </w:p>
    <w:p>
      <w:pPr>
        <w:pStyle w:val="ListNumber"/>
      </w:pPr>
      <w:r>
        <w:t>Spisać: mapę wejść/wyjść, konfigurację fieldbusa, TOOL i BASE, przełączniki systemowe, aktywne opcje; zrobić zdjęcia ekranów panelu operatorskiego.</w:t>
      </w:r>
    </w:p>
    <w:p>
      <w:pPr>
        <w:pStyle w:val="ListNumber"/>
      </w:pPr>
      <w:r>
        <w:t>Zapisać pozycje punktów referencyjnych w celi (rozdział 7).</w:t>
      </w:r>
    </w:p>
    <w:p>
      <w:pPr>
        <w:pStyle w:val="ListNumber"/>
      </w:pPr>
      <w:r>
        <w:t>Opcjonalnie: wczytać backup do neoROSET, podmienić robota na nowy model i sprawdzić zasięg oraz kolizje.</w:t>
      </w:r>
    </w:p>
    <w:p>
      <w:pPr>
        <w:pStyle w:val="ListNumber"/>
      </w:pPr>
      <w:r>
        <w:t>Zamontować nowy robot i kontroler, przepiąć wejścia/wyjścia oraz obwody bezpieczeństwa.</w:t>
      </w:r>
    </w:p>
    <w:p>
      <w:pPr>
        <w:pStyle w:val="ListNumber"/>
      </w:pPr>
      <w:r>
        <w:t>Wczytać programy i zmienne, potem dane pomocnicze i systemowe. Każdy błąd wczytywania sprawdzić ręcznie.</w:t>
      </w:r>
    </w:p>
    <w:p>
      <w:pPr>
        <w:pStyle w:val="ListNumber"/>
      </w:pPr>
      <w:r>
        <w:t>Skonfigurować fieldbus po obu stronach, poprawić ekran operatorski.</w:t>
      </w:r>
    </w:p>
    <w:p>
      <w:pPr>
        <w:pStyle w:val="ListNumber"/>
      </w:pPr>
      <w:r>
        <w:t>Skorygować układ współrzędnych na podstawie punktów referencyjnych.</w:t>
      </w:r>
    </w:p>
    <w:p>
      <w:pPr>
        <w:pStyle w:val="ListNumber"/>
      </w:pPr>
      <w:r>
        <w:t>Przejechać wszystkie programy na małej prędkości, douczyć krytyczne punkty, zwalidować funkcje bezpieczeństwa.</w:t>
      </w:r>
    </w:p>
    <w:p>
      <w:pPr>
        <w:pStyle w:val="ListNumber"/>
      </w:pPr>
      <w:r>
        <w:t>Zrobić pełny backup nowego kontrolera i zaktualizować dokumentację stanowiska.</w:t>
      </w:r>
    </w:p>
    <w:p>
      <w:r>
        <w:t>Wskazówka praktyków: kontrolery E i F mają szybszy procesor, więc ciasne pętle w programach PC i w programie głównym warto spowolnić krótkim TWAIT (np. TWAIT 0.02), żeby kontroler pozostawał responsywny.</w:t>
      </w:r>
    </w:p>
    <w:p>
      <w:pPr>
        <w:spacing w:before="200"/>
      </w:pPr>
      <w:r>
        <w:rPr>
          <w:b/>
          <w:color w:val="1F4E79"/>
          <w:sz w:val="26"/>
        </w:rPr>
        <w:t>10. Ryzyka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012"/>
            <w:shd w:val="clear" w:color="auto" w:fill="DCE6F1"/>
          </w:tcPr>
          <w:p>
            <w:r/>
            <w:r>
              <w:rPr>
                <w:b/>
                <w:sz w:val="18"/>
              </w:rPr>
              <w:t>Ryzyko</w:t>
            </w:r>
          </w:p>
        </w:tc>
        <w:tc>
          <w:tcPr>
            <w:tcW w:type="dxa" w:w="3132"/>
            <w:shd w:val="clear" w:color="auto" w:fill="DCE6F1"/>
          </w:tcPr>
          <w:p>
            <w:r/>
            <w:r>
              <w:rPr>
                <w:b/>
                <w:sz w:val="18"/>
              </w:rPr>
              <w:t>Skutek</w:t>
            </w:r>
          </w:p>
        </w:tc>
        <w:tc>
          <w:tcPr>
            <w:tcW w:type="dxa" w:w="3494"/>
            <w:shd w:val="clear" w:color="auto" w:fill="DCE6F1"/>
          </w:tcPr>
          <w:p>
            <w:r/>
            <w:r>
              <w:rPr>
                <w:b/>
                <w:sz w:val="18"/>
              </w:rPr>
              <w:t>Jak ograniczyć</w:t>
            </w:r>
          </w:p>
        </w:tc>
      </w:tr>
      <w:tr>
        <w:tc>
          <w:tcPr>
            <w:tcW w:type="dxa" w:w="3012"/>
          </w:tcPr>
          <w:p>
            <w:r/>
            <w:r>
              <w:rPr>
                <w:sz w:val="18"/>
              </w:rPr>
              <w:t>Wczytanie pełnego backupu z D</w:t>
            </w:r>
          </w:p>
        </w:tc>
        <w:tc>
          <w:tcPr>
            <w:tcW w:type="dxa" w:w="3132"/>
          </w:tcPr>
          <w:p>
            <w:r/>
            <w:r>
              <w:rPr>
                <w:sz w:val="18"/>
              </w:rPr>
              <w:t>nadpisanie danych nowego robota, błędne pozycje</w:t>
            </w:r>
          </w:p>
        </w:tc>
        <w:tc>
          <w:tcPr>
            <w:tcW w:type="dxa" w:w="3494"/>
          </w:tcPr>
          <w:p>
            <w:r/>
            <w:r>
              <w:rPr>
                <w:sz w:val="18"/>
              </w:rPr>
              <w:t>wczytywać tylko wybrane typy danych</w:t>
            </w:r>
          </w:p>
        </w:tc>
      </w:tr>
      <w:tr>
        <w:tc>
          <w:tcPr>
            <w:tcW w:type="dxa" w:w="3012"/>
          </w:tcPr>
          <w:p>
            <w:r/>
            <w:r>
              <w:rPr>
                <w:sz w:val="18"/>
              </w:rPr>
              <w:t>Niespisana mapa I/O lub fieldbusa</w:t>
            </w:r>
          </w:p>
        </w:tc>
        <w:tc>
          <w:tcPr>
            <w:tcW w:type="dxa" w:w="3132"/>
          </w:tcPr>
          <w:p>
            <w:r/>
            <w:r>
              <w:rPr>
                <w:sz w:val="18"/>
              </w:rPr>
              <w:t>długi rozruch, błędy komunikacji z PLC</w:t>
            </w:r>
          </w:p>
        </w:tc>
        <w:tc>
          <w:tcPr>
            <w:tcW w:type="dxa" w:w="3494"/>
          </w:tcPr>
          <w:p>
            <w:r/>
            <w:r>
              <w:rPr>
                <w:sz w:val="18"/>
              </w:rPr>
              <w:t>dokumentacja i zdjęcia przed demontażem</w:t>
            </w:r>
          </w:p>
        </w:tc>
      </w:tr>
      <w:tr>
        <w:tc>
          <w:tcPr>
            <w:tcW w:type="dxa" w:w="3012"/>
          </w:tcPr>
          <w:p>
            <w:r/>
            <w:r>
              <w:rPr>
                <w:sz w:val="18"/>
              </w:rPr>
              <w:t>Pominięte opcje płatne</w:t>
            </w:r>
          </w:p>
        </w:tc>
        <w:tc>
          <w:tcPr>
            <w:tcW w:type="dxa" w:w="3132"/>
          </w:tcPr>
          <w:p>
            <w:r/>
            <w:r>
              <w:rPr>
                <w:sz w:val="18"/>
              </w:rPr>
              <w:t>brak funkcji po uruchomieniu</w:t>
            </w:r>
          </w:p>
        </w:tc>
        <w:tc>
          <w:tcPr>
            <w:tcW w:type="dxa" w:w="3494"/>
          </w:tcPr>
          <w:p>
            <w:r/>
            <w:r>
              <w:rPr>
                <w:sz w:val="18"/>
              </w:rPr>
              <w:t>lista opcji z kontrolera D przy zamówieniu</w:t>
            </w:r>
          </w:p>
        </w:tc>
      </w:tr>
      <w:tr>
        <w:tc>
          <w:tcPr>
            <w:tcW w:type="dxa" w:w="3012"/>
          </w:tcPr>
          <w:p>
            <w:r/>
            <w:r>
              <w:rPr>
                <w:sz w:val="18"/>
              </w:rPr>
              <w:t>Inny model niż zakładany</w:t>
            </w:r>
          </w:p>
        </w:tc>
        <w:tc>
          <w:tcPr>
            <w:tcW w:type="dxa" w:w="3132"/>
          </w:tcPr>
          <w:p>
            <w:r/>
            <w:r>
              <w:rPr>
                <w:sz w:val="18"/>
              </w:rPr>
              <w:t>inne zakresy osi i zasięg</w:t>
            </w:r>
          </w:p>
        </w:tc>
        <w:tc>
          <w:tcPr>
            <w:tcW w:type="dxa" w:w="3494"/>
          </w:tcPr>
          <w:p>
            <w:r/>
            <w:r>
              <w:rPr>
                <w:sz w:val="18"/>
              </w:rPr>
              <w:t>porównanie kart katalogowych, symulacja w neoROSET</w:t>
            </w:r>
          </w:p>
        </w:tc>
      </w:tr>
      <w:tr>
        <w:tc>
          <w:tcPr>
            <w:tcW w:type="dxa" w:w="3012"/>
          </w:tcPr>
          <w:p>
            <w:r/>
            <w:r>
              <w:rPr>
                <w:sz w:val="18"/>
              </w:rPr>
              <w:t>Zmiana układu bezpieczeństwa</w:t>
            </w:r>
          </w:p>
        </w:tc>
        <w:tc>
          <w:tcPr>
            <w:tcW w:type="dxa" w:w="3132"/>
          </w:tcPr>
          <w:p>
            <w:r/>
            <w:r>
              <w:rPr>
                <w:sz w:val="18"/>
              </w:rPr>
              <w:t>niezgodność z oceną ryzyka</w:t>
            </w:r>
          </w:p>
        </w:tc>
        <w:tc>
          <w:tcPr>
            <w:tcW w:type="dxa" w:w="3494"/>
          </w:tcPr>
          <w:p>
            <w:r/>
            <w:r>
              <w:rPr>
                <w:sz w:val="18"/>
              </w:rPr>
              <w:t>walidacja i aktualizacja dokumentacji</w:t>
            </w:r>
          </w:p>
        </w:tc>
      </w:tr>
      <w:tr>
        <w:tc>
          <w:tcPr>
            <w:tcW w:type="dxa" w:w="3012"/>
          </w:tcPr>
          <w:p>
            <w:r/>
            <w:r>
              <w:rPr>
                <w:sz w:val="18"/>
              </w:rPr>
              <w:t>Utrata danych z D (stary nośnik, bateria)</w:t>
            </w:r>
          </w:p>
        </w:tc>
        <w:tc>
          <w:tcPr>
            <w:tcW w:type="dxa" w:w="3132"/>
          </w:tcPr>
          <w:p>
            <w:r/>
            <w:r>
              <w:rPr>
                <w:sz w:val="18"/>
              </w:rPr>
              <w:t>brak programów do przeniesienia</w:t>
            </w:r>
          </w:p>
        </w:tc>
        <w:tc>
          <w:tcPr>
            <w:tcW w:type="dxa" w:w="3494"/>
          </w:tcPr>
          <w:p>
            <w:r/>
            <w:r>
              <w:rPr>
                <w:sz w:val="18"/>
              </w:rPr>
              <w:t>backup na PC z wyprzedzeniem</w:t>
            </w:r>
          </w:p>
        </w:tc>
      </w:tr>
    </w:tbl>
    <w:p/>
    <w:p>
      <w:pPr>
        <w:spacing w:before="200"/>
      </w:pPr>
      <w:r>
        <w:rPr>
          <w:b/>
          <w:color w:val="1F4E79"/>
          <w:sz w:val="26"/>
        </w:rPr>
        <w:t>11. Weryfikacja i korekty wcześniejszych informacji</w:t>
      </w:r>
    </w:p>
    <w:p>
      <w:pPr>
        <w:pStyle w:val="ListBullet"/>
      </w:pPr>
      <w:r>
        <w:t>Korekta: kontrolery F0x mają standardowo 32 wejścia i 32 wyjścia (do 64/64 w szafie, 128/128 z remote I/O), a nie 16, jak wynikało z wypowiedzi na forum.</w:t>
      </w:r>
    </w:p>
    <w:p>
      <w:pPr>
        <w:pStyle w:val="ListBullet"/>
      </w:pPr>
      <w:r>
        <w:t>Korekta: typ modułu fieldbus w F (HMS CompactCom) pochodził z forum i nie znalazłem go w dokumentacji Kawasaki. Potwierdzone jest tylko, że to opcjonalny moduł na złączu XAB (slave) lub karta PCIe (master).</w:t>
      </w:r>
    </w:p>
    <w:p>
      <w:pPr>
        <w:pStyle w:val="ListBullet"/>
      </w:pPr>
      <w:r>
        <w:t>Doprecyzowanie: „ten sam model ramienia” z nowszym kontrolerem istnieje dla części rodzin (MX, ZX300S). Dla innych jest to następca, którego kartę katalogową trzeba porównać.</w:t>
      </w:r>
    </w:p>
    <w:p>
      <w:pPr>
        <w:pStyle w:val="ListBullet"/>
      </w:pPr>
      <w:r>
        <w:t>Potwierdzone w dokumentacji: polecenia SAVE/P, /L, /R, /S, /A, /SYS i /ROB w kontrolerach D i F; zachowanie płytki Arm ID (wybór strony ramienia lub kontrolera); E0x jako poprzednik F0x; wersje A/B kontrolerów F0x; wczytywanie backupów D, D+, E i F w neoROSET.</w:t>
      </w:r>
    </w:p>
    <w:p>
      <w:pPr>
        <w:pStyle w:val="ListBullet"/>
      </w:pPr>
      <w:r>
        <w:t>Oparte na doświadczeniu praktyków (forum robot-forum.com), nie na dokumentacji Kawasaki: metoda wycinania sekcji z backupu, nieprzenoszenie wartości BITS na panelu, wskazówka z TWAIT, ocena zgodności danych pomocniczych i systemowych.</w:t>
      </w:r>
    </w:p>
    <w:p>
      <w:pPr>
        <w:spacing w:before="200"/>
      </w:pPr>
      <w:r>
        <w:rPr>
          <w:b/>
          <w:color w:val="1F4E79"/>
          <w:sz w:val="26"/>
        </w:rPr>
        <w:t>12. Do potwierdzenia w serwisie Kawasaki przed zakupem</w:t>
      </w:r>
    </w:p>
    <w:p>
      <w:pPr>
        <w:pStyle w:val="ListBullet"/>
      </w:pPr>
      <w:r>
        <w:t>Dokładny model docelowy (kod z oznaczeniem kontrolera) i jego zgodność wymiarowa ze starym ramieniem.</w:t>
      </w:r>
    </w:p>
    <w:p>
      <w:pPr>
        <w:pStyle w:val="ListBullet"/>
      </w:pPr>
      <w:r>
        <w:t>Dostępność wybranego wariantu z kontrolerem E, jeśli ten wariant jest brany pod uwagę.</w:t>
      </w:r>
    </w:p>
    <w:p>
      <w:pPr>
        <w:pStyle w:val="ListBullet"/>
      </w:pPr>
      <w:r>
        <w:t>Dostępność potrzebnej sieci fieldbus i opcji (np. K-Logic) dla kontrolera F.</w:t>
      </w:r>
    </w:p>
    <w:p>
      <w:pPr>
        <w:pStyle w:val="ListBullet"/>
      </w:pPr>
      <w:r>
        <w:t>Wersja kontrolera F (A z Cubic-S albo B z CoreCubic-S) - nie każde ramię współpracuje z wersją B.</w:t>
      </w:r>
    </w:p>
    <w:p>
      <w:pPr>
        <w:pStyle w:val="ListBullet"/>
      </w:pPr>
      <w:r>
        <w:t>Czy Kawasaki oferuje usługę lub narzędzie do konwersji danych z D na F.</w:t>
      </w:r>
    </w:p>
    <w:p>
      <w:pPr>
        <w:spacing w:before="200"/>
      </w:pPr>
      <w:r>
        <w:rPr>
          <w:b/>
          <w:color w:val="1F4E79"/>
          <w:sz w:val="26"/>
        </w:rPr>
        <w:t>13. Źródła</w:t>
      </w:r>
    </w:p>
    <w:p>
      <w:r>
        <w:t>Dokumentacja i strony Kawasaki:</w:t>
      </w:r>
    </w:p>
    <w:p>
      <w:pPr>
        <w:pStyle w:val="ListBullet"/>
      </w:pPr>
      <w:r>
        <w:t>Lista wycofanych modeli i zasada dostaw części (08.2023): kawasakirobotics.com/uploads/sites/2/2023/08/202308product-discontinuation-list.pdf</w:t>
      </w:r>
    </w:p>
    <w:p>
      <w:pPr>
        <w:pStyle w:val="ListBullet"/>
      </w:pPr>
      <w:r>
        <w:t>Retired Models (części do 10 lat): kawasakirobotics.com/products/retired-models/</w:t>
      </w:r>
    </w:p>
    <w:p>
      <w:pPr>
        <w:pStyle w:val="ListBullet"/>
      </w:pPr>
      <w:r>
        <w:t>Specyfikacja kontrolerów F0x: kawasakirobotics.com/uploads/sites/2/2022/01/F0x-E-1-1.pdf</w:t>
      </w:r>
    </w:p>
    <w:p>
      <w:pPr>
        <w:pStyle w:val="ListBullet"/>
      </w:pPr>
      <w:r>
        <w:t>Instrukcja instalacji F0x: kawasakirobotics.com/uploads/sites/2/2022/01/F0x_Series_Controller-Installation_and_Connection_Manual-E-4.pdf</w:t>
      </w:r>
    </w:p>
    <w:p>
      <w:pPr>
        <w:pStyle w:val="ListBullet"/>
      </w:pPr>
      <w:r>
        <w:t>Strony kontrolerów F02, F04 i E02: kawasakirobotics.com (sekcja Controllers)</w:t>
      </w:r>
    </w:p>
    <w:p>
      <w:pPr>
        <w:pStyle w:val="ListBullet"/>
      </w:pPr>
      <w:r>
        <w:t>AS Language Reference Manual, kontroler F (90209-1025) i kontroler D - polecenia SAVE/LOAD</w:t>
      </w:r>
    </w:p>
    <w:p>
      <w:pPr>
        <w:pStyle w:val="ListBullet"/>
      </w:pPr>
      <w:r>
        <w:t>General Fieldbus I/O Usage Manual, kontrolery D/E (90210-1184)</w:t>
      </w:r>
    </w:p>
    <w:p>
      <w:pPr>
        <w:pStyle w:val="ListBullet"/>
      </w:pPr>
      <w:r>
        <w:t>Arm ID Board Instruction Manual, kontroler D (90210-1174) i E (90210-1246)</w:t>
      </w:r>
    </w:p>
    <w:p>
      <w:pPr>
        <w:pStyle w:val="ListBullet"/>
      </w:pPr>
      <w:r>
        <w:t>Specyfikacja kontrolerów D70/D4x (broszura Kawasaki)</w:t>
      </w:r>
    </w:p>
    <w:p>
      <w:pPr>
        <w:pStyle w:val="ListBullet"/>
      </w:pPr>
      <w:r>
        <w:t>neoROSET Operation Manual oraz broszura neoROSET: kawasakirobotics.com/uploads/sites/2/2026/02/neoROSET_EN_no.2645.pdf</w:t>
      </w:r>
    </w:p>
    <w:p>
      <w:pPr>
        <w:pStyle w:val="ListBullet"/>
      </w:pPr>
      <w:r>
        <w:t>Komunikat Kawasaki o kontrolerach E jako następcy D (29.09.2008): global.kawasaki.com</w:t>
      </w:r>
    </w:p>
    <w:p>
      <w:pPr>
        <w:pStyle w:val="ListBullet"/>
      </w:pPr>
      <w:r>
        <w:t>Kawasaki Robotics, „Tips for an Industrial Robotics Upgrade or Retrofit”: kawasakirobotics.com/blog/</w:t>
      </w:r>
    </w:p>
    <w:p>
      <w:r>
        <w:t>Źródła praktyków (robot-forum.com, wątki 38312, 49046, 43051, 41303, 36020) - wykorzystane tylko jako uzupełnienie i oznaczone w rozdziale 11.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