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Pr="00761CC4" w:rsidRDefault="00CA7355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-</w:t>
      </w:r>
      <w:r w:rsidR="004D7FF6">
        <w:rPr>
          <w:rFonts w:ascii="Tahoma" w:hAnsi="Tahoma" w:cs="Tahoma"/>
          <w:b/>
          <w:caps/>
          <w:sz w:val="28"/>
          <w:szCs w:val="28"/>
        </w:rPr>
        <w:t xml:space="preserve"> Übung: 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1</w:t>
      </w:r>
      <w:r>
        <w:rPr>
          <w:rFonts w:ascii="Tahoma" w:hAnsi="Tahoma" w:cs="Tahoma"/>
          <w:b/>
          <w:caps/>
          <w:sz w:val="28"/>
          <w:szCs w:val="28"/>
        </w:rPr>
        <w:t>8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947056">
        <w:rPr>
          <w:rFonts w:ascii="Tahoma" w:hAnsi="Tahoma" w:cs="Tahoma"/>
          <w:b/>
          <w:caps/>
          <w:sz w:val="28"/>
          <w:szCs w:val="28"/>
        </w:rPr>
        <w:t>Zähler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_</w:t>
      </w:r>
      <w:r>
        <w:rPr>
          <w:rFonts w:ascii="Tahoma" w:hAnsi="Tahoma" w:cs="Tahoma"/>
          <w:b/>
          <w:caps/>
          <w:sz w:val="28"/>
          <w:szCs w:val="28"/>
        </w:rPr>
        <w:t>Aus-zwei-</w:t>
      </w:r>
      <w:r w:rsidR="00947056">
        <w:rPr>
          <w:rFonts w:ascii="Tahoma" w:hAnsi="Tahoma" w:cs="Tahoma"/>
          <w:b/>
          <w:caps/>
          <w:sz w:val="28"/>
          <w:szCs w:val="28"/>
        </w:rPr>
        <w:t>Magazin</w:t>
      </w:r>
      <w:r>
        <w:rPr>
          <w:rFonts w:ascii="Tahoma" w:hAnsi="Tahoma" w:cs="Tahoma"/>
          <w:b/>
          <w:caps/>
          <w:sz w:val="28"/>
          <w:szCs w:val="28"/>
        </w:rPr>
        <w:t>en</w:t>
      </w:r>
      <w:r w:rsidR="00947056">
        <w:rPr>
          <w:rFonts w:ascii="Tahoma" w:hAnsi="Tahoma" w:cs="Tahoma"/>
          <w:b/>
          <w:caps/>
          <w:sz w:val="28"/>
          <w:szCs w:val="28"/>
        </w:rPr>
        <w:t>-</w:t>
      </w:r>
      <w:r>
        <w:rPr>
          <w:rFonts w:ascii="Tahoma" w:hAnsi="Tahoma" w:cs="Tahoma"/>
          <w:b/>
          <w:caps/>
          <w:sz w:val="28"/>
          <w:szCs w:val="28"/>
        </w:rPr>
        <w:t>entnehmen</w:t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A7552E" w:rsidRDefault="00CA7355" w:rsidP="00F556C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62625" cy="34194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99052C" w:rsidRDefault="00562E6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160860" w:rsidRDefault="00160860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Zwei</w:t>
      </w:r>
      <w:r w:rsidR="00703860">
        <w:rPr>
          <w:rFonts w:ascii="Tahoma" w:hAnsi="Tahoma" w:cs="Tahoma"/>
        </w:rPr>
        <w:t xml:space="preserve"> Magazin</w:t>
      </w:r>
      <w:r>
        <w:rPr>
          <w:rFonts w:ascii="Tahoma" w:hAnsi="Tahoma" w:cs="Tahoma"/>
        </w:rPr>
        <w:t>e können unabhängig voneinander und ohne SPS per Hand befüllt werden (Hier muss dazu der entsprechende „Füllen“-Schalter betätigt werden).</w:t>
      </w:r>
    </w:p>
    <w:p w:rsidR="00160860" w:rsidRDefault="00160860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Mit S5 als START-Taster kann die Anlage in Betrieb gesetzt werden. Dies wird durch die Lampe H1 angezeigt. Der </w:t>
      </w:r>
      <w:r w:rsidRPr="00160860">
        <w:rPr>
          <w:rFonts w:ascii="Tahoma" w:hAnsi="Tahoma" w:cs="Tahoma"/>
        </w:rPr>
        <w:t>STOP-Taster S11</w:t>
      </w:r>
      <w:r>
        <w:rPr>
          <w:rFonts w:ascii="Tahoma" w:hAnsi="Tahoma" w:cs="Tahoma"/>
        </w:rPr>
        <w:t xml:space="preserve"> oder der NOT_AUS-Schalter S0</w:t>
      </w:r>
      <w:r w:rsidRPr="00160860">
        <w:rPr>
          <w:rFonts w:ascii="Tahoma" w:hAnsi="Tahoma" w:cs="Tahoma"/>
        </w:rPr>
        <w:t xml:space="preserve"> setz</w:t>
      </w:r>
      <w:r>
        <w:rPr>
          <w:rFonts w:ascii="Tahoma" w:hAnsi="Tahoma" w:cs="Tahoma"/>
        </w:rPr>
        <w:t>en</w:t>
      </w:r>
      <w:r w:rsidRPr="00160860">
        <w:rPr>
          <w:rFonts w:ascii="Tahoma" w:hAnsi="Tahoma" w:cs="Tahoma"/>
        </w:rPr>
        <w:t xml:space="preserve"> die Anlage</w:t>
      </w:r>
      <w:r>
        <w:rPr>
          <w:rFonts w:ascii="Tahoma" w:hAnsi="Tahoma" w:cs="Tahoma"/>
        </w:rPr>
        <w:t xml:space="preserve"> wieder</w:t>
      </w:r>
      <w:r w:rsidRPr="00160860">
        <w:rPr>
          <w:rFonts w:ascii="Tahoma" w:hAnsi="Tahoma" w:cs="Tahoma"/>
        </w:rPr>
        <w:t xml:space="preserve"> au</w:t>
      </w:r>
      <w:r>
        <w:rPr>
          <w:rFonts w:ascii="Tahoma" w:hAnsi="Tahoma" w:cs="Tahoma"/>
        </w:rPr>
        <w:t>ß</w:t>
      </w:r>
      <w:r w:rsidRPr="00160860">
        <w:rPr>
          <w:rFonts w:ascii="Tahoma" w:hAnsi="Tahoma" w:cs="Tahoma"/>
        </w:rPr>
        <w:t>er Betrieb.</w:t>
      </w:r>
      <w:r>
        <w:rPr>
          <w:rFonts w:ascii="Tahoma" w:hAnsi="Tahoma" w:cs="Tahoma"/>
        </w:rPr>
        <w:t xml:space="preserve"> </w:t>
      </w:r>
    </w:p>
    <w:p w:rsidR="00160860" w:rsidRDefault="00160860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Sobald die Anlage in Betrieb ist und sich Kisten in </w:t>
      </w:r>
      <w:r w:rsidR="006F58B2">
        <w:rPr>
          <w:rFonts w:ascii="Tahoma" w:hAnsi="Tahoma" w:cs="Tahoma"/>
        </w:rPr>
        <w:t>mindestens einem der Magazine</w:t>
      </w:r>
      <w:r>
        <w:rPr>
          <w:rFonts w:ascii="Tahoma" w:hAnsi="Tahoma" w:cs="Tahoma"/>
        </w:rPr>
        <w:t xml:space="preserve"> befinden, wird mit Hilfe der beiden Schiebezylinder 1A1 und 2A1 automatisch entnommen. Dabei soll immer aus der Seite mit der höheren Kistenanzahl geschoben werden, bei Gleichstand aus dem rechten Magazin.</w:t>
      </w:r>
    </w:p>
    <w:p w:rsidR="006F58B2" w:rsidRDefault="006F58B2" w:rsidP="001B523F">
      <w:pPr>
        <w:spacing w:after="120"/>
        <w:rPr>
          <w:rFonts w:ascii="Tahoma" w:hAnsi="Tahoma" w:cs="Tahoma"/>
        </w:rPr>
      </w:pPr>
      <w:r w:rsidRPr="00160860">
        <w:rPr>
          <w:rFonts w:ascii="Tahoma" w:hAnsi="Tahoma" w:cs="Tahoma"/>
        </w:rPr>
        <w:t>STOP-Taster S11</w:t>
      </w:r>
      <w:r>
        <w:rPr>
          <w:rFonts w:ascii="Tahoma" w:hAnsi="Tahoma" w:cs="Tahoma"/>
        </w:rPr>
        <w:t xml:space="preserve"> und NOT_AUS-Schalter S0 sollen sich während des laufenden Betriebs unterschiedlich auswirken: </w:t>
      </w:r>
      <w:r w:rsidRPr="0016086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Bei Betätigen des STOP-Tasters wird ein angefangener Hub an einem Zylinder doch komplett fertig gefahren. Dagegen muss bei betätigtem NOT_AUS-Schalter die Ansteuerung der Magnetventile und damit das weitere Ausfahren der Zylinder unterbunden werden.</w:t>
      </w:r>
    </w:p>
    <w:p w:rsidR="006F58B2" w:rsidRDefault="006F58B2" w:rsidP="001B523F">
      <w:pPr>
        <w:spacing w:after="120"/>
        <w:rPr>
          <w:rFonts w:ascii="Tahoma" w:hAnsi="Tahoma" w:cs="Tahoma"/>
        </w:rPr>
      </w:pPr>
    </w:p>
    <w:p w:rsidR="00C23BD4" w:rsidRDefault="00D563BC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Ein Display zeigt</w:t>
      </w:r>
      <w:r w:rsidR="006F58B2">
        <w:rPr>
          <w:rFonts w:ascii="Tahoma" w:hAnsi="Tahoma" w:cs="Tahoma"/>
        </w:rPr>
        <w:t xml:space="preserve"> jeweils</w:t>
      </w:r>
      <w:r>
        <w:rPr>
          <w:rFonts w:ascii="Tahoma" w:hAnsi="Tahoma" w:cs="Tahoma"/>
        </w:rPr>
        <w:t xml:space="preserve"> den aktuellen Füllstand an</w:t>
      </w:r>
      <w:r w:rsidR="006F58B2">
        <w:rPr>
          <w:rFonts w:ascii="Tahoma" w:hAnsi="Tahoma" w:cs="Tahoma"/>
        </w:rPr>
        <w:t>,</w:t>
      </w:r>
      <w:r w:rsidR="00F41C03">
        <w:rPr>
          <w:rFonts w:ascii="Tahoma" w:hAnsi="Tahoma" w:cs="Tahoma"/>
        </w:rPr>
        <w:t xml:space="preserve"> also wie viele Kisten tatsächlich im Magazin sind</w:t>
      </w:r>
      <w:r w:rsidR="006F58B2">
        <w:rPr>
          <w:rFonts w:ascii="Tahoma" w:hAnsi="Tahoma" w:cs="Tahoma"/>
        </w:rPr>
        <w:t xml:space="preserve"> (MW40 links, MW42 rechts)</w:t>
      </w:r>
      <w:r>
        <w:rPr>
          <w:rFonts w:ascii="Tahoma" w:hAnsi="Tahoma" w:cs="Tahoma"/>
        </w:rPr>
        <w:t>.</w:t>
      </w:r>
      <w:r w:rsidR="00433FB2">
        <w:rPr>
          <w:rFonts w:ascii="Tahoma" w:hAnsi="Tahoma" w:cs="Tahoma"/>
        </w:rPr>
        <w:t xml:space="preserve"> </w:t>
      </w:r>
      <w:bookmarkStart w:id="0" w:name="_GoBack"/>
      <w:bookmarkEnd w:id="0"/>
      <w:r w:rsidR="00F41C03">
        <w:rPr>
          <w:rFonts w:ascii="Tahoma" w:hAnsi="Tahoma" w:cs="Tahoma"/>
        </w:rPr>
        <w:t>Beide Anzeigefelder verarbeiten</w:t>
      </w:r>
      <w:r w:rsidR="00433FB2">
        <w:rPr>
          <w:rFonts w:ascii="Tahoma" w:hAnsi="Tahoma" w:cs="Tahoma"/>
        </w:rPr>
        <w:t xml:space="preserve"> Informationen im BCD-Format, die im</w:t>
      </w:r>
      <w:r w:rsidR="00793BA8">
        <w:rPr>
          <w:rFonts w:ascii="Tahoma" w:hAnsi="Tahoma" w:cs="Tahoma"/>
        </w:rPr>
        <w:t xml:space="preserve"> </w:t>
      </w:r>
      <w:r w:rsidR="006F58B2">
        <w:rPr>
          <w:rFonts w:ascii="Tahoma" w:hAnsi="Tahoma" w:cs="Tahoma"/>
        </w:rPr>
        <w:t>j</w:t>
      </w:r>
      <w:r w:rsidR="00793BA8">
        <w:rPr>
          <w:rFonts w:ascii="Tahoma" w:hAnsi="Tahoma" w:cs="Tahoma"/>
        </w:rPr>
        <w:t>eweils</w:t>
      </w:r>
      <w:r w:rsidR="00F41C03">
        <w:rPr>
          <w:rFonts w:ascii="Tahoma" w:hAnsi="Tahoma" w:cs="Tahoma"/>
        </w:rPr>
        <w:t xml:space="preserve"> genannten</w:t>
      </w:r>
      <w:r w:rsidR="00433FB2">
        <w:rPr>
          <w:rFonts w:ascii="Tahoma" w:hAnsi="Tahoma" w:cs="Tahoma"/>
        </w:rPr>
        <w:t xml:space="preserve"> Merkerwort hinterlegt sind.</w:t>
      </w:r>
    </w:p>
    <w:p w:rsidR="00D563BC" w:rsidRDefault="006F58B2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Mit dem Taster S10 können bei Bedarf beide Zähler auf null rückgesetzt werden.</w:t>
      </w:r>
    </w:p>
    <w:p w:rsidR="00035E6C" w:rsidRDefault="00035E6C" w:rsidP="00035E6C">
      <w:pPr>
        <w:spacing w:after="0"/>
        <w:rPr>
          <w:rFonts w:ascii="Tahoma" w:hAnsi="Tahoma" w:cs="Tahoma"/>
        </w:rPr>
      </w:pPr>
    </w:p>
    <w:p w:rsidR="001B523F" w:rsidRDefault="001B523F" w:rsidP="00035E6C">
      <w:pPr>
        <w:spacing w:after="0"/>
        <w:rPr>
          <w:rFonts w:ascii="Tahoma" w:hAnsi="Tahoma" w:cs="Tahoma"/>
        </w:rPr>
      </w:pP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lastRenderedPageBreak/>
        <w:t>Zuordnungen:</w:t>
      </w:r>
    </w:p>
    <w:tbl>
      <w:tblPr>
        <w:tblW w:w="93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194"/>
        <w:gridCol w:w="897"/>
        <w:gridCol w:w="5271"/>
      </w:tblGrid>
      <w:tr w:rsidR="0082230A" w:rsidRPr="001B523F" w:rsidTr="006F58B2">
        <w:tc>
          <w:tcPr>
            <w:tcW w:w="2019" w:type="dxa"/>
            <w:shd w:val="clear" w:color="auto" w:fill="auto"/>
          </w:tcPr>
          <w:p w:rsidR="0082230A" w:rsidRPr="001B523F" w:rsidRDefault="0082230A" w:rsidP="00D2776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194" w:type="dxa"/>
            <w:shd w:val="clear" w:color="auto" w:fill="auto"/>
          </w:tcPr>
          <w:p w:rsidR="0082230A" w:rsidRPr="001B523F" w:rsidRDefault="0082230A" w:rsidP="00D2776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97" w:type="dxa"/>
            <w:shd w:val="clear" w:color="auto" w:fill="auto"/>
          </w:tcPr>
          <w:p w:rsidR="0082230A" w:rsidRPr="001B523F" w:rsidRDefault="0082230A" w:rsidP="00D2776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271" w:type="dxa"/>
            <w:shd w:val="clear" w:color="auto" w:fill="auto"/>
          </w:tcPr>
          <w:p w:rsidR="0082230A" w:rsidRPr="001B523F" w:rsidRDefault="0082230A" w:rsidP="00D2776D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1M1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A  124.1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1=1A1 ausfahren</w:t>
            </w:r>
            <w:r w:rsidR="006F58B2">
              <w:t>, 0=einfahren</w:t>
            </w:r>
            <w:r w:rsidRPr="00FE4DDF">
              <w:t>, Schieber Magazin rechts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2M1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A  124.2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1=2A1 ausfahren</w:t>
            </w:r>
            <w:r w:rsidR="006F58B2">
              <w:t>, 0=einfahren</w:t>
            </w:r>
            <w:r w:rsidRPr="00FE4DDF">
              <w:t>, Schieber Magazin links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H1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A  125.0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Lampe, Anlage ist eingeschaltet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S0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124.0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Schalter, Öffner, NOT_AUS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S10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125.2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 xml:space="preserve">Taster, Schließer, Zähler </w:t>
            </w:r>
            <w:proofErr w:type="spellStart"/>
            <w:r w:rsidRPr="00FE4DDF">
              <w:t>Reset</w:t>
            </w:r>
            <w:proofErr w:type="spellEnd"/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S11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125.3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Taster, Öffner, STOP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S1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124.1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Endlage Zylinder 1A1 (rechts) hinten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S2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124.2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Endlage Zylinder 1A1 (rechts) vorne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S3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124.3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Endlage Zylinder 2A1 (links) hinten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S4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124.4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Endlage Zylinder 2A1 (links) vorne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S5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124.5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Taster, Schließer, START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S6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124.6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Magazin links, oben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S7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124.7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Magazin rechts, oben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S8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125.0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Schließer, Magazin links, unten</w:t>
            </w:r>
          </w:p>
        </w:tc>
      </w:tr>
      <w:tr w:rsidR="00D2776D" w:rsidRPr="001B523F" w:rsidTr="006F58B2">
        <w:tc>
          <w:tcPr>
            <w:tcW w:w="2019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S9</w:t>
            </w:r>
          </w:p>
        </w:tc>
        <w:tc>
          <w:tcPr>
            <w:tcW w:w="1194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E  125.1</w:t>
            </w:r>
          </w:p>
        </w:tc>
        <w:tc>
          <w:tcPr>
            <w:tcW w:w="897" w:type="dxa"/>
            <w:shd w:val="clear" w:color="auto" w:fill="auto"/>
          </w:tcPr>
          <w:p w:rsidR="00D2776D" w:rsidRPr="00FE4DDF" w:rsidRDefault="00D2776D" w:rsidP="00D2776D">
            <w:pPr>
              <w:spacing w:after="0"/>
            </w:pPr>
            <w:r w:rsidRPr="00FE4DDF">
              <w:t>BOOL</w:t>
            </w:r>
          </w:p>
        </w:tc>
        <w:tc>
          <w:tcPr>
            <w:tcW w:w="5271" w:type="dxa"/>
            <w:shd w:val="clear" w:color="auto" w:fill="auto"/>
          </w:tcPr>
          <w:p w:rsidR="00D2776D" w:rsidRDefault="00D2776D" w:rsidP="00D2776D">
            <w:pPr>
              <w:spacing w:after="0"/>
            </w:pPr>
            <w:r w:rsidRPr="00FE4DDF">
              <w:t>Schließer, Magazin rechts, unten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0C504D">
      <w:headerReference w:type="default" r:id="rId9"/>
      <w:footerReference w:type="default" r:id="rId10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2F617E">
      <w:rPr>
        <w:rStyle w:val="Seitenzahl"/>
        <w:rFonts w:ascii="Tahoma" w:hAnsi="Tahoma" w:cs="Tahoma"/>
        <w:noProof/>
        <w:sz w:val="16"/>
        <w:szCs w:val="16"/>
      </w:rPr>
      <w:t>SPS-ÜBUNG_18-ZÄHLER_AUS-ZWEI-MAGAZINEN-ENTNEHMEN.DOCX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E001D4">
      <w:rPr>
        <w:rStyle w:val="Seitenzahl"/>
        <w:rFonts w:ascii="Tahoma" w:hAnsi="Tahoma" w:cs="Tahoma"/>
        <w:noProof/>
        <w:sz w:val="16"/>
        <w:szCs w:val="16"/>
      </w:rPr>
      <w:t>1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E001D4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1276"/>
    <w:rsid w:val="000C504D"/>
    <w:rsid w:val="000C56F4"/>
    <w:rsid w:val="000E0E89"/>
    <w:rsid w:val="000F3068"/>
    <w:rsid w:val="000F3741"/>
    <w:rsid w:val="00116541"/>
    <w:rsid w:val="001344D9"/>
    <w:rsid w:val="00160860"/>
    <w:rsid w:val="001924EF"/>
    <w:rsid w:val="00197C34"/>
    <w:rsid w:val="001B523F"/>
    <w:rsid w:val="001C45DA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17E"/>
    <w:rsid w:val="002F6350"/>
    <w:rsid w:val="003160B6"/>
    <w:rsid w:val="0032643E"/>
    <w:rsid w:val="00332AFC"/>
    <w:rsid w:val="00365550"/>
    <w:rsid w:val="00372B18"/>
    <w:rsid w:val="00386890"/>
    <w:rsid w:val="003C2DE3"/>
    <w:rsid w:val="003D55EC"/>
    <w:rsid w:val="003E73E9"/>
    <w:rsid w:val="003F1676"/>
    <w:rsid w:val="00414337"/>
    <w:rsid w:val="00433FB2"/>
    <w:rsid w:val="004426BA"/>
    <w:rsid w:val="00445511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6695"/>
    <w:rsid w:val="00666F9F"/>
    <w:rsid w:val="006728C5"/>
    <w:rsid w:val="00677A03"/>
    <w:rsid w:val="00681AFB"/>
    <w:rsid w:val="006B2F1D"/>
    <w:rsid w:val="006B5DD9"/>
    <w:rsid w:val="006D4758"/>
    <w:rsid w:val="006D5DD3"/>
    <w:rsid w:val="006E10CB"/>
    <w:rsid w:val="006E345A"/>
    <w:rsid w:val="006F58B2"/>
    <w:rsid w:val="00703860"/>
    <w:rsid w:val="00717550"/>
    <w:rsid w:val="00754C88"/>
    <w:rsid w:val="00761CC4"/>
    <w:rsid w:val="00793BA8"/>
    <w:rsid w:val="007A2A6C"/>
    <w:rsid w:val="007A6109"/>
    <w:rsid w:val="008164B4"/>
    <w:rsid w:val="0082230A"/>
    <w:rsid w:val="0083066E"/>
    <w:rsid w:val="008460CE"/>
    <w:rsid w:val="008611BF"/>
    <w:rsid w:val="0087361A"/>
    <w:rsid w:val="00897920"/>
    <w:rsid w:val="008B18DC"/>
    <w:rsid w:val="008B35CE"/>
    <w:rsid w:val="008B67F9"/>
    <w:rsid w:val="008D05FF"/>
    <w:rsid w:val="008D2C3D"/>
    <w:rsid w:val="008D3BA8"/>
    <w:rsid w:val="00917E4F"/>
    <w:rsid w:val="009423DF"/>
    <w:rsid w:val="00947056"/>
    <w:rsid w:val="00961AA0"/>
    <w:rsid w:val="0097200C"/>
    <w:rsid w:val="0099052C"/>
    <w:rsid w:val="0099681D"/>
    <w:rsid w:val="009B1FAD"/>
    <w:rsid w:val="009C18E6"/>
    <w:rsid w:val="009E75C9"/>
    <w:rsid w:val="00A00C41"/>
    <w:rsid w:val="00A06E48"/>
    <w:rsid w:val="00A217DB"/>
    <w:rsid w:val="00A4082E"/>
    <w:rsid w:val="00A57BB2"/>
    <w:rsid w:val="00A66F57"/>
    <w:rsid w:val="00A7552E"/>
    <w:rsid w:val="00A956DF"/>
    <w:rsid w:val="00AA083F"/>
    <w:rsid w:val="00AA6BA5"/>
    <w:rsid w:val="00AC5C51"/>
    <w:rsid w:val="00B0704B"/>
    <w:rsid w:val="00B9070F"/>
    <w:rsid w:val="00B944D2"/>
    <w:rsid w:val="00BA5D14"/>
    <w:rsid w:val="00BB4DD2"/>
    <w:rsid w:val="00BD2C9C"/>
    <w:rsid w:val="00BF7F7D"/>
    <w:rsid w:val="00C07393"/>
    <w:rsid w:val="00C153DA"/>
    <w:rsid w:val="00C23BD4"/>
    <w:rsid w:val="00C316FF"/>
    <w:rsid w:val="00C569ED"/>
    <w:rsid w:val="00C961D4"/>
    <w:rsid w:val="00CA7355"/>
    <w:rsid w:val="00CB428D"/>
    <w:rsid w:val="00D13065"/>
    <w:rsid w:val="00D13B3C"/>
    <w:rsid w:val="00D23007"/>
    <w:rsid w:val="00D2776D"/>
    <w:rsid w:val="00D27C67"/>
    <w:rsid w:val="00D30A16"/>
    <w:rsid w:val="00D402D4"/>
    <w:rsid w:val="00D47534"/>
    <w:rsid w:val="00D563BC"/>
    <w:rsid w:val="00D7554B"/>
    <w:rsid w:val="00D94727"/>
    <w:rsid w:val="00D95C4B"/>
    <w:rsid w:val="00DB4F5E"/>
    <w:rsid w:val="00DE589A"/>
    <w:rsid w:val="00E001D4"/>
    <w:rsid w:val="00E153EF"/>
    <w:rsid w:val="00E224A4"/>
    <w:rsid w:val="00E54986"/>
    <w:rsid w:val="00EE452C"/>
    <w:rsid w:val="00F03C68"/>
    <w:rsid w:val="00F41C03"/>
    <w:rsid w:val="00F556CD"/>
    <w:rsid w:val="00F5587E"/>
    <w:rsid w:val="00F643EA"/>
    <w:rsid w:val="00F66C45"/>
    <w:rsid w:val="00F777E9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10</cp:revision>
  <cp:lastPrinted>2011-02-14T11:15:00Z</cp:lastPrinted>
  <dcterms:created xsi:type="dcterms:W3CDTF">2015-02-02T10:16:00Z</dcterms:created>
  <dcterms:modified xsi:type="dcterms:W3CDTF">2016-06-01T10:00:00Z</dcterms:modified>
</cp:coreProperties>
</file>