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1A2E"/>
          <w:sz w:val="64"/>
          <w:szCs w:val="64"/>
        </w:rPr>
        <w:t xml:space="preserve">WMM</w:t>
      </w:r>
    </w:p>
    <w:p>
      <w:pPr>
        <w:spacing w:after="120" w:before="0"/>
        <w:jc w:val="center"/>
      </w:pPr>
      <w:r>
        <w:rPr>
          <w:rFonts w:ascii="Arial" w:cs="Arial" w:eastAsia="Arial" w:hAnsi="Arial"/>
          <w:b/>
          <w:bCs/>
          <w:color w:val="2563EB"/>
          <w:sz w:val="48"/>
          <w:szCs w:val="48"/>
        </w:rPr>
        <w:t xml:space="preserve">Story Engine</w:t>
      </w:r>
    </w:p>
    <w:p>
      <w:pPr>
        <w:spacing w:after="160" w:before="0"/>
        <w:jc w:val="center"/>
      </w:pPr>
      <w:r>
        <w:rPr>
          <w:rFonts w:ascii="Arial" w:cs="Arial" w:eastAsia="Arial" w:hAnsi="Arial"/>
          <w:color w:val="6B7280"/>
          <w:sz w:val="26"/>
          <w:szCs w:val="26"/>
        </w:rPr>
        <w:t xml:space="preserve">Roadmap de Producto &amp; Flujo del Usuario</w:t>
      </w:r>
    </w:p>
    <w:p>
      <w:pPr>
        <w:spacing w:after="1200" w:before="0"/>
        <w:jc w:val="center"/>
      </w:pPr>
      <w:r>
        <w:rPr>
          <w:rFonts w:ascii="Arial" w:cs="Arial" w:eastAsia="Arial" w:hAnsi="Arial"/>
          <w:i/>
          <w:iCs/>
          <w:color w:val="9CA3AF"/>
          <w:sz w:val="20"/>
          <w:szCs w:val="20"/>
        </w:rPr>
        <w:t xml:space="preserve">Versión 1.0  ·  Mayo 2026  ·  Documento Interno</w:t>
      </w:r>
    </w:p>
    <w:p>
      <w:r>
        <w:br w:type="page"/>
      </w:r>
    </w:p>
    <w:p>
      <w:pPr>
        <w:pStyle w:val="Heading1"/>
        <w:pBdr>
          <w:bottom w:val="single" w:color="2563EB" w:sz="6" w:space="4"/>
        </w:pBdr>
        <w:spacing w:after="160" w:before="480"/>
      </w:pPr>
      <w:r>
        <w:rPr>
          <w:rFonts w:ascii="Arial" w:cs="Arial" w:eastAsia="Arial" w:hAnsi="Arial"/>
          <w:b/>
          <w:bCs/>
          <w:color w:val="1A1A2E"/>
          <w:sz w:val="32"/>
          <w:szCs w:val="32"/>
        </w:rPr>
        <w:t xml:space="preserve">1. Visión General</w:t>
      </w:r>
    </w:p>
    <w:p>
      <w:pPr>
        <w:spacing w:after="80" w:before="40"/>
      </w:pPr>
      <w:r>
        <w:rPr>
          <w:rFonts w:ascii="Arial" w:cs="Arial" w:eastAsia="Arial" w:hAnsi="Arial"/>
          <w:color w:val="374151"/>
          <w:sz w:val="22"/>
          <w:szCs w:val="22"/>
        </w:rPr>
        <w:t xml:space="preserve">El WMM Story Engine es el sistema operativo de marketing de performance de la agencia. Diseñado para que el Marketing Manager pueda, desde un solo brief de cliente, generar inteligencia estratégica completa, producir todos los materiales de ejecución, y gestionar el ciclo de crecimiento continuo del cliente semana a semana.</w:t>
      </w:r>
    </w:p>
    <w:p>
      <w:pPr>
        <w:spacing w:after="40" w:before="40"/>
      </w:pPr>
    </w:p>
    <w:p>
      <w:pPr>
        <w:spacing w:after="80" w:before="40"/>
      </w:pPr>
      <w:r>
        <w:rPr>
          <w:rFonts w:ascii="Arial" w:cs="Arial" w:eastAsia="Arial" w:hAnsi="Arial"/>
          <w:color w:val="374151"/>
          <w:sz w:val="22"/>
          <w:szCs w:val="22"/>
        </w:rPr>
        <w:t xml:space="preserve">El sistema elimina el trabajo manual repetitivo, estandariza el proceso WMM, y conecta la estrategia directamente con la ejecución —ads, emails, creativos y tests— en un flujo coherente y trazable.</w:t>
      </w:r>
    </w:p>
    <w:p>
      <w:pPr>
        <w:spacing w:after="40" w:before="40"/>
      </w:pPr>
    </w:p>
    <w:p>
      <w:pPr>
        <w:pStyle w:val="Heading2"/>
        <w:spacing w:after="120" w:before="400"/>
      </w:pPr>
      <w:r>
        <w:rPr>
          <w:rFonts w:ascii="Arial" w:cs="Arial" w:eastAsia="Arial" w:hAnsi="Arial"/>
          <w:b/>
          <w:bCs/>
          <w:color w:val="2563EB"/>
          <w:sz w:val="26"/>
          <w:szCs w:val="26"/>
        </w:rPr>
        <w:t xml:space="preserve">Principios de diseño</w:t>
      </w:r>
    </w:p>
    <w:p>
      <w:pPr>
        <w:pStyle w:val="ListParagraph"/>
        <w:numPr>
          <w:ilvl w:val="0"/>
          <w:numId w:val="2"/>
        </w:numPr>
        <w:spacing w:after="40" w:before="20"/>
      </w:pPr>
      <w:r>
        <w:rPr>
          <w:rFonts w:ascii="Arial" w:cs="Arial" w:eastAsia="Arial" w:hAnsi="Arial"/>
          <w:b w:val="false"/>
          <w:bCs w:val="false"/>
          <w:color w:val="374151"/>
          <w:sz w:val="22"/>
          <w:szCs w:val="22"/>
        </w:rPr>
        <w:t xml:space="preserve">Un solo input (brief + competidores) genera todo el sistema estratégico.</w:t>
      </w:r>
    </w:p>
    <w:p>
      <w:pPr>
        <w:pStyle w:val="ListParagraph"/>
        <w:numPr>
          <w:ilvl w:val="0"/>
          <w:numId w:val="2"/>
        </w:numPr>
        <w:spacing w:after="40" w:before="20"/>
      </w:pPr>
      <w:r>
        <w:rPr>
          <w:rFonts w:ascii="Arial" w:cs="Arial" w:eastAsia="Arial" w:hAnsi="Arial"/>
          <w:b w:val="false"/>
          <w:bCs w:val="false"/>
          <w:color w:val="374151"/>
          <w:sz w:val="22"/>
          <w:szCs w:val="22"/>
        </w:rPr>
        <w:t xml:space="preserve">Visual blanco, lean, sin ruido — herramienta de uso diario, no showcase.</w:t>
      </w:r>
    </w:p>
    <w:p>
      <w:pPr>
        <w:pStyle w:val="ListParagraph"/>
        <w:numPr>
          <w:ilvl w:val="0"/>
          <w:numId w:val="2"/>
        </w:numPr>
        <w:spacing w:after="40" w:before="20"/>
      </w:pPr>
      <w:r>
        <w:rPr>
          <w:rFonts w:ascii="Arial" w:cs="Arial" w:eastAsia="Arial" w:hAnsi="Arial"/>
          <w:b w:val="false"/>
          <w:bCs w:val="false"/>
          <w:color w:val="374151"/>
          <w:sz w:val="22"/>
          <w:szCs w:val="22"/>
        </w:rPr>
        <w:t xml:space="preserve">Cada módulo sirve un momento específico del ciclo de trabajo del equipo.</w:t>
      </w:r>
    </w:p>
    <w:p>
      <w:pPr>
        <w:pStyle w:val="ListParagraph"/>
        <w:numPr>
          <w:ilvl w:val="0"/>
          <w:numId w:val="2"/>
        </w:numPr>
        <w:spacing w:after="40" w:before="20"/>
      </w:pPr>
      <w:r>
        <w:rPr>
          <w:rFonts w:ascii="Arial" w:cs="Arial" w:eastAsia="Arial" w:hAnsi="Arial"/>
          <w:b w:val="false"/>
          <w:bCs w:val="false"/>
          <w:color w:val="374151"/>
          <w:sz w:val="22"/>
          <w:szCs w:val="22"/>
        </w:rPr>
        <w:t xml:space="preserve">Los datos de performance reales retroalimentan la estrategia en cada ciclo.</w:t>
      </w:r>
    </w:p>
    <w:p>
      <w:pPr>
        <w:pStyle w:val="ListParagraph"/>
        <w:numPr>
          <w:ilvl w:val="0"/>
          <w:numId w:val="2"/>
        </w:numPr>
        <w:spacing w:after="40" w:before="20"/>
      </w:pPr>
      <w:r>
        <w:rPr>
          <w:rFonts w:ascii="Arial" w:cs="Arial" w:eastAsia="Arial" w:hAnsi="Arial"/>
          <w:b w:val="false"/>
          <w:bCs w:val="false"/>
          <w:color w:val="374151"/>
          <w:sz w:val="22"/>
          <w:szCs w:val="22"/>
        </w:rPr>
        <w:t xml:space="preserve">El cliente tiene su propio workspace persistente — el brief se vuelve más inteligente con el tiempo.</w:t>
      </w:r>
    </w:p>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2. Flujo del Usuario — Marketing Manager</w:t>
      </w:r>
    </w:p>
    <w:p>
      <w:pPr>
        <w:spacing w:after="80" w:before="40"/>
      </w:pPr>
      <w:r>
        <w:rPr>
          <w:rFonts w:ascii="Arial" w:cs="Arial" w:eastAsia="Arial" w:hAnsi="Arial"/>
          <w:color w:val="374151"/>
          <w:sz w:val="22"/>
          <w:szCs w:val="22"/>
        </w:rPr>
        <w:t xml:space="preserve">El journey completo del Marketing Manager dentro del Story Engine sigue cinco fases. Cada fase tiene un input claro, un output accionable, y conecta con la siguiente.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Fase 0</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Onboarding &amp; Intake — crea la cuenta de cliente, conecta plataformas, pega el brief.</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Fase 1</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Intelligence Engine — el AI genera ángulos, hooks, canales, LP, journey, financieros y análisis de atracción.</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Fase 2</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Execution Pack — genera Creative Requests (formato WMM), Email Flows (GHL-ready) y scripts de ad.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Fase 3</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Client Workspace — hub persistente por cliente: ángulos con status, hook tester, datos de Meta/Google.</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Fase 4</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Growth Backlog — backlog de tests ICE+Bullseye, learning log, propuesta automática de siguiente iteración.</w:t>
            </w:r>
          </w:p>
        </w:tc>
      </w:tr>
    </w:tbl>
    <w:p>
      <w:pPr>
        <w:spacing w:after="40" w:before="40"/>
      </w:pPr>
    </w:p>
    <w:p>
      <w:pPr>
        <w:spacing w:after="120" w:before="0"/>
      </w:pPr>
      <w:r>
        <w:rPr>
          <w:rFonts w:ascii="Arial" w:cs="Arial" w:eastAsia="Arial" w:hAnsi="Arial"/>
          <w:i/>
          <w:iCs/>
          <w:color w:val="6B7280"/>
          <w:sz w:val="21"/>
          <w:szCs w:val="21"/>
        </w:rPr>
        <w:t xml:space="preserve">→ El loop semanal conecta la Fase 4 de vuelta a la Fase 1: los resultados de tests alimentan el angle map y el brief se vuelve más inteligente en cada ciclo.</w:t>
      </w:r>
    </w:p>
    <w:p>
      <w:pPr>
        <w:pBdr>
          <w:bottom w:val="single" w:color="E2E8F0" w:sz="2" w:space="1"/>
        </w:pBdr>
        <w:spacing w:after="240" w:before="240"/>
      </w:pPr>
    </w:p>
    <w:p>
      <w:r>
        <w:br w:type="page"/>
      </w:r>
    </w:p>
    <w:p>
      <w:pPr>
        <w:pStyle w:val="Heading1"/>
        <w:pBdr>
          <w:bottom w:val="single" w:color="2563EB" w:sz="6" w:space="4"/>
        </w:pBdr>
        <w:spacing w:after="160" w:before="480"/>
      </w:pPr>
      <w:r>
        <w:rPr>
          <w:rFonts w:ascii="Arial" w:cs="Arial" w:eastAsia="Arial" w:hAnsi="Arial"/>
          <w:b/>
          <w:bCs/>
          <w:color w:val="1A1A2E"/>
          <w:sz w:val="32"/>
          <w:szCs w:val="32"/>
        </w:rPr>
        <w:t xml:space="preserve">3. Estado Actual — Módulos en Producción</w:t>
      </w:r>
    </w:p>
    <w:p>
      <w:pPr>
        <w:spacing w:after="80" w:before="40"/>
      </w:pPr>
      <w:r>
        <w:rPr>
          <w:rFonts w:ascii="Arial" w:cs="Arial" w:eastAsia="Arial" w:hAnsi="Arial"/>
          <w:color w:val="374151"/>
          <w:sz w:val="22"/>
          <w:szCs w:val="22"/>
        </w:rPr>
        <w:t xml:space="preserve">Los siguientes módulos están construidos, funcionales y disponibles hoy. Corresponden a las Fases 1 y 2 del flujo del usuario.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Módulo</w:t>
            </w:r>
          </w:p>
        </w:tc>
        <w:tc>
          <w:tcPr>
            <w:tcW w:type="dxa" w:w="18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496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Strategy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Brief + competidores → ángulos, hooks, canales, LP, ad concepts, user journey. Generación paralela progresiva.</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Financials</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Modelo financiero completo: CAC máximo, escenarios conservador/base/optimista, breakdown de presupuesto, checklist de readiness.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Creative Request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 el template WMM completo (secciones 1-11): copy in/out, script beats, file naming con nomenclatura WMM. Botón Copy as text.</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Email Flows</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6 tipos de flujo GHL-ready: Lead Nurture, Pre-Call, No-Show Recovery, Sales Follow-Up, Reactivation, Onboarding. Emails completos + SMS + setup notes.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Attraction Matrix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 dimensiones Byung-Chul Han: Tensión, Gravedad, Leveza, Ritual, Alteridad. Radar SVG, before/after de cambios, reescritura completa.</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Test Lab</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Generación de 6 experimentos ICE+Bullseye desde el brief. Board, vista Bullseye, Learning Log con export CSV.</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Load Sample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Drawer lateral con 7 samples precargados por modo. Pre-fill de todos los campos con un click.</w:t>
            </w:r>
          </w:p>
        </w:tc>
      </w:tr>
    </w:tbl>
    <w:p>
      <w:pPr>
        <w:spacing w:after="40" w:before="40"/>
      </w:pPr>
    </w:p>
    <w:p>
      <w:pPr>
        <w:pStyle w:val="Heading2"/>
        <w:spacing w:after="120" w:before="400"/>
      </w:pPr>
      <w:r>
        <w:rPr>
          <w:rFonts w:ascii="Arial" w:cs="Arial" w:eastAsia="Arial" w:hAnsi="Arial"/>
          <w:b/>
          <w:bCs/>
          <w:color w:val="2563EB"/>
          <w:sz w:val="26"/>
          <w:szCs w:val="26"/>
        </w:rPr>
        <w:t xml:space="preserve">Capacidades transversales</w:t>
      </w:r>
    </w:p>
    <w:p>
      <w:pPr>
        <w:pStyle w:val="ListParagraph"/>
        <w:numPr>
          <w:ilvl w:val="0"/>
          <w:numId w:val="2"/>
        </w:numPr>
        <w:spacing w:after="40" w:before="20"/>
      </w:pPr>
      <w:r>
        <w:rPr>
          <w:rFonts w:ascii="Arial" w:cs="Arial" w:eastAsia="Arial" w:hAnsi="Arial"/>
          <w:b w:val="false"/>
          <w:bCs w:val="false"/>
          <w:color w:val="374151"/>
          <w:sz w:val="22"/>
          <w:szCs w:val="22"/>
        </w:rPr>
        <w:t xml:space="preserve">Generación paralela de llamadas a la API — los módulos de hooks, estrategia y journey corren simultáneamente.</w:t>
      </w:r>
    </w:p>
    <w:p>
      <w:pPr>
        <w:pStyle w:val="ListParagraph"/>
        <w:numPr>
          <w:ilvl w:val="0"/>
          <w:numId w:val="2"/>
        </w:numPr>
        <w:spacing w:after="40" w:before="20"/>
      </w:pPr>
      <w:r>
        <w:rPr>
          <w:rFonts w:ascii="Arial" w:cs="Arial" w:eastAsia="Arial" w:hAnsi="Arial"/>
          <w:b w:val="false"/>
          <w:bCs w:val="false"/>
          <w:color w:val="374151"/>
          <w:sz w:val="22"/>
          <w:szCs w:val="22"/>
        </w:rPr>
        <w:t xml:space="preserve">Export JSON Pack — todo el densification pack exportable para compartir con el equipo.</w:t>
      </w:r>
    </w:p>
    <w:p>
      <w:pPr>
        <w:pStyle w:val="ListParagraph"/>
        <w:numPr>
          <w:ilvl w:val="0"/>
          <w:numId w:val="2"/>
        </w:numPr>
        <w:spacing w:after="40" w:before="20"/>
      </w:pPr>
      <w:r>
        <w:rPr>
          <w:rFonts w:ascii="Arial" w:cs="Arial" w:eastAsia="Arial" w:hAnsi="Arial"/>
          <w:b w:val="false"/>
          <w:bCs w:val="false"/>
          <w:color w:val="374151"/>
          <w:sz w:val="22"/>
          <w:szCs w:val="22"/>
        </w:rPr>
        <w:t xml:space="preserve">Copy as text — todos los documentos generados copiables en formato texto plano para ClickUp/Notion.</w:t>
      </w:r>
    </w:p>
    <w:p>
      <w:pPr>
        <w:pStyle w:val="ListParagraph"/>
        <w:numPr>
          <w:ilvl w:val="0"/>
          <w:numId w:val="2"/>
        </w:numPr>
        <w:spacing w:after="40" w:before="20"/>
      </w:pPr>
      <w:r>
        <w:rPr>
          <w:rFonts w:ascii="Arial" w:cs="Arial" w:eastAsia="Arial" w:hAnsi="Arial"/>
          <w:b w:val="false"/>
          <w:bCs w:val="false"/>
          <w:color w:val="374151"/>
          <w:sz w:val="22"/>
          <w:szCs w:val="22"/>
        </w:rPr>
        <w:t xml:space="preserve">Datos de Strategy disponibles para todos los módulos — ángulos generados se pre-cargan en Creative Request, Email Flows y Test Lab.</w:t>
      </w:r>
    </w:p>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4. Test Lab — Detalle del Módulo</w:t>
      </w:r>
    </w:p>
    <w:p>
      <w:pPr>
        <w:spacing w:after="80" w:before="40"/>
      </w:pPr>
      <w:r>
        <w:rPr>
          <w:rFonts w:ascii="Arial" w:cs="Arial" w:eastAsia="Arial" w:hAnsi="Arial"/>
          <w:color w:val="374151"/>
          <w:sz w:val="22"/>
          <w:szCs w:val="22"/>
        </w:rPr>
        <w:t xml:space="preserve">El Test Lab es el módulo de experimentación estructurada. Toma el brief o densification pack del cliente y genera un backlog de tests priorizados con metodología ICE + Bullseye Framework.</w:t>
      </w:r>
    </w:p>
    <w:p>
      <w:pPr>
        <w:spacing w:after="40" w:before="40"/>
      </w:pPr>
    </w:p>
    <w:p>
      <w:pPr>
        <w:pStyle w:val="Heading2"/>
        <w:spacing w:after="120" w:before="400"/>
      </w:pPr>
      <w:r>
        <w:rPr>
          <w:rFonts w:ascii="Arial" w:cs="Arial" w:eastAsia="Arial" w:hAnsi="Arial"/>
          <w:b/>
          <w:bCs/>
          <w:color w:val="2563EB"/>
          <w:sz w:val="26"/>
          <w:szCs w:val="26"/>
        </w:rPr>
        <w:t xml:space="preserve">4.1 Flujo del Test Lab</w:t>
      </w:r>
    </w:p>
    <w:p>
      <w:pPr>
        <w:pStyle w:val="ListParagraph"/>
        <w:numPr>
          <w:ilvl w:val="0"/>
          <w:numId w:val="3"/>
        </w:numPr>
        <w:spacing w:after="40" w:before="20"/>
      </w:pPr>
      <w:r>
        <w:rPr>
          <w:rFonts w:ascii="Arial" w:cs="Arial" w:eastAsia="Arial" w:hAnsi="Arial"/>
          <w:color w:val="374151"/>
          <w:sz w:val="22"/>
          <w:szCs w:val="22"/>
        </w:rPr>
        <w:t xml:space="preserve">El Marketing Manager pega el brief del cliente o el densification pack generado por Strategy.</w:t>
      </w:r>
    </w:p>
    <w:p>
      <w:pPr>
        <w:pStyle w:val="ListParagraph"/>
        <w:numPr>
          <w:ilvl w:val="0"/>
          <w:numId w:val="3"/>
        </w:numPr>
        <w:spacing w:after="40" w:before="20"/>
      </w:pPr>
      <w:r>
        <w:rPr>
          <w:rFonts w:ascii="Arial" w:cs="Arial" w:eastAsia="Arial" w:hAnsi="Arial"/>
          <w:color w:val="374151"/>
          <w:sz w:val="22"/>
          <w:szCs w:val="22"/>
        </w:rPr>
        <w:t xml:space="preserve">El engine genera 6 experimentos priorizados, cada uno con hipótesis, variable a testear, hook, formato, KPI, audiencia, score ICE y posición en el Bullseye.</w:t>
      </w:r>
    </w:p>
    <w:p>
      <w:pPr>
        <w:pStyle w:val="ListParagraph"/>
        <w:numPr>
          <w:ilvl w:val="0"/>
          <w:numId w:val="3"/>
        </w:numPr>
        <w:spacing w:after="40" w:before="20"/>
      </w:pPr>
      <w:r>
        <w:rPr>
          <w:rFonts w:ascii="Arial" w:cs="Arial" w:eastAsia="Arial" w:hAnsi="Arial"/>
          <w:color w:val="374151"/>
          <w:sz w:val="22"/>
          <w:szCs w:val="22"/>
        </w:rPr>
        <w:t xml:space="preserve">El equipo ajusta los scores ICE manualmente según contexto real (presupuesto, capacidad creativa, urgencia).</w:t>
      </w:r>
    </w:p>
    <w:p>
      <w:pPr>
        <w:pStyle w:val="ListParagraph"/>
        <w:numPr>
          <w:ilvl w:val="0"/>
          <w:numId w:val="3"/>
        </w:numPr>
        <w:spacing w:after="40" w:before="20"/>
      </w:pPr>
      <w:r>
        <w:rPr>
          <w:rFonts w:ascii="Arial" w:cs="Arial" w:eastAsia="Arial" w:hAnsi="Arial"/>
          <w:color w:val="374151"/>
          <w:sz w:val="22"/>
          <w:szCs w:val="22"/>
        </w:rPr>
        <w:t xml:space="preserve">Cada test se marca con su estado: Planeado → En Curso → Completado / Pausado.</w:t>
      </w:r>
    </w:p>
    <w:p>
      <w:pPr>
        <w:pStyle w:val="ListParagraph"/>
        <w:numPr>
          <w:ilvl w:val="0"/>
          <w:numId w:val="3"/>
        </w:numPr>
        <w:spacing w:after="40" w:before="20"/>
      </w:pPr>
      <w:r>
        <w:rPr>
          <w:rFonts w:ascii="Arial" w:cs="Arial" w:eastAsia="Arial" w:hAnsi="Arial"/>
          <w:color w:val="374151"/>
          <w:sz w:val="22"/>
          <w:szCs w:val="22"/>
        </w:rPr>
        <w:t xml:space="preserve">Los resultados y la interpretación se documentan en el Learning Log.</w:t>
      </w:r>
    </w:p>
    <w:p>
      <w:pPr>
        <w:pStyle w:val="ListParagraph"/>
        <w:numPr>
          <w:ilvl w:val="0"/>
          <w:numId w:val="3"/>
        </w:numPr>
        <w:spacing w:after="40" w:before="20"/>
      </w:pPr>
      <w:r>
        <w:rPr>
          <w:rFonts w:ascii="Arial" w:cs="Arial" w:eastAsia="Arial" w:hAnsi="Arial"/>
          <w:color w:val="374151"/>
          <w:sz w:val="22"/>
          <w:szCs w:val="22"/>
        </w:rPr>
        <w:t xml:space="preserve">El Learning Log retroalimenta el siguiente ciclo de generación de ángulos en Strategy.</w:t>
      </w:r>
    </w:p>
    <w:p>
      <w:pPr>
        <w:spacing w:after="40" w:before="40"/>
      </w:pPr>
    </w:p>
    <w:p>
      <w:pPr>
        <w:pStyle w:val="Heading2"/>
        <w:spacing w:after="120" w:before="400"/>
      </w:pPr>
      <w:r>
        <w:rPr>
          <w:rFonts w:ascii="Arial" w:cs="Arial" w:eastAsia="Arial" w:hAnsi="Arial"/>
          <w:b/>
          <w:bCs/>
          <w:color w:val="2563EB"/>
          <w:sz w:val="26"/>
          <w:szCs w:val="26"/>
        </w:rPr>
        <w:t xml:space="preserve">4.2 Variables testeadas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Módulo</w:t>
            </w:r>
          </w:p>
        </w:tc>
        <w:tc>
          <w:tcPr>
            <w:tcW w:type="dxa" w:w="18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496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Ángulo 🧭</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C3AED"/>
                <w:sz w:val="20"/>
                <w:szCs w:val="20"/>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Testea un nuevo ángulo estratégico completo — nueva creencia atacada, nuevo driver emocional.</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Hook 🎯</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2563EB"/>
                <w:sz w:val="20"/>
                <w:szCs w:val="20"/>
              </w:rPr>
              <w:t xml:space="preserve">—</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Misma proposición, diferente apertura. Testea qué primera línea/escena detiene el scroll.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Formato 🎬</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0F766E"/>
                <w:sz w:val="20"/>
                <w:szCs w:val="20"/>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Mismo mensaje, diferente formato creativo: UGC vs Founder vs POV vs Comparison.</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Proof 🏅</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Mismo ángulo, diferente asset de prueba: testimonial vs dato estadístico vs antes/después.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CTA 📣</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EA580C"/>
                <w:sz w:val="20"/>
                <w:szCs w:val="20"/>
              </w:rPr>
              <w:t xml:space="preserv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Misma promesa, diferente llamada a la acción: booking vs llamada vs formulario.</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Oferta 📦</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D97706"/>
                <w:sz w:val="20"/>
                <w:szCs w:val="20"/>
              </w:rPr>
              <w:t xml:space="preserve">—</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Testea la estructura del offer: framing del precio, garantía, urgencia, bonus.</w:t>
            </w:r>
          </w:p>
        </w:tc>
      </w:tr>
    </w:tbl>
    <w:p>
      <w:pPr>
        <w:spacing w:after="40" w:before="40"/>
      </w:pPr>
    </w:p>
    <w:p>
      <w:pPr>
        <w:pStyle w:val="Heading2"/>
        <w:spacing w:after="120" w:before="400"/>
      </w:pPr>
      <w:r>
        <w:rPr>
          <w:rFonts w:ascii="Arial" w:cs="Arial" w:eastAsia="Arial" w:hAnsi="Arial"/>
          <w:b/>
          <w:bCs/>
          <w:color w:val="2563EB"/>
          <w:sz w:val="26"/>
          <w:szCs w:val="26"/>
        </w:rPr>
        <w:t xml:space="preserve">4.3 ICE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Impact (I)</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¿Cuánto afecta al KPI si este test gana? Escala 1-5.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Confidence (C)</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¿Qué tan seguros estamos de que funcionará? Basado en data previa. Escala 1-5.</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Ease (E)</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¿Qué tan fácil es producirlo? Considera tiempo creativo y presupuesto. Escala 1-5.</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ICE Total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Suma I+C+E. Máximo 15. Bullseye ≥13, Anillo 2: 11-12, Anillo 3: 9-10, Periferia &lt;9.</w:t>
            </w:r>
          </w:p>
        </w:tc>
      </w:tr>
    </w:tbl>
    <w:p>
      <w:pPr>
        <w:spacing w:after="40" w:before="40"/>
      </w:pPr>
    </w:p>
    <w:p>
      <w:pPr>
        <w:pStyle w:val="Heading2"/>
        <w:spacing w:after="120" w:before="400"/>
      </w:pPr>
      <w:r>
        <w:rPr>
          <w:rFonts w:ascii="Arial" w:cs="Arial" w:eastAsia="Arial" w:hAnsi="Arial"/>
          <w:b/>
          <w:bCs/>
          <w:color w:val="2563EB"/>
          <w:sz w:val="26"/>
          <w:szCs w:val="26"/>
        </w:rPr>
        <w:t xml:space="preserve">4.4 Vistas del Test Lab</w:t>
      </w:r>
    </w:p>
    <w:p>
      <w:pPr>
        <w:pStyle w:val="ListParagraph"/>
        <w:numPr>
          <w:ilvl w:val="0"/>
          <w:numId w:val="2"/>
        </w:numPr>
        <w:spacing w:after="40" w:before="20"/>
      </w:pPr>
      <w:r>
        <w:rPr>
          <w:rFonts w:ascii="Arial" w:cs="Arial" w:eastAsia="Arial" w:hAnsi="Arial"/>
          <w:b w:val="false"/>
          <w:bCs w:val="false"/>
          <w:color w:val="374151"/>
          <w:sz w:val="22"/>
          <w:szCs w:val="22"/>
        </w:rPr>
        <w:t xml:space="preserve">Board — lista de todos los tests con estado, ICE score ajustable, resultado y notas.</w:t>
      </w:r>
    </w:p>
    <w:p>
      <w:pPr>
        <w:pStyle w:val="ListParagraph"/>
        <w:numPr>
          <w:ilvl w:val="0"/>
          <w:numId w:val="2"/>
        </w:numPr>
        <w:spacing w:after="40" w:before="20"/>
      </w:pPr>
      <w:r>
        <w:rPr>
          <w:rFonts w:ascii="Arial" w:cs="Arial" w:eastAsia="Arial" w:hAnsi="Arial"/>
          <w:b w:val="false"/>
          <w:bCs w:val="false"/>
          <w:color w:val="374151"/>
          <w:sz w:val="22"/>
          <w:szCs w:val="22"/>
        </w:rPr>
        <w:t xml:space="preserve">Bullseye — tests organizados por prioridad en 4 anillos. Distribución por variable testeada.</w:t>
      </w:r>
    </w:p>
    <w:p>
      <w:pPr>
        <w:pStyle w:val="ListParagraph"/>
        <w:numPr>
          <w:ilvl w:val="0"/>
          <w:numId w:val="2"/>
        </w:numPr>
        <w:spacing w:after="40" w:before="20"/>
      </w:pPr>
      <w:r>
        <w:rPr>
          <w:rFonts w:ascii="Arial" w:cs="Arial" w:eastAsia="Arial" w:hAnsi="Arial"/>
          <w:b w:val="false"/>
          <w:bCs w:val="false"/>
          <w:color w:val="374151"/>
          <w:sz w:val="22"/>
          <w:szCs w:val="22"/>
        </w:rPr>
        <w:t xml:space="preserve">Learning Log — tabla completa de todos los tests con resultados documentados. Export CSV con un click.</w:t>
      </w:r>
    </w:p>
    <w:p>
      <w:pPr>
        <w:pBdr>
          <w:bottom w:val="single" w:color="E2E8F0" w:sz="2" w:space="1"/>
        </w:pBdr>
        <w:spacing w:after="240" w:before="240"/>
      </w:pPr>
    </w:p>
    <w:p>
      <w:r>
        <w:br w:type="page"/>
      </w:r>
    </w:p>
    <w:p>
      <w:pPr>
        <w:pStyle w:val="Heading1"/>
        <w:pBdr>
          <w:bottom w:val="single" w:color="2563EB" w:sz="6" w:space="4"/>
        </w:pBdr>
        <w:spacing w:after="160" w:before="480"/>
      </w:pPr>
      <w:r>
        <w:rPr>
          <w:rFonts w:ascii="Arial" w:cs="Arial" w:eastAsia="Arial" w:hAnsi="Arial"/>
          <w:b/>
          <w:bCs/>
          <w:color w:val="1A1A2E"/>
          <w:sz w:val="32"/>
          <w:szCs w:val="32"/>
        </w:rPr>
        <w:t xml:space="preserve">5. Roadmap — Próximas Fases</w:t>
      </w:r>
    </w:p>
    <w:p>
      <w:pPr>
        <w:shd w:fill="1A1A2E" w:val="clear"/>
        <w:spacing w:after="80" w:before="320"/>
        <w:ind w:left="240"/>
      </w:pPr>
      <w:r>
        <w:rPr>
          <w:rFonts w:ascii="Arial" w:cs="Arial" w:eastAsia="Arial" w:hAnsi="Arial"/>
          <w:b/>
          <w:bCs/>
          <w:color w:val="FFFFFF"/>
          <w:sz w:val="20"/>
          <w:szCs w:val="20"/>
        </w:rPr>
        <w:t xml:space="preserve">FASE 0  </w:t>
      </w:r>
      <w:r>
        <w:rPr>
          <w:rFonts w:ascii="Arial" w:cs="Arial" w:eastAsia="Arial" w:hAnsi="Arial"/>
          <w:b/>
          <w:bCs/>
          <w:color w:val="FFFFFF"/>
          <w:sz w:val="20"/>
          <w:szCs w:val="20"/>
        </w:rPr>
        <w:t xml:space="preserve">  Onboarding &amp; Intake  </w:t>
      </w:r>
      <w:r>
        <w:rPr>
          <w:rFonts w:ascii="Arial" w:cs="Arial" w:eastAsia="Arial" w:hAnsi="Arial"/>
          <w:b/>
          <w:bCs/>
          <w:color w:val="FBBF24"/>
          <w:sz w:val="18"/>
          <w:szCs w:val="18"/>
        </w:rPr>
        <w:t xml:space="preserve">          [Próximo Build]</w:t>
      </w:r>
    </w:p>
    <w:p>
      <w:pPr>
        <w:spacing w:after="200" w:before="0"/>
        <w:ind w:left="240"/>
      </w:pPr>
      <w:r>
        <w:rPr>
          <w:rFonts w:ascii="Arial" w:cs="Arial" w:eastAsia="Arial" w:hAnsi="Arial"/>
          <w:i/>
          <w:iCs/>
          <w:color w:val="6B7280"/>
          <w:sz w:val="21"/>
          <w:szCs w:val="21"/>
        </w:rPr>
        <w:t xml:space="preserve">Antes de generar cualquier estrategia, el Marketing Manager configura el perfil del cliente y valida la readiness de lanzamiento.</w:t>
      </w:r>
    </w:p>
    <w:p>
      <w:pPr>
        <w:pStyle w:val="Heading3"/>
        <w:spacing w:after="80" w:before="280"/>
      </w:pPr>
      <w:r>
        <w:rPr>
          <w:rFonts w:ascii="Arial" w:cs="Arial" w:eastAsia="Arial" w:hAnsi="Arial"/>
          <w:b/>
          <w:bCs/>
          <w:color w:val="0F766E"/>
          <w:sz w:val="22"/>
          <w:szCs w:val="22"/>
        </w:rPr>
        <w:t xml:space="preserve">Funcionalidades</w:t>
      </w:r>
    </w:p>
    <w:p>
      <w:pPr>
        <w:pStyle w:val="ListParagraph"/>
        <w:numPr>
          <w:ilvl w:val="0"/>
          <w:numId w:val="2"/>
        </w:numPr>
        <w:spacing w:after="40" w:before="20"/>
      </w:pPr>
      <w:r>
        <w:rPr>
          <w:rFonts w:ascii="Arial" w:cs="Arial" w:eastAsia="Arial" w:hAnsi="Arial"/>
          <w:b w:val="false"/>
          <w:bCs w:val="false"/>
          <w:color w:val="374151"/>
          <w:sz w:val="22"/>
          <w:szCs w:val="22"/>
        </w:rPr>
        <w:t xml:space="preserve">Creación de cuenta de agencia con workspaces por cliente.</w:t>
      </w:r>
    </w:p>
    <w:p>
      <w:pPr>
        <w:pStyle w:val="ListParagraph"/>
        <w:numPr>
          <w:ilvl w:val="0"/>
          <w:numId w:val="2"/>
        </w:numPr>
        <w:spacing w:after="40" w:before="20"/>
      </w:pPr>
      <w:r>
        <w:rPr>
          <w:rFonts w:ascii="Arial" w:cs="Arial" w:eastAsia="Arial" w:hAnsi="Arial"/>
          <w:b w:val="false"/>
          <w:bCs w:val="false"/>
          <w:color w:val="374151"/>
          <w:sz w:val="22"/>
          <w:szCs w:val="22"/>
        </w:rPr>
        <w:t xml:space="preserve">Perfil del cliente: nombre, vertical, Meta Business ID, Google Ads Account ID, CRM (GHL) integration.</w:t>
      </w:r>
    </w:p>
    <w:p>
      <w:pPr>
        <w:pStyle w:val="ListParagraph"/>
        <w:numPr>
          <w:ilvl w:val="0"/>
          <w:numId w:val="2"/>
        </w:numPr>
        <w:spacing w:after="40" w:before="20"/>
      </w:pPr>
      <w:r>
        <w:rPr>
          <w:rFonts w:ascii="Arial" w:cs="Arial" w:eastAsia="Arial" w:hAnsi="Arial"/>
          <w:b w:val="false"/>
          <w:bCs w:val="false"/>
          <w:color w:val="374151"/>
          <w:sz w:val="22"/>
          <w:szCs w:val="22"/>
        </w:rPr>
        <w:t xml:space="preserve">Intake Brief persistente: el brief queda guardado en el perfil del cliente y sirve de base para todos los módulos.</w:t>
      </w:r>
    </w:p>
    <w:p>
      <w:pPr>
        <w:pStyle w:val="ListParagraph"/>
        <w:numPr>
          <w:ilvl w:val="0"/>
          <w:numId w:val="2"/>
        </w:numPr>
        <w:spacing w:after="40" w:before="20"/>
      </w:pPr>
      <w:r>
        <w:rPr>
          <w:rFonts w:ascii="Arial" w:cs="Arial" w:eastAsia="Arial" w:hAnsi="Arial"/>
          <w:b w:val="false"/>
          <w:bCs w:val="false"/>
          <w:color w:val="374151"/>
          <w:sz w:val="22"/>
          <w:szCs w:val="22"/>
        </w:rPr>
        <w:t xml:space="preserve">Densification Pack: el pack generado (ángulos, hooks, journey) queda linkado al cliente.</w:t>
      </w:r>
    </w:p>
    <w:p>
      <w:pPr>
        <w:pStyle w:val="ListParagraph"/>
        <w:numPr>
          <w:ilvl w:val="0"/>
          <w:numId w:val="2"/>
        </w:numPr>
        <w:spacing w:after="40" w:before="20"/>
      </w:pPr>
      <w:r>
        <w:rPr>
          <w:rFonts w:ascii="Arial" w:cs="Arial" w:eastAsia="Arial" w:hAnsi="Arial"/>
          <w:b w:val="false"/>
          <w:bCs w:val="false"/>
          <w:color w:val="374151"/>
          <w:sz w:val="22"/>
          <w:szCs w:val="22"/>
        </w:rPr>
        <w:t xml:space="preserve">Checklist de Launch Readiness (basado en SOP WMM Meta): pixel instalado, conversion events testeados, naming conventions aplicadas, creativos aprobados, pipeline GHL configurado.</w:t>
      </w:r>
    </w:p>
    <w:p>
      <w:pPr>
        <w:pStyle w:val="ListParagraph"/>
        <w:numPr>
          <w:ilvl w:val="0"/>
          <w:numId w:val="2"/>
        </w:numPr>
        <w:spacing w:after="40" w:before="20"/>
      </w:pPr>
      <w:r>
        <w:rPr>
          <w:rFonts w:ascii="Arial" w:cs="Arial" w:eastAsia="Arial" w:hAnsi="Arial"/>
          <w:b w:val="false"/>
          <w:bCs w:val="false"/>
          <w:color w:val="374151"/>
          <w:sz w:val="22"/>
          <w:szCs w:val="22"/>
        </w:rPr>
        <w:t xml:space="preserve">Roles de equipo: Estratega, Media Buyer, Diseñador — cada uno ve los módulos relevantes.</w:t>
      </w:r>
    </w:p>
    <w:p>
      <w:pPr>
        <w:spacing w:after="40" w:before="40"/>
      </w:pPr>
    </w:p>
    <w:p>
      <w:pPr>
        <w:shd w:fill="1A1A2E" w:val="clear"/>
        <w:spacing w:after="80" w:before="320"/>
        <w:ind w:left="240"/>
      </w:pPr>
      <w:r>
        <w:rPr>
          <w:rFonts w:ascii="Arial" w:cs="Arial" w:eastAsia="Arial" w:hAnsi="Arial"/>
          <w:b/>
          <w:bCs/>
          <w:color w:val="FFFFFF"/>
          <w:sz w:val="20"/>
          <w:szCs w:val="20"/>
        </w:rPr>
        <w:t xml:space="preserve">FASE 3  </w:t>
      </w:r>
      <w:r>
        <w:rPr>
          <w:rFonts w:ascii="Arial" w:cs="Arial" w:eastAsia="Arial" w:hAnsi="Arial"/>
          <w:b/>
          <w:bCs/>
          <w:color w:val="FFFFFF"/>
          <w:sz w:val="20"/>
          <w:szCs w:val="20"/>
        </w:rPr>
        <w:t xml:space="preserve">  Client Workspace  </w:t>
      </w:r>
      <w:r>
        <w:rPr>
          <w:rFonts w:ascii="Arial" w:cs="Arial" w:eastAsia="Arial" w:hAnsi="Arial"/>
          <w:b/>
          <w:bCs/>
          <w:color w:val="FBBF24"/>
          <w:sz w:val="18"/>
          <w:szCs w:val="18"/>
        </w:rPr>
        <w:t xml:space="preserve">          [Roadmap Q3 2026]</w:t>
      </w:r>
    </w:p>
    <w:p>
      <w:pPr>
        <w:spacing w:after="200" w:before="0"/>
        <w:ind w:left="240"/>
      </w:pPr>
      <w:r>
        <w:rPr>
          <w:rFonts w:ascii="Arial" w:cs="Arial" w:eastAsia="Arial" w:hAnsi="Arial"/>
          <w:i/>
          <w:iCs/>
          <w:color w:val="6B7280"/>
          <w:sz w:val="21"/>
          <w:szCs w:val="21"/>
        </w:rPr>
        <w:t xml:space="preserve">Hub persistente por cliente. Una sola página que es la fuente de verdad del account.</w:t>
      </w:r>
    </w:p>
    <w:p>
      <w:pPr>
        <w:pStyle w:val="Heading3"/>
        <w:spacing w:after="80" w:before="280"/>
      </w:pPr>
      <w:r>
        <w:rPr>
          <w:rFonts w:ascii="Arial" w:cs="Arial" w:eastAsia="Arial" w:hAnsi="Arial"/>
          <w:b/>
          <w:bCs/>
          <w:color w:val="0F766E"/>
          <w:sz w:val="22"/>
          <w:szCs w:val="22"/>
        </w:rPr>
        <w:t xml:space="preserve">Funcionalidades</w:t>
      </w:r>
    </w:p>
    <w:p>
      <w:pPr>
        <w:pStyle w:val="ListParagraph"/>
        <w:numPr>
          <w:ilvl w:val="0"/>
          <w:numId w:val="2"/>
        </w:numPr>
        <w:spacing w:after="40" w:before="20"/>
      </w:pPr>
      <w:r>
        <w:rPr>
          <w:rFonts w:ascii="Arial" w:cs="Arial" w:eastAsia="Arial" w:hAnsi="Arial"/>
          <w:b w:val="false"/>
          <w:bCs w:val="false"/>
          <w:color w:val="374151"/>
          <w:sz w:val="22"/>
          <w:szCs w:val="22"/>
        </w:rPr>
        <w:t xml:space="preserve">Dashboard del cliente: brief activo, ángulos en curso, CPL actual, spend, health status.</w:t>
      </w:r>
    </w:p>
    <w:p>
      <w:pPr>
        <w:pStyle w:val="ListParagraph"/>
        <w:numPr>
          <w:ilvl w:val="0"/>
          <w:numId w:val="2"/>
        </w:numPr>
        <w:spacing w:after="40" w:before="20"/>
      </w:pPr>
      <w:r>
        <w:rPr>
          <w:rFonts w:ascii="Arial" w:cs="Arial" w:eastAsia="Arial" w:hAnsi="Arial"/>
          <w:b w:val="false"/>
          <w:bCs w:val="false"/>
          <w:color w:val="374151"/>
          <w:sz w:val="22"/>
          <w:szCs w:val="22"/>
        </w:rPr>
        <w:t xml:space="preserve">Angle Library: todos los ángulos generados con status (activo / testeando / pausado / retirado). Cada ángulo linkado a su Campaign ID en Meta y Google.</w:t>
      </w:r>
    </w:p>
    <w:p>
      <w:pPr>
        <w:pStyle w:val="ListParagraph"/>
        <w:numPr>
          <w:ilvl w:val="0"/>
          <w:numId w:val="2"/>
        </w:numPr>
        <w:spacing w:after="40" w:before="20"/>
      </w:pPr>
      <w:r>
        <w:rPr>
          <w:rFonts w:ascii="Arial" w:cs="Arial" w:eastAsia="Arial" w:hAnsi="Arial"/>
          <w:b w:val="false"/>
          <w:bCs w:val="false"/>
          <w:color w:val="374151"/>
          <w:sz w:val="22"/>
          <w:szCs w:val="22"/>
        </w:rPr>
        <w:t xml:space="preserve">Hook Tester: selecciona un ángulo → elige hooks → linka a ad sets → el CTR y hook retention de Meta/Google se mapean contra cada hook. Sabes qué hook gana antes de escalar.</w:t>
      </w:r>
    </w:p>
    <w:p>
      <w:pPr>
        <w:pStyle w:val="ListParagraph"/>
        <w:numPr>
          <w:ilvl w:val="0"/>
          <w:numId w:val="2"/>
        </w:numPr>
        <w:spacing w:after="40" w:before="20"/>
      </w:pPr>
      <w:r>
        <w:rPr>
          <w:rFonts w:ascii="Arial" w:cs="Arial" w:eastAsia="Arial" w:hAnsi="Arial"/>
          <w:b w:val="false"/>
          <w:bCs w:val="false"/>
          <w:color w:val="374151"/>
          <w:sz w:val="22"/>
          <w:szCs w:val="22"/>
        </w:rPr>
        <w:t xml:space="preserve">Conexión Meta + Google (read-only API): campaign names, ad set IDs, spend, CPL, CTR, CVR. Sin reporteo manual — los datos vienen solos.</w:t>
      </w:r>
    </w:p>
    <w:p>
      <w:pPr>
        <w:pStyle w:val="ListParagraph"/>
        <w:numPr>
          <w:ilvl w:val="0"/>
          <w:numId w:val="2"/>
        </w:numPr>
        <w:spacing w:after="40" w:before="20"/>
      </w:pPr>
      <w:r>
        <w:rPr>
          <w:rFonts w:ascii="Arial" w:cs="Arial" w:eastAsia="Arial" w:hAnsi="Arial"/>
          <w:b w:val="false"/>
          <w:bCs w:val="false"/>
          <w:color w:val="374151"/>
          <w:sz w:val="22"/>
          <w:szCs w:val="22"/>
        </w:rPr>
        <w:t xml:space="preserve">Colaboración de equipo: comentarios y aprobaciones por ítem, status de Creative Requests, asignación de owners.</w:t>
      </w:r>
    </w:p>
    <w:p>
      <w:pPr>
        <w:spacing w:after="40" w:before="40"/>
      </w:pPr>
    </w:p>
    <w:p>
      <w:pPr>
        <w:shd w:fill="1A1A2E" w:val="clear"/>
        <w:spacing w:after="80" w:before="320"/>
        <w:ind w:left="240"/>
      </w:pPr>
      <w:r>
        <w:rPr>
          <w:rFonts w:ascii="Arial" w:cs="Arial" w:eastAsia="Arial" w:hAnsi="Arial"/>
          <w:b/>
          <w:bCs/>
          <w:color w:val="FFFFFF"/>
          <w:sz w:val="20"/>
          <w:szCs w:val="20"/>
        </w:rPr>
        <w:t xml:space="preserve">FASE 4  </w:t>
      </w:r>
      <w:r>
        <w:rPr>
          <w:rFonts w:ascii="Arial" w:cs="Arial" w:eastAsia="Arial" w:hAnsi="Arial"/>
          <w:b/>
          <w:bCs/>
          <w:color w:val="FFFFFF"/>
          <w:sz w:val="20"/>
          <w:szCs w:val="20"/>
        </w:rPr>
        <w:t xml:space="preserve">  Growth Backlog  </w:t>
      </w:r>
      <w:r>
        <w:rPr>
          <w:rFonts w:ascii="Arial" w:cs="Arial" w:eastAsia="Arial" w:hAnsi="Arial"/>
          <w:b/>
          <w:bCs/>
          <w:color w:val="FBBF24"/>
          <w:sz w:val="18"/>
          <w:szCs w:val="18"/>
        </w:rPr>
        <w:t xml:space="preserve">          [Roadmap Q4 2026]</w:t>
      </w:r>
    </w:p>
    <w:p>
      <w:pPr>
        <w:spacing w:after="200" w:before="0"/>
        <w:ind w:left="240"/>
      </w:pPr>
      <w:r>
        <w:rPr>
          <w:rFonts w:ascii="Arial" w:cs="Arial" w:eastAsia="Arial" w:hAnsi="Arial"/>
          <w:i/>
          <w:iCs/>
          <w:color w:val="6B7280"/>
          <w:sz w:val="21"/>
          <w:szCs w:val="21"/>
        </w:rPr>
        <w:t xml:space="preserve">El sistema operacional semanal. Cierra el loop entre estrategia, ejecución y resultados reales.</w:t>
      </w:r>
    </w:p>
    <w:p>
      <w:pPr>
        <w:pStyle w:val="Heading3"/>
        <w:spacing w:after="80" w:before="280"/>
      </w:pPr>
      <w:r>
        <w:rPr>
          <w:rFonts w:ascii="Arial" w:cs="Arial" w:eastAsia="Arial" w:hAnsi="Arial"/>
          <w:b/>
          <w:bCs/>
          <w:color w:val="0F766E"/>
          <w:sz w:val="22"/>
          <w:szCs w:val="22"/>
        </w:rPr>
        <w:t xml:space="preserve">Funcionalidades</w:t>
      </w:r>
    </w:p>
    <w:p>
      <w:pPr>
        <w:pStyle w:val="ListParagraph"/>
        <w:numPr>
          <w:ilvl w:val="0"/>
          <w:numId w:val="2"/>
        </w:numPr>
        <w:spacing w:after="40" w:before="20"/>
      </w:pPr>
      <w:r>
        <w:rPr>
          <w:rFonts w:ascii="Arial" w:cs="Arial" w:eastAsia="Arial" w:hAnsi="Arial"/>
          <w:b w:val="false"/>
          <w:bCs w:val="false"/>
          <w:color w:val="374151"/>
          <w:sz w:val="22"/>
          <w:szCs w:val="22"/>
        </w:rPr>
        <w:t xml:space="preserve">Test Backlog integrado con el Client Workspace: los tests del Test Lab se sincronizan con el cliente correspondiente.</w:t>
      </w:r>
    </w:p>
    <w:p>
      <w:pPr>
        <w:pStyle w:val="ListParagraph"/>
        <w:numPr>
          <w:ilvl w:val="0"/>
          <w:numId w:val="2"/>
        </w:numPr>
        <w:spacing w:after="40" w:before="20"/>
      </w:pPr>
      <w:r>
        <w:rPr>
          <w:rFonts w:ascii="Arial" w:cs="Arial" w:eastAsia="Arial" w:hAnsi="Arial"/>
          <w:b w:val="false"/>
          <w:bCs w:val="false"/>
          <w:color w:val="374151"/>
          <w:sz w:val="22"/>
          <w:szCs w:val="22"/>
        </w:rPr>
        <w:t xml:space="preserve">Results Log: cada test completado registra resultado vs hipótesis, winner/loser, aprendizaje, próxima acción.</w:t>
      </w:r>
    </w:p>
    <w:p>
      <w:pPr>
        <w:pStyle w:val="ListParagraph"/>
        <w:numPr>
          <w:ilvl w:val="0"/>
          <w:numId w:val="2"/>
        </w:numPr>
        <w:spacing w:after="40" w:before="20"/>
      </w:pPr>
      <w:r>
        <w:rPr>
          <w:rFonts w:ascii="Arial" w:cs="Arial" w:eastAsia="Arial" w:hAnsi="Arial"/>
          <w:b w:val="false"/>
          <w:bCs w:val="false"/>
          <w:color w:val="374151"/>
          <w:sz w:val="22"/>
          <w:szCs w:val="22"/>
        </w:rPr>
        <w:t xml:space="preserve">AI-powered next iteration: tras cada ciclo de tests, el engine lee resultados + data de saturación actual y propone los próximos 3 tests — nuevas combinaciones de ángulos, mutaciones de hooks, variantes de LP informadas por datos reales.</w:t>
      </w:r>
    </w:p>
    <w:p>
      <w:pPr>
        <w:pStyle w:val="ListParagraph"/>
        <w:numPr>
          <w:ilvl w:val="0"/>
          <w:numId w:val="2"/>
        </w:numPr>
        <w:spacing w:after="40" w:before="20"/>
      </w:pPr>
      <w:r>
        <w:rPr>
          <w:rFonts w:ascii="Arial" w:cs="Arial" w:eastAsia="Arial" w:hAnsi="Arial"/>
          <w:b w:val="false"/>
          <w:bCs w:val="false"/>
          <w:color w:val="374151"/>
          <w:sz w:val="22"/>
          <w:szCs w:val="22"/>
        </w:rPr>
        <w:t xml:space="preserve">Weekly Performance Digest automatizado: cada lunes, resumen de spend, CPL, mejor ángulo, peor ángulo, qué pausar, qué escalar, qué creativo solicitar. Reemplaza el diagnóstico manual semanal.</w:t>
      </w:r>
    </w:p>
    <w:p>
      <w:pPr>
        <w:pStyle w:val="ListParagraph"/>
        <w:numPr>
          <w:ilvl w:val="0"/>
          <w:numId w:val="2"/>
        </w:numPr>
        <w:spacing w:after="40" w:before="20"/>
      </w:pPr>
      <w:r>
        <w:rPr>
          <w:rFonts w:ascii="Arial" w:cs="Arial" w:eastAsia="Arial" w:hAnsi="Arial"/>
          <w:b w:val="false"/>
          <w:bCs w:val="false"/>
          <w:color w:val="374151"/>
          <w:sz w:val="22"/>
          <w:szCs w:val="22"/>
        </w:rPr>
        <w:t xml:space="preserve">Loop de retroalimentación al Intelligence Engine: los ángulos ganadores se marcan como probados. Los perdedores informan el próximo análisis de saturación. El brief se vuelve más inteligente con el tiempo.</w:t>
      </w:r>
    </w:p>
    <w:p>
      <w:pPr>
        <w:spacing w:after="40" w:before="40"/>
      </w:pPr>
    </w:p>
    <w:p>
      <w:pPr>
        <w:spacing w:after="120" w:before="0"/>
      </w:pPr>
      <w:r>
        <w:rPr>
          <w:rFonts w:ascii="Arial" w:cs="Arial" w:eastAsia="Arial" w:hAnsi="Arial"/>
          <w:i/>
          <w:iCs/>
          <w:color w:val="6B7280"/>
          <w:sz w:val="21"/>
          <w:szCs w:val="21"/>
        </w:rPr>
        <w:t xml:space="preserve">→ El objetivo final de la Fase 4 es que el Story Engine se convierta en el estratega perpetuo del cliente — no solo genera el plan inicial, sino que aprende y mejora con cada ciclo de datos reales.</w:t>
      </w:r>
    </w:p>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6. Flujo Semanal Operativo</w:t>
      </w:r>
    </w:p>
    <w:p>
      <w:pPr>
        <w:spacing w:after="80" w:before="40"/>
      </w:pPr>
      <w:r>
        <w:rPr>
          <w:rFonts w:ascii="Arial" w:cs="Arial" w:eastAsia="Arial" w:hAnsi="Arial"/>
          <w:color w:val="374151"/>
          <w:sz w:val="22"/>
          <w:szCs w:val="22"/>
        </w:rPr>
        <w:t xml:space="preserve">Una vez el sistema está en producción completa (Fases 0-4), el flujo semanal del Marketing Manager con el Story Engine es el siguiente: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Lunes</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Recibe el Weekly Digest automático. Revisa qué pausar y qué escalar. Abre el Test Lab para ver el backlog de la semana.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Martes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 o actualiza el Creative Request para el equipo de diseño. Selecciona ángulos a testear, linkea hooks específicos.</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Miércoles</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El equipo de diseño produce los creativos basados en el Creative Request del Story Engine.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Jueves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Media Buyer lanza los tests en Meta y Google, linka Campaign IDs al Client Workspace.</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Viernes</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Documenta resultados parciales en el Learning Log. Actualiza status de tests en curso.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Siguiente lunes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El Digest incluye los resultados de los tests de la semana. El engine propone la siguiente iteración informado por los datos reales.</w:t>
            </w:r>
          </w:p>
        </w:tc>
      </w:tr>
    </w:tbl>
    <w:p>
      <w:pPr>
        <w:pBdr>
          <w:bottom w:val="single" w:color="E2E8F0" w:sz="2" w:space="1"/>
        </w:pBdr>
        <w:spacing w:after="240" w:before="240"/>
      </w:pPr>
    </w:p>
    <w:p>
      <w:r>
        <w:br w:type="page"/>
      </w:r>
    </w:p>
    <w:p>
      <w:pPr>
        <w:pStyle w:val="Heading1"/>
        <w:pBdr>
          <w:bottom w:val="single" w:color="2563EB" w:sz="6" w:space="4"/>
        </w:pBdr>
        <w:spacing w:after="160" w:before="480"/>
      </w:pPr>
      <w:r>
        <w:rPr>
          <w:rFonts w:ascii="Arial" w:cs="Arial" w:eastAsia="Arial" w:hAnsi="Arial"/>
          <w:b/>
          <w:bCs/>
          <w:color w:val="1A1A2E"/>
          <w:sz w:val="32"/>
          <w:szCs w:val="32"/>
        </w:rPr>
        <w:t xml:space="preserve">7. Inventario Completo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Módulo</w:t>
            </w:r>
          </w:p>
        </w:tc>
        <w:tc>
          <w:tcPr>
            <w:tcW w:type="dxa" w:w="180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4960"/>
            <w:tcBorders>
              <w:top w:val="single" w:color="2563EB" w:sz="1"/>
              <w:left w:val="single" w:color="2563EB" w:sz="1"/>
              <w:bottom w:val="single" w:color="2563EB" w:sz="1"/>
              <w:right w:val="single" w:color="2563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Strategy Engine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Brief + competidores → análisis de saturación, 12 ángulos, 50+ hooks, canales Meta/Google, arquitectura LP, user journey map.</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Financial Model</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CAC máximo permitido, revenue per lead, scenarios, budget breakdown por canal, readiness checklist.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Attraction Matrix</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Análisis filosófico-estratégico del creativo en 5 dimensiones Han: Tensión, Gravedad, Leveza, Ritual, Alteridad. Score, diagnóstico, cambios priorizados, reescritura completa.</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Creative Request</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 el template oficial WMM: campaign info, conversion point, copy in/out por ángulo (static + video + carousel), LP structure, file naming.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Email Flows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 flujos GHL-ready con email bodies completos, SMS, waits, conditions, GHL actions. Setup checklist, tags y pipeline stages incluidos.</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Test Lab</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6 experimentos ICE+Bullseye por cliente. Ajuste manual de scores, gestión de status, resultado + interpretación, Learning Log con export CSV.</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Load Sample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6A34A"/>
                <w:sz w:val="20"/>
                <w:szCs w:val="20"/>
              </w:rPr>
              <w:t xml:space="preserve">✅ Producción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 samples predefinidos para todos los modos. Drawer lateral, pre-fill inmediato con un click.</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Client Onboarding</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D97706"/>
                <w:sz w:val="20"/>
                <w:szCs w:val="20"/>
              </w:rPr>
              <w:t xml:space="preserve">🔜 Próximo</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Perfil de cliente, integración Meta/Google IDs, GHL, brief persistente, checklist de launch readiness, roles de equipo.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Client Workspace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7C3AED"/>
                <w:sz w:val="20"/>
                <w:szCs w:val="20"/>
              </w:rPr>
              <w:t xml:space="preserve">📋 Q3 2026</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Hub por cliente con angle library (status + Campaign ID), hook tester, API de Meta y Google (read-only), colaboración de equipo.</w:t>
            </w:r>
          </w:p>
        </w:tc>
      </w:tr>
      <w:tr>
        <w:tc>
          <w:tcPr>
            <w:tcW w:type="dxa" w:w="26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1F2937"/>
                <w:sz w:val="20"/>
                <w:szCs w:val="20"/>
              </w:rPr>
              <w:t xml:space="preserve">Growth Backlog</w:t>
            </w:r>
          </w:p>
        </w:tc>
        <w:tc>
          <w:tcPr>
            <w:tcW w:type="dxa" w:w="180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7C3AED"/>
                <w:sz w:val="20"/>
                <w:szCs w:val="20"/>
              </w:rPr>
              <w:t xml:space="preserve">📋 Q4 2026</w:t>
            </w:r>
          </w:p>
        </w:tc>
        <w:tc>
          <w:tcPr>
            <w:tcW w:type="dxa" w:w="496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 backlog integrado, results log, AI next iteration, weekly digest automático, loop de retroalimentación al Intelligence Engine.</w:t>
            </w:r>
          </w:p>
        </w:tc>
      </w:tr>
    </w:tbl>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8. Principios Técnicos</w:t>
      </w:r>
    </w:p>
    <w:p>
      <w:pPr>
        <w:pStyle w:val="Heading2"/>
        <w:spacing w:after="120" w:before="400"/>
      </w:pPr>
      <w:r>
        <w:rPr>
          <w:rFonts w:ascii="Arial" w:cs="Arial" w:eastAsia="Arial" w:hAnsi="Arial"/>
          <w:b/>
          <w:bCs/>
          <w:color w:val="2563EB"/>
          <w:sz w:val="26"/>
          <w:szCs w:val="26"/>
        </w:rPr>
        <w:t xml:space="preserve">API y generación</w:t>
      </w:r>
    </w:p>
    <w:p>
      <w:pPr>
        <w:pStyle w:val="ListParagraph"/>
        <w:numPr>
          <w:ilvl w:val="0"/>
          <w:numId w:val="2"/>
        </w:numPr>
        <w:spacing w:after="40" w:before="20"/>
      </w:pPr>
      <w:r>
        <w:rPr>
          <w:rFonts w:ascii="Arial" w:cs="Arial" w:eastAsia="Arial" w:hAnsi="Arial"/>
          <w:b w:val="false"/>
          <w:bCs w:val="false"/>
          <w:color w:val="374151"/>
          <w:sz w:val="22"/>
          <w:szCs w:val="22"/>
        </w:rPr>
        <w:t xml:space="preserve">Modelo: Claude Sonnet 4 (claude-sonnet-4-20250514). Balance óptimo velocidad/calidad para uso en producción.</w:t>
      </w:r>
    </w:p>
    <w:p>
      <w:pPr>
        <w:pStyle w:val="ListParagraph"/>
        <w:numPr>
          <w:ilvl w:val="0"/>
          <w:numId w:val="2"/>
        </w:numPr>
        <w:spacing w:after="40" w:before="20"/>
      </w:pPr>
      <w:r>
        <w:rPr>
          <w:rFonts w:ascii="Arial" w:cs="Arial" w:eastAsia="Arial" w:hAnsi="Arial"/>
          <w:b w:val="false"/>
          <w:bCs w:val="false"/>
          <w:color w:val="374151"/>
          <w:sz w:val="22"/>
          <w:szCs w:val="22"/>
        </w:rPr>
        <w:t xml:space="preserve">Generación paralela: los steps 2 y 3 del Strategy Engine corren simultáneamente con Promise.allSettled() — el tiempo total no es la suma sino el máximo.</w:t>
      </w:r>
    </w:p>
    <w:p>
      <w:pPr>
        <w:pStyle w:val="ListParagraph"/>
        <w:numPr>
          <w:ilvl w:val="0"/>
          <w:numId w:val="2"/>
        </w:numPr>
        <w:spacing w:after="40" w:before="20"/>
      </w:pPr>
      <w:r>
        <w:rPr>
          <w:rFonts w:ascii="Arial" w:cs="Arial" w:eastAsia="Arial" w:hAnsi="Arial"/>
          <w:b w:val="false"/>
          <w:bCs w:val="false"/>
          <w:color w:val="374151"/>
          <w:sz w:val="22"/>
          <w:szCs w:val="22"/>
        </w:rPr>
        <w:t xml:space="preserve">Progressive display: los resultados aparecen por sección conforme llegan — el usuario no espera a que todo esté completo.</w:t>
      </w:r>
    </w:p>
    <w:p>
      <w:pPr>
        <w:pStyle w:val="ListParagraph"/>
        <w:numPr>
          <w:ilvl w:val="0"/>
          <w:numId w:val="2"/>
        </w:numPr>
        <w:spacing w:after="40" w:before="20"/>
      </w:pPr>
      <w:r>
        <w:rPr>
          <w:rFonts w:ascii="Arial" w:cs="Arial" w:eastAsia="Arial" w:hAnsi="Arial"/>
          <w:b w:val="false"/>
          <w:bCs w:val="false"/>
          <w:color w:val="374151"/>
          <w:sz w:val="22"/>
          <w:szCs w:val="22"/>
        </w:rPr>
        <w:t xml:space="preserve">JSON parsing robusto: safeJSON() extrae el primer objeto JSON válido del raw string — resiliente ante prefijos o sufijos del modelo.</w:t>
      </w:r>
    </w:p>
    <w:p>
      <w:pPr>
        <w:spacing w:after="40" w:before="40"/>
      </w:pPr>
    </w:p>
    <w:p>
      <w:pPr>
        <w:pStyle w:val="Heading2"/>
        <w:spacing w:after="120" w:before="400"/>
      </w:pPr>
      <w:r>
        <w:rPr>
          <w:rFonts w:ascii="Arial" w:cs="Arial" w:eastAsia="Arial" w:hAnsi="Arial"/>
          <w:b/>
          <w:bCs/>
          <w:color w:val="2563EB"/>
          <w:sz w:val="26"/>
          <w:szCs w:val="26"/>
        </w:rPr>
        <w:t xml:space="preserve">Arquitectura de la app</w:t>
      </w:r>
    </w:p>
    <w:p>
      <w:pPr>
        <w:pStyle w:val="ListParagraph"/>
        <w:numPr>
          <w:ilvl w:val="0"/>
          <w:numId w:val="2"/>
        </w:numPr>
        <w:spacing w:after="40" w:before="20"/>
      </w:pPr>
      <w:r>
        <w:rPr>
          <w:rFonts w:ascii="Arial" w:cs="Arial" w:eastAsia="Arial" w:hAnsi="Arial"/>
          <w:b w:val="false"/>
          <w:bCs w:val="false"/>
          <w:color w:val="374151"/>
          <w:sz w:val="22"/>
          <w:szCs w:val="22"/>
        </w:rPr>
        <w:t xml:space="preserve">Single file React (JSX) — 2,200+ líneas. Cero dependencias externas más allá de React.</w:t>
      </w:r>
    </w:p>
    <w:p>
      <w:pPr>
        <w:pStyle w:val="ListParagraph"/>
        <w:numPr>
          <w:ilvl w:val="0"/>
          <w:numId w:val="2"/>
        </w:numPr>
        <w:spacing w:after="40" w:before="20"/>
      </w:pPr>
      <w:r>
        <w:rPr>
          <w:rFonts w:ascii="Arial" w:cs="Arial" w:eastAsia="Arial" w:hAnsi="Arial"/>
          <w:b w:val="false"/>
          <w:bCs w:val="false"/>
          <w:color w:val="374151"/>
          <w:sz w:val="22"/>
          <w:szCs w:val="22"/>
        </w:rPr>
        <w:t xml:space="preserve">3 modos activos: Strategy, Financials, Creative Request, Email Flows, Attraction Matrix, Test Lab.</w:t>
      </w:r>
    </w:p>
    <w:p>
      <w:pPr>
        <w:pStyle w:val="ListParagraph"/>
        <w:numPr>
          <w:ilvl w:val="0"/>
          <w:numId w:val="2"/>
        </w:numPr>
        <w:spacing w:after="40" w:before="20"/>
      </w:pPr>
      <w:r>
        <w:rPr>
          <w:rFonts w:ascii="Arial" w:cs="Arial" w:eastAsia="Arial" w:hAnsi="Arial"/>
          <w:b w:val="false"/>
          <w:bCs w:val="false"/>
          <w:color w:val="374151"/>
          <w:sz w:val="22"/>
          <w:szCs w:val="22"/>
        </w:rPr>
        <w:t xml:space="preserve">Shared state vía onData callback: Strategy expone sus datos a Creative Request, Email Flows y Test Lab.</w:t>
      </w:r>
    </w:p>
    <w:p>
      <w:pPr>
        <w:pStyle w:val="ListParagraph"/>
        <w:numPr>
          <w:ilvl w:val="0"/>
          <w:numId w:val="2"/>
        </w:numPr>
        <w:spacing w:after="40" w:before="20"/>
      </w:pPr>
      <w:r>
        <w:rPr>
          <w:rFonts w:ascii="Arial" w:cs="Arial" w:eastAsia="Arial" w:hAnsi="Arial"/>
          <w:b w:val="false"/>
          <w:bCs w:val="false"/>
          <w:color w:val="374151"/>
          <w:sz w:val="22"/>
          <w:szCs w:val="22"/>
        </w:rPr>
        <w:t xml:space="preserve">loaders con useRef: cada modo registra su función de pre-fill; el drawer de samples la llama tras cambiar de modo.</w:t>
      </w:r>
    </w:p>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9. Próximos Pasos Inmediatos</w:t>
      </w:r>
    </w:p>
    <w:p>
      <w:pPr>
        <w:spacing w:after="80" w:before="40"/>
      </w:pPr>
      <w:r>
        <w:rPr>
          <w:rFonts w:ascii="Arial" w:cs="Arial" w:eastAsia="Arial" w:hAnsi="Arial"/>
          <w:color w:val="374151"/>
          <w:sz w:val="22"/>
          <w:szCs w:val="22"/>
        </w:rPr>
        <w:t xml:space="preserve">Orden de prioridad para el siguiente sprint de desarrollo:</w:t>
      </w:r>
    </w:p>
    <w:p>
      <w:pPr>
        <w:spacing w:after="40" w:before="40"/>
      </w:pPr>
    </w:p>
    <w:p>
      <w:pPr>
        <w:pStyle w:val="ListParagraph"/>
        <w:numPr>
          <w:ilvl w:val="0"/>
          <w:numId w:val="3"/>
        </w:numPr>
        <w:spacing w:after="40" w:before="20"/>
      </w:pPr>
      <w:r>
        <w:rPr>
          <w:rFonts w:ascii="Arial" w:cs="Arial" w:eastAsia="Arial" w:hAnsi="Arial"/>
          <w:color w:val="374151"/>
          <w:sz w:val="22"/>
          <w:szCs w:val="22"/>
        </w:rPr>
        <w:t xml:space="preserve">Fase 0 — Client Onboarding: perfil de cliente con brief persistente y checklist de launch readiness. Prerrequisito para todas las fases siguientes.</w:t>
      </w:r>
    </w:p>
    <w:p>
      <w:pPr>
        <w:pStyle w:val="ListParagraph"/>
        <w:numPr>
          <w:ilvl w:val="0"/>
          <w:numId w:val="3"/>
        </w:numPr>
        <w:spacing w:after="40" w:before="20"/>
      </w:pPr>
      <w:r>
        <w:rPr>
          <w:rFonts w:ascii="Arial" w:cs="Arial" w:eastAsia="Arial" w:hAnsi="Arial"/>
          <w:color w:val="374151"/>
          <w:sz w:val="22"/>
          <w:szCs w:val="22"/>
        </w:rPr>
        <w:t xml:space="preserve">Integración de Test Lab con el flujo de Strategy: los ángulos y hooks generados en Strategy se pre-cargan automáticamente como input del Test Lab sin necesidad de re-pegar el brief.</w:t>
      </w:r>
    </w:p>
    <w:p>
      <w:pPr>
        <w:pStyle w:val="ListParagraph"/>
        <w:numPr>
          <w:ilvl w:val="0"/>
          <w:numId w:val="3"/>
        </w:numPr>
        <w:spacing w:after="40" w:before="20"/>
      </w:pPr>
      <w:r>
        <w:rPr>
          <w:rFonts w:ascii="Arial" w:cs="Arial" w:eastAsia="Arial" w:hAnsi="Arial"/>
          <w:color w:val="374151"/>
          <w:sz w:val="22"/>
          <w:szCs w:val="22"/>
        </w:rPr>
        <w:t xml:space="preserve">Persistencia de datos entre sesiones: el densification pack del cliente queda guardado y es recuperable en cualquier momento, no se pierde al cerrar la ventana.</w:t>
      </w:r>
    </w:p>
    <w:p>
      <w:pPr>
        <w:pStyle w:val="ListParagraph"/>
        <w:numPr>
          <w:ilvl w:val="0"/>
          <w:numId w:val="3"/>
        </w:numPr>
        <w:spacing w:after="40" w:before="20"/>
      </w:pPr>
      <w:r>
        <w:rPr>
          <w:rFonts w:ascii="Arial" w:cs="Arial" w:eastAsia="Arial" w:hAnsi="Arial"/>
          <w:color w:val="374151"/>
          <w:sz w:val="22"/>
          <w:szCs w:val="22"/>
        </w:rPr>
        <w:t xml:space="preserve">Fase 3 — Client Workspace MVP: dashboard básico por cliente con angle library y hook tester manual (sin integración de API aún).</w:t>
      </w:r>
    </w:p>
    <w:p>
      <w:pPr>
        <w:pStyle w:val="ListParagraph"/>
        <w:numPr>
          <w:ilvl w:val="0"/>
          <w:numId w:val="3"/>
        </w:numPr>
        <w:spacing w:after="40" w:before="20"/>
      </w:pPr>
      <w:r>
        <w:rPr>
          <w:rFonts w:ascii="Arial" w:cs="Arial" w:eastAsia="Arial" w:hAnsi="Arial"/>
          <w:color w:val="374151"/>
          <w:sz w:val="22"/>
          <w:szCs w:val="22"/>
        </w:rPr>
        <w:t xml:space="preserve">Diagnose Mode: reintegrar el módulo de diagnóstico semanal (eliminado en v3) como parte del Client Workspace, alimentado por datos reales del cliente en lugar de input manual.</w:t>
      </w:r>
    </w:p>
    <w:p>
      <w:pPr>
        <w:spacing w:after="40" w:before="40"/>
      </w:pPr>
    </w:p>
    <w:p>
      <w:pPr>
        <w:pBdr>
          <w:bottom w:val="single" w:color="E2E8F0" w:sz="2" w:space="1"/>
        </w:pBdr>
        <w:spacing w:after="240" w:before="240"/>
      </w:pPr>
    </w:p>
    <w:p>
      <w:pPr>
        <w:pStyle w:val="Heading1"/>
        <w:pBdr>
          <w:bottom w:val="single" w:color="2563EB" w:sz="6" w:space="4"/>
        </w:pBdr>
        <w:spacing w:after="160" w:before="480"/>
      </w:pPr>
      <w:r>
        <w:rPr>
          <w:rFonts w:ascii="Arial" w:cs="Arial" w:eastAsia="Arial" w:hAnsi="Arial"/>
          <w:b/>
          <w:bCs/>
          <w:color w:val="1A1A2E"/>
          <w:sz w:val="32"/>
          <w:szCs w:val="32"/>
        </w:rP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Brief</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Documento de intake del cliente con offer, ICP, USP, competidores, KPI y budget.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Densification Pack</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Output completo del Intelligence Engine: ángulos + hooks + canales + LP + journey + financieros.</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Angle Map</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Conjunto de ángulos estratégicos generados por el engine — cada uno con creencia atacada, counter-belief, driver emocional y proposición.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Hook Bank</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Banco de 50+ hooks organizados por ángulo y patrón (contrarian, diagnosis, mechanism, etc.).</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ICE Score</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Impact + Confidence + Ease. Metodología de priorización de tests. Máximo 15 puntos.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Bullseye Framework</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Visualización de prioridad de tests en 4 anillos: Bullseye (≥13), Anillo 2 (11-12), Anillo 3 (9-10), Periferia (&lt;9).</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Creative Request</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Template oficial WMM para briefear al equipo creativo con copy in/out, script beats y file naming.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GHL</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GoHighLevel — CRM y plataforma de automatización de emails/SMS del ecosistema WMM.</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TOF / MOF / BOF</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Top of Funnel / Middle of Funnel / Bottom of Funnel — stages del funnel de marketing.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Attraction Matrix</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Sistema de scoring filosófico basado en Byung-Chul Han que evalúa la calidad de atracción de un creativo en 5 dimensiones.</w:t>
            </w:r>
          </w:p>
        </w:tc>
      </w:tr>
      <w:tr>
        <w:tc>
          <w:tcPr>
            <w:tcW w:type="dxa" w:w="312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b/>
                <w:bCs/>
                <w:color w:val="374151"/>
                <w:sz w:val="20"/>
                <w:szCs w:val="20"/>
              </w:rPr>
              <w:t xml:space="preserve">Learning Log</w:t>
            </w:r>
          </w:p>
        </w:tc>
        <w:tc>
          <w:tcPr>
            <w:tcW w:type="dxa" w:w="6240"/>
            <w:tcBorders>
              <w:top w:val="single" w:color="E2E8F0" w:sz="1"/>
              <w:left w:val="single" w:color="E2E8F0" w:sz="1"/>
              <w:bottom w:val="single" w:color="E2E8F0" w:sz="1"/>
              <w:right w:val="single" w:color="E2E8F0" w:sz="1"/>
            </w:tcBorders>
            <w:shd w:fill="F8F9FB" w:val="clear"/>
            <w:tcMar>
              <w:top w:type="dxa" w:w="80"/>
              <w:left w:type="dxa" w:w="140"/>
              <w:bottom w:type="dxa" w:w="80"/>
              <w:right w:type="dxa" w:w="140"/>
            </w:tcMar>
          </w:tcPr>
          <w:p>
            <w:r>
              <w:rPr>
                <w:rFonts w:ascii="Arial" w:cs="Arial" w:eastAsia="Arial" w:hAnsi="Arial"/>
                <w:color w:val="374151"/>
                <w:sz w:val="20"/>
                <w:szCs w:val="20"/>
              </w:rPr>
              <w:t xml:space="preserve">Registro acumulativo de todos los tests realizados para un cliente, con resultados e interpretaciones.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Weekly Digest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Resumen semanal automatizado de performance: CPL, ángulos, acciones recomendadas.</w:t>
            </w:r>
          </w:p>
        </w:tc>
      </w:tr>
    </w:tbl>
    <w:p>
      <w:pPr>
        <w:spacing w:after="40" w:before="40"/>
      </w:pPr>
    </w:p>
    <w:p>
      <w:pPr>
        <w:spacing w:after="40" w:before="40"/>
      </w:pPr>
    </w:p>
    <w:p>
      <w:pPr>
        <w:spacing w:after="0" w:before="400"/>
        <w:jc w:val="center"/>
      </w:pPr>
      <w:r>
        <w:rPr>
          <w:rFonts w:ascii="Arial" w:cs="Arial" w:eastAsia="Arial" w:hAnsi="Arial"/>
          <w:i/>
          <w:iCs/>
          <w:color w:val="9CA3AF"/>
          <w:sz w:val="18"/>
          <w:szCs w:val="18"/>
        </w:rPr>
        <w:t xml:space="preserve">WMM Story Engine — Roadmap de Producto 2026</w:t>
      </w:r>
    </w:p>
    <w:p>
      <w:pPr>
        <w:spacing w:after="0" w:before="80"/>
        <w:jc w:val="center"/>
      </w:pPr>
      <w:r>
        <w:rPr>
          <w:rFonts w:ascii="Arial" w:cs="Arial" w:eastAsia="Arial" w:hAnsi="Arial"/>
          <w:color w:val="9CA3AF"/>
          <w:sz w:val="16"/>
          <w:szCs w:val="16"/>
        </w:rPr>
        <w:t xml:space="preserve">Documento Confidencial — Uso Interno WMM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2"/>
      </w:pBdr>
      <w:jc w:val="center"/>
    </w:pPr>
    <w:r>
      <w:rPr>
        <w:rFonts w:ascii="Arial" w:cs="Arial" w:eastAsia="Arial" w:hAnsi="Arial"/>
        <w:color w:val="9CA3AF"/>
        <w:sz w:val="18"/>
        <w:szCs w:val="18"/>
      </w:rPr>
      <w:t xml:space="preserve">WMM — Confidencial   |   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2"/>
      </w:pBdr>
      <w:jc w:val="right"/>
    </w:pPr>
    <w:r>
      <w:rPr>
        <w:rFonts w:ascii="Arial" w:cs="Arial" w:eastAsia="Arial" w:hAnsi="Arial"/>
        <w:color w:val="9CA3AF"/>
        <w:sz w:val="18"/>
        <w:szCs w:val="18"/>
      </w:rPr>
      <w:t xml:space="preserve">WMM Story Engine — Roadmap de Producto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Arial" w:cs="Arial" w:eastAsia="Arial" w:hAnsi="Arial"/>
      <w:b/>
      <w:bCs/>
      <w:color w:val="1A1A2E"/>
      <w:sz w:val="32"/>
      <w:szCs w:val="32"/>
    </w:rPr>
  </w:style>
  <w:style w:type="paragraph" w:styleId="Heading2">
    <w:name w:val="Heading 2"/>
    <w:basedOn w:val="Normal"/>
    <w:next w:val="Normal"/>
    <w:pPr>
      <w:spacing w:after="120" w:before="400"/>
      <w:outlineLvl w:val="1"/>
    </w:pPr>
    <w:rPr>
      <w:rFonts w:ascii="Arial" w:cs="Arial" w:eastAsia="Arial" w:hAnsi="Arial"/>
      <w:b/>
      <w:bCs/>
      <w:color w:val="2563EB"/>
      <w:sz w:val="26"/>
      <w:szCs w:val="26"/>
    </w:rPr>
  </w:style>
  <w:style w:type="paragraph" w:styleId="Heading3">
    <w:name w:val="Heading 3"/>
    <w:basedOn w:val="Normal"/>
    <w:next w:val="Normal"/>
    <w:pPr>
      <w:spacing w:after="80" w:before="2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2026-05-28T19:01:21.368Z</dcterms:created>
  <dcterms:modified xsi:type="dcterms:W3CDTF">2026-05-28T19:01:21.368Z</dcterms:modified>
</cp:coreProperties>
</file>

<file path=docProps/custom.xml><?xml version="1.0" encoding="utf-8"?>
<Properties xmlns="http://schemas.openxmlformats.org/officeDocument/2006/custom-properties" xmlns:vt="http://schemas.openxmlformats.org/officeDocument/2006/docPropsVTypes"/>
</file>