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CLISONIX — Board-Grade Investor Memorandum</w:t>
      </w:r>
    </w:p>
    <w:p>
      <w:pPr>
        <w:jc w:val="center"/>
      </w:pPr>
      <w:r>
        <w:rPr>
          <w:i/>
          <w:sz w:val="22"/>
        </w:rPr>
        <w:t>Formal Version for VC Review (Germany/UK) | English • Shqip • Deutsch</w:t>
      </w:r>
    </w:p>
    <w:p>
      <w:r>
        <w:t>Date: March 2026</w:t>
      </w:r>
    </w:p>
    <w:p>
      <w:r>
        <w:t>Reference files: investor-pack/CLISONIX_Financial_Model_Investor_Ready.xlsx</w:t>
      </w:r>
    </w:p>
    <w:p>
      <w:pPr>
        <w:pStyle w:val="Heading2"/>
      </w:pPr>
      <w:r>
        <w:t>English | Board-Grade Memorandum</w:t>
      </w:r>
    </w:p>
    <w:p>
      <w:r>
        <w:t>Clisonix is live at clisox.com and used by users across multiple countries. This memorandum is prepared for institutional and venture capital diligence in Germany and the UK.</w:t>
      </w:r>
    </w:p>
    <w:p>
      <w:pPr>
        <w:pStyle w:val="Heading2"/>
      </w:pPr>
      <w:r>
        <w:t>Investment Case</w:t>
      </w:r>
    </w:p>
    <w:p>
      <w:pPr>
        <w:pStyle w:val="ListBullet"/>
      </w:pPr>
      <w:r>
        <w:t>Validated live platform with real user activity and production uptime.</w:t>
      </w:r>
    </w:p>
    <w:p>
      <w:pPr>
        <w:pStyle w:val="ListBullet"/>
      </w:pPr>
      <w:r>
        <w:t>Differentiated stack: ASI Trinity + Ocean Core orchestration + Excel Core reporting.</w:t>
      </w:r>
    </w:p>
    <w:p>
      <w:pPr>
        <w:pStyle w:val="ListBullet"/>
      </w:pPr>
      <w:r>
        <w:t>Revenue model combining self-serve SaaS and higher-value research/enterprise plans.</w:t>
      </w:r>
    </w:p>
    <w:p>
      <w:pPr>
        <w:pStyle w:val="ListBullet"/>
      </w:pPr>
      <w:r>
        <w:t>Disciplined infrastructure economics with Hetzner GPU baseline and controlled backup costs.</w:t>
      </w:r>
    </w:p>
    <w:p>
      <w:pPr>
        <w:pStyle w:val="Heading2"/>
      </w:pPr>
      <w:r>
        <w:t>3-Year Financial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</w:tr>
      <w:tr>
        <w:tc>
          <w:tcPr>
            <w:tcW w:type="dxa" w:w="2160"/>
          </w:tcPr>
          <w:p>
            <w:r>
              <w:t>Total Revenue</w:t>
            </w:r>
          </w:p>
        </w:tc>
        <w:tc>
          <w:tcPr>
            <w:tcW w:type="dxa" w:w="2160"/>
          </w:tcPr>
          <w:p>
            <w:r>
              <w:t>€424,500</w:t>
            </w:r>
          </w:p>
        </w:tc>
        <w:tc>
          <w:tcPr>
            <w:tcW w:type="dxa" w:w="2160"/>
          </w:tcPr>
          <w:p>
            <w:r>
              <w:t>€1,862,000</w:t>
            </w:r>
          </w:p>
        </w:tc>
        <w:tc>
          <w:tcPr>
            <w:tcW w:type="dxa" w:w="2160"/>
          </w:tcPr>
          <w:p>
            <w:r>
              <w:t>€5,230,000</w:t>
            </w:r>
          </w:p>
        </w:tc>
      </w:tr>
      <w:tr>
        <w:tc>
          <w:tcPr>
            <w:tcW w:type="dxa" w:w="2160"/>
          </w:tcPr>
          <w:p>
            <w:r>
              <w:t>Total Expenses</w:t>
            </w:r>
          </w:p>
        </w:tc>
        <w:tc>
          <w:tcPr>
            <w:tcW w:type="dxa" w:w="2160"/>
          </w:tcPr>
          <w:p>
            <w:r>
              <w:t>€701,004</w:t>
            </w:r>
          </w:p>
        </w:tc>
        <w:tc>
          <w:tcPr>
            <w:tcW w:type="dxa" w:w="2160"/>
          </w:tcPr>
          <w:p>
            <w:r>
              <w:t>€1,089,872</w:t>
            </w:r>
          </w:p>
        </w:tc>
        <w:tc>
          <w:tcPr>
            <w:tcW w:type="dxa" w:w="2160"/>
          </w:tcPr>
          <w:p>
            <w:r>
              <w:t>€1,821,180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-€276,504</w:t>
            </w:r>
          </w:p>
        </w:tc>
        <w:tc>
          <w:tcPr>
            <w:tcW w:type="dxa" w:w="2160"/>
          </w:tcPr>
          <w:p>
            <w:r>
              <w:t>€772,128</w:t>
            </w:r>
          </w:p>
        </w:tc>
        <w:tc>
          <w:tcPr>
            <w:tcW w:type="dxa" w:w="2160"/>
          </w:tcPr>
          <w:p>
            <w:r>
              <w:t>€3,408,820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-65.1%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65.2%</w:t>
            </w:r>
          </w:p>
        </w:tc>
      </w:tr>
    </w:tbl>
    <w:p>
      <w:pPr>
        <w:pStyle w:val="Heading2"/>
      </w:pPr>
      <w:r>
        <w:t>Legal and Financial Note</w:t>
      </w:r>
    </w:p>
    <w:p>
      <w:r>
        <w:t>This document contains management projections and forward-looking statements prepared for strategic evaluation. It does not constitute a public offer, investment advice, or a binding commitment.</w:t>
      </w:r>
    </w:p>
    <w:p>
      <w:r>
        <w:br w:type="page"/>
      </w:r>
    </w:p>
    <w:p>
      <w:pPr>
        <w:pStyle w:val="Heading2"/>
      </w:pPr>
      <w:r>
        <w:t>Shqip | Memorandum Board-Grade</w:t>
      </w:r>
    </w:p>
    <w:p>
      <w:r>
        <w:t>Clisonix është live në clisox.com dhe përdoret nga përdorues në disa vende të botës. Ky memorandum është përgatitur për due diligence nga investitorë institucionalë dhe VC në Gjermani dhe UK.</w:t>
      </w:r>
    </w:p>
    <w:p>
      <w:pPr>
        <w:pStyle w:val="Heading2"/>
      </w:pPr>
      <w:r>
        <w:t>Teza e Investimit</w:t>
      </w:r>
    </w:p>
    <w:p>
      <w:pPr>
        <w:pStyle w:val="ListBullet"/>
      </w:pPr>
      <w:r>
        <w:t>Platformë reale në prodhim me aktivitet përdoruesish.</w:t>
      </w:r>
    </w:p>
    <w:p>
      <w:pPr>
        <w:pStyle w:val="ListBullet"/>
      </w:pPr>
      <w:r>
        <w:t>Stack i diferencuar: ASI Trinity + orkestrimi Ocean Core + raportimi Excel Core.</w:t>
      </w:r>
    </w:p>
    <w:p>
      <w:pPr>
        <w:pStyle w:val="ListBullet"/>
      </w:pPr>
      <w:r>
        <w:t>Model i kombinuar monetizimi: SaaS self-serve + plane Research/Enterprise.</w:t>
      </w:r>
    </w:p>
    <w:p>
      <w:pPr>
        <w:pStyle w:val="ListBullet"/>
      </w:pPr>
      <w:r>
        <w:t>Efikasitet i kostos së infrastrukturës me bazë Hetzner GPU dhe kosto backup të kontrolluar.</w:t>
      </w:r>
    </w:p>
    <w:p>
      <w:pPr>
        <w:pStyle w:val="Heading2"/>
      </w:pPr>
      <w:r>
        <w:t>Projeksioni Financiar 3-Vjeçar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Treguesi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</w:tr>
      <w:tr>
        <w:tc>
          <w:tcPr>
            <w:tcW w:type="dxa" w:w="2160"/>
          </w:tcPr>
          <w:p>
            <w:r>
              <w:t>Të Ardhurat Totale</w:t>
            </w:r>
          </w:p>
        </w:tc>
        <w:tc>
          <w:tcPr>
            <w:tcW w:type="dxa" w:w="2160"/>
          </w:tcPr>
          <w:p>
            <w:r>
              <w:t>€424,500</w:t>
            </w:r>
          </w:p>
        </w:tc>
        <w:tc>
          <w:tcPr>
            <w:tcW w:type="dxa" w:w="2160"/>
          </w:tcPr>
          <w:p>
            <w:r>
              <w:t>€1,862,000</w:t>
            </w:r>
          </w:p>
        </w:tc>
        <w:tc>
          <w:tcPr>
            <w:tcW w:type="dxa" w:w="2160"/>
          </w:tcPr>
          <w:p>
            <w:r>
              <w:t>€5,230,000</w:t>
            </w:r>
          </w:p>
        </w:tc>
      </w:tr>
      <w:tr>
        <w:tc>
          <w:tcPr>
            <w:tcW w:type="dxa" w:w="2160"/>
          </w:tcPr>
          <w:p>
            <w:r>
              <w:t>Shpenzimet Totale</w:t>
            </w:r>
          </w:p>
        </w:tc>
        <w:tc>
          <w:tcPr>
            <w:tcW w:type="dxa" w:w="2160"/>
          </w:tcPr>
          <w:p>
            <w:r>
              <w:t>€701,004</w:t>
            </w:r>
          </w:p>
        </w:tc>
        <w:tc>
          <w:tcPr>
            <w:tcW w:type="dxa" w:w="2160"/>
          </w:tcPr>
          <w:p>
            <w:r>
              <w:t>€1,089,872</w:t>
            </w:r>
          </w:p>
        </w:tc>
        <w:tc>
          <w:tcPr>
            <w:tcW w:type="dxa" w:w="2160"/>
          </w:tcPr>
          <w:p>
            <w:r>
              <w:t>€1,821,180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-€276,504</w:t>
            </w:r>
          </w:p>
        </w:tc>
        <w:tc>
          <w:tcPr>
            <w:tcW w:type="dxa" w:w="2160"/>
          </w:tcPr>
          <w:p>
            <w:r>
              <w:t>€772,128</w:t>
            </w:r>
          </w:p>
        </w:tc>
        <w:tc>
          <w:tcPr>
            <w:tcW w:type="dxa" w:w="2160"/>
          </w:tcPr>
          <w:p>
            <w:r>
              <w:t>€3,408,820</w:t>
            </w:r>
          </w:p>
        </w:tc>
      </w:tr>
      <w:tr>
        <w:tc>
          <w:tcPr>
            <w:tcW w:type="dxa" w:w="2160"/>
          </w:tcPr>
          <w:p>
            <w:r>
              <w:t>Marzhi EBITDA</w:t>
            </w:r>
          </w:p>
        </w:tc>
        <w:tc>
          <w:tcPr>
            <w:tcW w:type="dxa" w:w="2160"/>
          </w:tcPr>
          <w:p>
            <w:r>
              <w:t>-65.1%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65.2%</w:t>
            </w:r>
          </w:p>
        </w:tc>
      </w:tr>
    </w:tbl>
    <w:p>
      <w:pPr>
        <w:pStyle w:val="Heading2"/>
      </w:pPr>
      <w:r>
        <w:t>Shënim Ligjor dhe Financiar</w:t>
      </w:r>
    </w:p>
    <w:p>
      <w:r>
        <w:t>Ky dokument përmban projeksione menaxheriale dhe deklarata orientuese për të ardhmen, të përdorshme vetëm për vlerësim strategjik. Nuk përbën ofertë publike, këshillim investimi apo angazhim detyrues.</w:t>
      </w:r>
    </w:p>
    <w:p>
      <w:r>
        <w:br w:type="page"/>
      </w:r>
    </w:p>
    <w:p>
      <w:pPr>
        <w:pStyle w:val="Heading2"/>
      </w:pPr>
      <w:r>
        <w:t>Deutsch | Board-Grade Memorandum</w:t>
      </w:r>
    </w:p>
    <w:p>
      <w:r>
        <w:t>Clisonix ist live auf clisox.com und wird bereits von Nutzern in mehreren Ländern verwendet. Dieses Memorandum wurde für die Due-Diligence-Prüfung von institutionellen Investoren und VCs in Deutschland und UK erstellt.</w:t>
      </w:r>
    </w:p>
    <w:p>
      <w:pPr>
        <w:pStyle w:val="Heading2"/>
      </w:pPr>
      <w:r>
        <w:t>Investment-These</w:t>
      </w:r>
    </w:p>
    <w:p>
      <w:pPr>
        <w:pStyle w:val="ListBullet"/>
      </w:pPr>
      <w:r>
        <w:t>Validierte Live-Plattform mit realer Nutzeraktivität.</w:t>
      </w:r>
    </w:p>
    <w:p>
      <w:pPr>
        <w:pStyle w:val="ListBullet"/>
      </w:pPr>
      <w:r>
        <w:t>Differenzierter Stack: ASI Trinity + Ocean Core Orchestrierung + Excel Core Reporting.</w:t>
      </w:r>
    </w:p>
    <w:p>
      <w:pPr>
        <w:pStyle w:val="ListBullet"/>
      </w:pPr>
      <w:r>
        <w:t>Monetarisierung durch Self-Serve-SaaS sowie Research- und Enterprise-Verträge.</w:t>
      </w:r>
    </w:p>
    <w:p>
      <w:pPr>
        <w:pStyle w:val="ListBullet"/>
      </w:pPr>
      <w:r>
        <w:t>Disziplinierte Infrastrukturkosten mit Hetzner-GPU-Basis und kontrollierten Backup-Kosten.</w:t>
      </w:r>
    </w:p>
    <w:p>
      <w:pPr>
        <w:pStyle w:val="Heading2"/>
      </w:pPr>
      <w:r>
        <w:t>3-Jahres-Finanzprojektion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</w:tr>
      <w:tr>
        <w:tc>
          <w:tcPr>
            <w:tcW w:type="dxa" w:w="2160"/>
          </w:tcPr>
          <w:p>
            <w:r>
              <w:t>Gesamtumsatz</w:t>
            </w:r>
          </w:p>
        </w:tc>
        <w:tc>
          <w:tcPr>
            <w:tcW w:type="dxa" w:w="2160"/>
          </w:tcPr>
          <w:p>
            <w:r>
              <w:t>€424,500</w:t>
            </w:r>
          </w:p>
        </w:tc>
        <w:tc>
          <w:tcPr>
            <w:tcW w:type="dxa" w:w="2160"/>
          </w:tcPr>
          <w:p>
            <w:r>
              <w:t>€1,862,000</w:t>
            </w:r>
          </w:p>
        </w:tc>
        <w:tc>
          <w:tcPr>
            <w:tcW w:type="dxa" w:w="2160"/>
          </w:tcPr>
          <w:p>
            <w:r>
              <w:t>€5,230,000</w:t>
            </w:r>
          </w:p>
        </w:tc>
      </w:tr>
      <w:tr>
        <w:tc>
          <w:tcPr>
            <w:tcW w:type="dxa" w:w="2160"/>
          </w:tcPr>
          <w:p>
            <w:r>
              <w:t>Gesamtkosten</w:t>
            </w:r>
          </w:p>
        </w:tc>
        <w:tc>
          <w:tcPr>
            <w:tcW w:type="dxa" w:w="2160"/>
          </w:tcPr>
          <w:p>
            <w:r>
              <w:t>€701,004</w:t>
            </w:r>
          </w:p>
        </w:tc>
        <w:tc>
          <w:tcPr>
            <w:tcW w:type="dxa" w:w="2160"/>
          </w:tcPr>
          <w:p>
            <w:r>
              <w:t>€1,089,872</w:t>
            </w:r>
          </w:p>
        </w:tc>
        <w:tc>
          <w:tcPr>
            <w:tcW w:type="dxa" w:w="2160"/>
          </w:tcPr>
          <w:p>
            <w:r>
              <w:t>€1,821,180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-€276,504</w:t>
            </w:r>
          </w:p>
        </w:tc>
        <w:tc>
          <w:tcPr>
            <w:tcW w:type="dxa" w:w="2160"/>
          </w:tcPr>
          <w:p>
            <w:r>
              <w:t>€772,128</w:t>
            </w:r>
          </w:p>
        </w:tc>
        <w:tc>
          <w:tcPr>
            <w:tcW w:type="dxa" w:w="2160"/>
          </w:tcPr>
          <w:p>
            <w:r>
              <w:t>€3,408,820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-65.1%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65.2%</w:t>
            </w:r>
          </w:p>
        </w:tc>
      </w:tr>
    </w:tbl>
    <w:p>
      <w:pPr>
        <w:pStyle w:val="Heading2"/>
      </w:pPr>
      <w:r>
        <w:t>Rechtlicher und Finanzieller Hinweis</w:t>
      </w:r>
    </w:p>
    <w:p>
      <w:r>
        <w:t>Dieses Dokument enthält Management-Projektionen und zukunftsgerichtete Aussagen für strategische Bewertungszwecke. Es stellt weder ein öffentliches Angebot noch eine Anlageberatung oder eine bindende Zusage dar.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