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CLISONIX — Investor Document</w:t>
      </w:r>
    </w:p>
    <w:p>
      <w:pPr>
        <w:jc w:val="center"/>
      </w:pPr>
      <w:r>
        <w:rPr>
          <w:i/>
          <w:sz w:val="22"/>
        </w:rPr>
        <w:t>Professional Trilingual Version (English | Shqip | Deutsch)</w:t>
      </w:r>
    </w:p>
    <w:p>
      <w:r>
        <w:t>Prepared for investor outreach and due diligence discussions.</w:t>
      </w:r>
    </w:p>
    <w:p>
      <w:r>
        <w:t>Date: March 2026</w:t>
      </w:r>
    </w:p>
    <w:p>
      <w:r>
        <w:br w:type="page"/>
      </w:r>
    </w:p>
    <w:p>
      <w:pPr>
        <w:pStyle w:val="Heading2"/>
      </w:pPr>
      <w:r>
        <w:t>English Version</w:t>
      </w:r>
    </w:p>
    <w:p>
      <w:r>
        <w:t>Clisonix is a neural intelligence platform with 17+ active modules across AI reasoning, chat, research, neuroscience, health, environment, data, and developer tools.</w:t>
      </w:r>
    </w:p>
    <w:p>
      <w:pPr>
        <w:pStyle w:val="Heading2"/>
      </w:pPr>
      <w:r>
        <w:t>Investment Highlights</w:t>
      </w:r>
    </w:p>
    <w:p>
      <w:pPr>
        <w:pStyle w:val="ListBullet"/>
      </w:pPr>
      <w:r>
        <w:t>Live platform with 99.97% uptime and multi-module product readiness.</w:t>
      </w:r>
    </w:p>
    <w:p>
      <w:pPr>
        <w:pStyle w:val="ListBullet"/>
      </w:pPr>
      <w:r>
        <w:t>Clear monetization model: Free, Pro (€29), Research (€99), Enterprise (€499+), API/Developer (€299).</w:t>
      </w:r>
    </w:p>
    <w:p>
      <w:pPr>
        <w:pStyle w:val="ListBullet"/>
      </w:pPr>
      <w:r>
        <w:t>Efficient infrastructure baseline: Hetzner RTX 5090 (€509/month) + storage/backups (€258/month).</w:t>
      </w:r>
    </w:p>
    <w:p>
      <w:pPr>
        <w:pStyle w:val="ListBullet"/>
      </w:pPr>
      <w:r>
        <w:t>Scalable unit economics with improving CAC and LTV/CAC trajectory.</w:t>
      </w:r>
    </w:p>
    <w:p>
      <w:pPr>
        <w:pStyle w:val="Heading2"/>
      </w:pPr>
      <w:r>
        <w:t>3-Year Financial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</w:tr>
      <w:tr>
        <w:tc>
          <w:tcPr>
            <w:tcW w:type="dxa" w:w="2160"/>
          </w:tcPr>
          <w:p>
            <w:r>
              <w:t>Total Revenue</w:t>
            </w:r>
          </w:p>
        </w:tc>
        <w:tc>
          <w:tcPr>
            <w:tcW w:type="dxa" w:w="2160"/>
          </w:tcPr>
          <w:p>
            <w:r>
              <w:t>€424,500</w:t>
            </w:r>
          </w:p>
        </w:tc>
        <w:tc>
          <w:tcPr>
            <w:tcW w:type="dxa" w:w="2160"/>
          </w:tcPr>
          <w:p>
            <w:r>
              <w:t>€1,862,000</w:t>
            </w:r>
          </w:p>
        </w:tc>
        <w:tc>
          <w:tcPr>
            <w:tcW w:type="dxa" w:w="2160"/>
          </w:tcPr>
          <w:p>
            <w:r>
              <w:t>€5,230,000</w:t>
            </w:r>
          </w:p>
        </w:tc>
      </w:tr>
      <w:tr>
        <w:tc>
          <w:tcPr>
            <w:tcW w:type="dxa" w:w="2160"/>
          </w:tcPr>
          <w:p>
            <w:r>
              <w:t>Total Expenses</w:t>
            </w:r>
          </w:p>
        </w:tc>
        <w:tc>
          <w:tcPr>
            <w:tcW w:type="dxa" w:w="2160"/>
          </w:tcPr>
          <w:p>
            <w:r>
              <w:t>€701,004</w:t>
            </w:r>
          </w:p>
        </w:tc>
        <w:tc>
          <w:tcPr>
            <w:tcW w:type="dxa" w:w="2160"/>
          </w:tcPr>
          <w:p>
            <w:r>
              <w:t>€1,089,872</w:t>
            </w:r>
          </w:p>
        </w:tc>
        <w:tc>
          <w:tcPr>
            <w:tcW w:type="dxa" w:w="2160"/>
          </w:tcPr>
          <w:p>
            <w:r>
              <w:t>€1,821,180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-€276,504</w:t>
            </w:r>
          </w:p>
        </w:tc>
        <w:tc>
          <w:tcPr>
            <w:tcW w:type="dxa" w:w="2160"/>
          </w:tcPr>
          <w:p>
            <w:r>
              <w:t>€772,128</w:t>
            </w:r>
          </w:p>
        </w:tc>
        <w:tc>
          <w:tcPr>
            <w:tcW w:type="dxa" w:w="2160"/>
          </w:tcPr>
          <w:p>
            <w:r>
              <w:t>€3,408,820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-65.1%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</w:tr>
    </w:tbl>
    <w:p>
      <w:pPr>
        <w:pStyle w:val="Heading2"/>
      </w:pPr>
      <w:r>
        <w:t>Seed Round</w:t>
      </w:r>
    </w:p>
    <w:p>
      <w:r>
        <w:t>Capital sought: €600,000</w:t>
      </w:r>
    </w:p>
    <w:p>
      <w:pPr>
        <w:pStyle w:val="ListBullet"/>
      </w:pPr>
      <w:r>
        <w:t>Product Development: 40%</w:t>
      </w:r>
    </w:p>
    <w:p>
      <w:pPr>
        <w:pStyle w:val="ListBullet"/>
      </w:pPr>
      <w:r>
        <w:t>Marketing Launch: 30%</w:t>
      </w:r>
    </w:p>
    <w:p>
      <w:pPr>
        <w:pStyle w:val="ListBullet"/>
      </w:pPr>
      <w:r>
        <w:t>Infrastructure: 10%</w:t>
      </w:r>
    </w:p>
    <w:p>
      <w:pPr>
        <w:pStyle w:val="ListBullet"/>
      </w:pPr>
      <w:r>
        <w:t>Team Expansion: 15%</w:t>
      </w:r>
    </w:p>
    <w:p>
      <w:pPr>
        <w:pStyle w:val="ListBullet"/>
      </w:pPr>
      <w:r>
        <w:t>Operations &amp; Buffer: 5%</w:t>
      </w:r>
    </w:p>
    <w:p>
      <w:r>
        <w:br w:type="page"/>
      </w:r>
    </w:p>
    <w:p>
      <w:pPr>
        <w:pStyle w:val="Heading2"/>
      </w:pPr>
      <w:r>
        <w:t>Versioni Shqip</w:t>
      </w:r>
    </w:p>
    <w:p>
      <w:r>
        <w:t>Clisonix është platformë neural intelligence me 17+ module aktive në AI reasoning, chat, research, neuroscience, health, environment, data dhe developer tools.</w:t>
      </w:r>
    </w:p>
    <w:p>
      <w:pPr>
        <w:pStyle w:val="Heading2"/>
      </w:pPr>
      <w:r>
        <w:t>Pikat Kryesore për Investim</w:t>
      </w:r>
    </w:p>
    <w:p>
      <w:pPr>
        <w:pStyle w:val="ListBullet"/>
      </w:pPr>
      <w:r>
        <w:t>Platformë live me 99.97% uptime dhe module production-ready.</w:t>
      </w:r>
    </w:p>
    <w:p>
      <w:pPr>
        <w:pStyle w:val="ListBullet"/>
      </w:pPr>
      <w:r>
        <w:t>Model i qartë monetizimi: Free, Pro (€29), Research (€99), Enterprise (€499+), API/Developer (€299).</w:t>
      </w:r>
    </w:p>
    <w:p>
      <w:pPr>
        <w:pStyle w:val="ListBullet"/>
      </w:pPr>
      <w:r>
        <w:t>Infrastrukturë efikase: Hetzner RTX 5090 (€509/muaj) + storage/backups (€258/muaj).</w:t>
      </w:r>
    </w:p>
    <w:p>
      <w:pPr>
        <w:pStyle w:val="ListBullet"/>
      </w:pPr>
      <w:r>
        <w:t>Unit economics në përmirësim me trend pozitiv CAC dhe LTV/CAC.</w:t>
      </w:r>
    </w:p>
    <w:p>
      <w:pPr>
        <w:pStyle w:val="Heading2"/>
      </w:pPr>
      <w:r>
        <w:t>Projeksioni Financiar 3-Vjeçar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Treguesi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</w:tr>
      <w:tr>
        <w:tc>
          <w:tcPr>
            <w:tcW w:type="dxa" w:w="2160"/>
          </w:tcPr>
          <w:p>
            <w:r>
              <w:t>Të Ardhurat Totale</w:t>
            </w:r>
          </w:p>
        </w:tc>
        <w:tc>
          <w:tcPr>
            <w:tcW w:type="dxa" w:w="2160"/>
          </w:tcPr>
          <w:p>
            <w:r>
              <w:t>€424,500</w:t>
            </w:r>
          </w:p>
        </w:tc>
        <w:tc>
          <w:tcPr>
            <w:tcW w:type="dxa" w:w="2160"/>
          </w:tcPr>
          <w:p>
            <w:r>
              <w:t>€1,862,000</w:t>
            </w:r>
          </w:p>
        </w:tc>
        <w:tc>
          <w:tcPr>
            <w:tcW w:type="dxa" w:w="2160"/>
          </w:tcPr>
          <w:p>
            <w:r>
              <w:t>€5,230,000</w:t>
            </w:r>
          </w:p>
        </w:tc>
      </w:tr>
      <w:tr>
        <w:tc>
          <w:tcPr>
            <w:tcW w:type="dxa" w:w="2160"/>
          </w:tcPr>
          <w:p>
            <w:r>
              <w:t>Shpenzimet Totale</w:t>
            </w:r>
          </w:p>
        </w:tc>
        <w:tc>
          <w:tcPr>
            <w:tcW w:type="dxa" w:w="2160"/>
          </w:tcPr>
          <w:p>
            <w:r>
              <w:t>€701,004</w:t>
            </w:r>
          </w:p>
        </w:tc>
        <w:tc>
          <w:tcPr>
            <w:tcW w:type="dxa" w:w="2160"/>
          </w:tcPr>
          <w:p>
            <w:r>
              <w:t>€1,089,872</w:t>
            </w:r>
          </w:p>
        </w:tc>
        <w:tc>
          <w:tcPr>
            <w:tcW w:type="dxa" w:w="2160"/>
          </w:tcPr>
          <w:p>
            <w:r>
              <w:t>€1,821,180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-€276,504</w:t>
            </w:r>
          </w:p>
        </w:tc>
        <w:tc>
          <w:tcPr>
            <w:tcW w:type="dxa" w:w="2160"/>
          </w:tcPr>
          <w:p>
            <w:r>
              <w:t>€772,128</w:t>
            </w:r>
          </w:p>
        </w:tc>
        <w:tc>
          <w:tcPr>
            <w:tcW w:type="dxa" w:w="2160"/>
          </w:tcPr>
          <w:p>
            <w:r>
              <w:t>€3,408,820</w:t>
            </w:r>
          </w:p>
        </w:tc>
      </w:tr>
      <w:tr>
        <w:tc>
          <w:tcPr>
            <w:tcW w:type="dxa" w:w="2160"/>
          </w:tcPr>
          <w:p>
            <w:r>
              <w:t>Marzhi EBITDA</w:t>
            </w:r>
          </w:p>
        </w:tc>
        <w:tc>
          <w:tcPr>
            <w:tcW w:type="dxa" w:w="2160"/>
          </w:tcPr>
          <w:p>
            <w:r>
              <w:t>-65.1%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</w:tr>
    </w:tbl>
    <w:p>
      <w:pPr>
        <w:pStyle w:val="Heading2"/>
      </w:pPr>
      <w:r>
        <w:t>Seed Round</w:t>
      </w:r>
    </w:p>
    <w:p>
      <w:r>
        <w:t>Kapitali i kërkuar: €600,000</w:t>
      </w:r>
    </w:p>
    <w:p>
      <w:pPr>
        <w:pStyle w:val="ListBullet"/>
      </w:pPr>
      <w:r>
        <w:t>Product Development: 40%</w:t>
      </w:r>
    </w:p>
    <w:p>
      <w:pPr>
        <w:pStyle w:val="ListBullet"/>
      </w:pPr>
      <w:r>
        <w:t>Marketing Launch: 30%</w:t>
      </w:r>
    </w:p>
    <w:p>
      <w:pPr>
        <w:pStyle w:val="ListBullet"/>
      </w:pPr>
      <w:r>
        <w:t>Infrastructure: 10%</w:t>
      </w:r>
    </w:p>
    <w:p>
      <w:pPr>
        <w:pStyle w:val="ListBullet"/>
      </w:pPr>
      <w:r>
        <w:t>Team Expansion: 15%</w:t>
      </w:r>
    </w:p>
    <w:p>
      <w:pPr>
        <w:pStyle w:val="ListBullet"/>
      </w:pPr>
      <w:r>
        <w:t>Operations &amp; Buffer: 5%</w:t>
      </w:r>
    </w:p>
    <w:p>
      <w:r>
        <w:br w:type="page"/>
      </w:r>
    </w:p>
    <w:p>
      <w:pPr>
        <w:pStyle w:val="Heading2"/>
      </w:pPr>
      <w:r>
        <w:t>Deutsche Version</w:t>
      </w:r>
    </w:p>
    <w:p>
      <w:r>
        <w:t>Clisonix ist eine Neural-Intelligence-Plattform mit mehr als 17 aktiven Modulen in den Bereichen AI Reasoning, Chat, Research, Neuroscience, Health, Environment, Data und Developer Tools.</w:t>
      </w:r>
    </w:p>
    <w:p>
      <w:pPr>
        <w:pStyle w:val="Heading2"/>
      </w:pPr>
      <w:r>
        <w:t>Investment Highlights</w:t>
      </w:r>
    </w:p>
    <w:p>
      <w:pPr>
        <w:pStyle w:val="ListBullet"/>
      </w:pPr>
      <w:r>
        <w:t>Live-Plattform mit 99,97% Uptime und produktionsreifen Modulen.</w:t>
      </w:r>
    </w:p>
    <w:p>
      <w:pPr>
        <w:pStyle w:val="ListBullet"/>
      </w:pPr>
      <w:r>
        <w:t>Klares Monetarisierungsmodell: Free, Pro (€29), Research (€99), Enterprise (€499+), API/Developer (€299).</w:t>
      </w:r>
    </w:p>
    <w:p>
      <w:pPr>
        <w:pStyle w:val="ListBullet"/>
      </w:pPr>
      <w:r>
        <w:t>Effiziente Infrastruktur: Hetzner RTX 5090 (€509/Monat) + Storage/Backups (€258/Monat).</w:t>
      </w:r>
    </w:p>
    <w:p>
      <w:pPr>
        <w:pStyle w:val="ListBullet"/>
      </w:pPr>
      <w:r>
        <w:t>Skalierbare Unit Economics mit verbessertem CAC und LTV/CAC-Verhältnis.</w:t>
      </w:r>
    </w:p>
    <w:p>
      <w:pPr>
        <w:pStyle w:val="Heading2"/>
      </w:pPr>
      <w:r>
        <w:t>3-Jahres-Finanzprojektion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</w:tr>
      <w:tr>
        <w:tc>
          <w:tcPr>
            <w:tcW w:type="dxa" w:w="2160"/>
          </w:tcPr>
          <w:p>
            <w:r>
              <w:t>Gesamtumsatz</w:t>
            </w:r>
          </w:p>
        </w:tc>
        <w:tc>
          <w:tcPr>
            <w:tcW w:type="dxa" w:w="2160"/>
          </w:tcPr>
          <w:p>
            <w:r>
              <w:t>€424,500</w:t>
            </w:r>
          </w:p>
        </w:tc>
        <w:tc>
          <w:tcPr>
            <w:tcW w:type="dxa" w:w="2160"/>
          </w:tcPr>
          <w:p>
            <w:r>
              <w:t>€1,862,000</w:t>
            </w:r>
          </w:p>
        </w:tc>
        <w:tc>
          <w:tcPr>
            <w:tcW w:type="dxa" w:w="2160"/>
          </w:tcPr>
          <w:p>
            <w:r>
              <w:t>€5,230,000</w:t>
            </w:r>
          </w:p>
        </w:tc>
      </w:tr>
      <w:tr>
        <w:tc>
          <w:tcPr>
            <w:tcW w:type="dxa" w:w="2160"/>
          </w:tcPr>
          <w:p>
            <w:r>
              <w:t>Gesamtkosten</w:t>
            </w:r>
          </w:p>
        </w:tc>
        <w:tc>
          <w:tcPr>
            <w:tcW w:type="dxa" w:w="2160"/>
          </w:tcPr>
          <w:p>
            <w:r>
              <w:t>€701,004</w:t>
            </w:r>
          </w:p>
        </w:tc>
        <w:tc>
          <w:tcPr>
            <w:tcW w:type="dxa" w:w="2160"/>
          </w:tcPr>
          <w:p>
            <w:r>
              <w:t>€1,089,872</w:t>
            </w:r>
          </w:p>
        </w:tc>
        <w:tc>
          <w:tcPr>
            <w:tcW w:type="dxa" w:w="2160"/>
          </w:tcPr>
          <w:p>
            <w:r>
              <w:t>€1,821,180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-€276,504</w:t>
            </w:r>
          </w:p>
        </w:tc>
        <w:tc>
          <w:tcPr>
            <w:tcW w:type="dxa" w:w="2160"/>
          </w:tcPr>
          <w:p>
            <w:r>
              <w:t>€772,128</w:t>
            </w:r>
          </w:p>
        </w:tc>
        <w:tc>
          <w:tcPr>
            <w:tcW w:type="dxa" w:w="2160"/>
          </w:tcPr>
          <w:p>
            <w:r>
              <w:t>€3,408,820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-65.1%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</w:tr>
    </w:tbl>
    <w:p>
      <w:pPr>
        <w:pStyle w:val="Heading2"/>
      </w:pPr>
      <w:r>
        <w:t>Seed-Runde</w:t>
      </w:r>
    </w:p>
    <w:p>
      <w:r>
        <w:t>Gesuchtes Kapital: €600.000</w:t>
      </w:r>
    </w:p>
    <w:p>
      <w:pPr>
        <w:pStyle w:val="ListBullet"/>
      </w:pPr>
      <w:r>
        <w:t>Produktentwicklung: 40%</w:t>
      </w:r>
    </w:p>
    <w:p>
      <w:pPr>
        <w:pStyle w:val="ListBullet"/>
      </w:pPr>
      <w:r>
        <w:t>Marketing Launch: 30%</w:t>
      </w:r>
    </w:p>
    <w:p>
      <w:pPr>
        <w:pStyle w:val="ListBullet"/>
      </w:pPr>
      <w:r>
        <w:t>Infrastruktur: 10%</w:t>
      </w:r>
    </w:p>
    <w:p>
      <w:pPr>
        <w:pStyle w:val="ListBullet"/>
      </w:pPr>
      <w:r>
        <w:t>Teamerweiterung: 15%</w:t>
      </w:r>
    </w:p>
    <w:p>
      <w:pPr>
        <w:pStyle w:val="ListBullet"/>
      </w:pPr>
      <w:r>
        <w:t>Operations &amp; Buffer: 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