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Arial Black" w:cs="Arial Black" w:eastAsia="Arial Black" w:hAnsi="Arial Black"/>
          <w:b w:val="1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u w:val="single"/>
          <w:rtl w:val="0"/>
        </w:rPr>
        <w:t xml:space="preserve">Work Progress</w:t>
      </w:r>
    </w:p>
    <w:tbl>
      <w:tblPr>
        <w:tblStyle w:val="Table1"/>
        <w:bidiVisual w:val="0"/>
        <w:tblW w:w="67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4"/>
        <w:gridCol w:w="2081"/>
        <w:gridCol w:w="2225"/>
        <w:tblGridChange w:id="0">
          <w:tblGrid>
            <w:gridCol w:w="2434"/>
            <w:gridCol w:w="2081"/>
            <w:gridCol w:w="2225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 Work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Status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&amp; css Playframework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NearFinished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Finished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Finished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Not Finished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Not Finished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color w:val="c4d1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color w:val="c4d100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Not Finished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Not Finished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u w:val="single"/>
          <w:rtl w:val="0"/>
        </w:rPr>
        <w:t xml:space="preserve">Work Roles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Igor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HTML &amp; CSS Play framework ,Forum Functionality.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Ryan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HTML &amp; CSS Playframework ,Sign In &amp; Up page,Support User &amp; Admin Functionality.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Ryan will help With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Cart Functionality &amp; Forum.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Chris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Functionality,Product Functionality.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Aran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Cart Functionality,Product Functionality.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